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25.png" ContentType="image/png"/>
  <Override PartName="/word/media/rId34.png" ContentType="image/png"/>
  <Override PartName="/word/media/rId38.png" ContentType="image/png"/>
  <Override PartName="/word/media/rId46.png" ContentType="image/png"/>
  <Override PartName="/word/media/rId58.png" ContentType="image/png"/>
  <Override PartName="/word/media/rId54.png" ContentType="image/png"/>
  <Override PartName="/word/media/rId42.png" ContentType="image/png"/>
  <Override PartName="/word/media/rId5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w:t>
      </w:r>
      <w:r>
        <w:t xml:space="preserve"> </w:t>
      </w:r>
      <w:r>
        <w:t xml:space="preserve">Park</w:t>
      </w:r>
    </w:p>
    <w:p>
      <w:pPr>
        <w:pStyle w:val="Author"/>
      </w:pPr>
      <w:r>
        <w:t xml:space="preserve">Ben</w:t>
      </w:r>
      <w:r>
        <w:t xml:space="preserve"> </w:t>
      </w:r>
      <w:r>
        <w:t xml:space="preserve">Marwick</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bookmarkStart w:id="20" w:name="keywords"/>
    <w:p>
      <w:pPr>
        <w:pStyle w:val="Heading1"/>
      </w:pPr>
      <w:r>
        <w:t xml:space="preserve">Keywords</w:t>
      </w:r>
    </w:p>
    <w:p>
      <w:pPr>
        <w:pStyle w:val="FirstParagraph"/>
      </w:pPr>
      <w:r>
        <w:t xml:space="preserve">Stemmed points; Korean Paleolithic; Cultural Transmission; Learning process, Transmission Biases</w:t>
      </w:r>
    </w:p>
    <w:bookmarkEnd w:id="20"/>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(Dunnell 1980; Lipo et al. 1997; Bettinger et al. 1997; Bettinger and Eerkens 1999;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(Chuntaek Seong 2009)</w:t>
      </w:r>
      <w:r>
        <w:t xml:space="preserve">. Previous studies mainly focussed on the possible origin locations of stemmed points, to connect Korea with global patterns of modern human dispersal. Questions about the processes of technological change remain largely unanswered</w:t>
      </w:r>
      <w:r>
        <w:t xml:space="preserve"> </w:t>
      </w:r>
      <w:r>
        <w:t xml:space="preserve">(Chuntaek Seong 2008; K. Bae 2010; C. J. Bae, Douka, and Petraglia 2017)</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(Chuntaek Seong 2008; G.-K. Lee and Sano 2019)</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(Chang 2013; Bamforth 2009; Chuntaek Seong 2015)</w:t>
      </w:r>
      <w:r>
        <w:t xml:space="preserve">. Currently the earliest stemmed points in Northeast Asia are from Yongho-doing site in Korea dated to 38.5ka and made on elongate flakes</w:t>
      </w:r>
      <w:r>
        <w:t xml:space="preserve"> </w:t>
      </w:r>
      <w:r>
        <w:t xml:space="preserve">(Chuntaek Seong 2009, 2015; C. J. Bae, Douka, and Petraglia 2017)</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(Chuntaek Seong 2009)</w:t>
      </w:r>
      <w:r>
        <w:t xml:space="preserve"> </w:t>
      </w:r>
      <w:r>
        <w:t xml:space="preserve">and heterogenic migration</w:t>
      </w:r>
      <w:r>
        <w:t xml:space="preserve"> </w:t>
      </w:r>
      <w:r>
        <w:t xml:space="preserve">(K. 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(C. Seong 2006; Chuntaek Seong 2008, 2009)</w:t>
      </w:r>
      <w:r>
        <w:t xml:space="preserve">. To support his claim of an in situ development,</w:t>
      </w:r>
      <w:r>
        <w:t xml:space="preserve"> </w:t>
      </w:r>
      <w:r>
        <w:t xml:space="preserve">Chuntaek 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(K. Bae 2010; C. J. Bae and Bae 2012; C. Bae, Bae, and Kim 2013)</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(C. Bae, Bae, and Kim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 in situ development. He partly agrees with the in situ model that simple flake tools had continuously been used in Korea as the result of ancestor-descendent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 in situ,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(Dunnell 1980; Richerson and Boyd 1992; Lipo et al. 1997; Bettinger and Eerkens 1997; Bettinger and Eerkens 1999; Eerkens and Bettinger 2008; Mesoudi and O’Brien 2008)</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Mesoudi, and Lycett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(Heyes 1994; Eerkens and Lipo 2007; Lycett 2015; Creanza, Kolodny, and Feldman 2017; Kendal et al. 2018)</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Richerson and Boyd 1992; O’Brien and Bentley 2017)</w:t>
      </w:r>
      <w:r>
        <w:t xml:space="preserve">.</w:t>
      </w:r>
    </w:p>
    <w:p>
      <w:pPr>
        <w:pStyle w:val="BodyText"/>
      </w:pPr>
      <w:r>
        <w:t xml:space="preserve">Bettinger and Eerkens</w:t>
      </w:r>
      <w:r>
        <w:t xml:space="preserve"> </w:t>
      </w:r>
      <w:r>
        <w:t xml:space="preserve">(1997; 1999;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33" w:name="materials-and-methods"/>
    <w:p>
      <w:pPr>
        <w:pStyle w:val="Heading1"/>
      </w:pPr>
      <w:r>
        <w:t xml:space="preserve">Materials and methods</w:t>
      </w:r>
    </w:p>
    <w:p>
      <w:pPr>
        <w:numPr>
          <w:ilvl w:val="0"/>
          <w:numId w:val="1001"/>
        </w:numPr>
        <w:pStyle w:val="Compact"/>
      </w:pPr>
      <w:r>
        <w:t xml:space="preserve">Materials and stemmed points chronology</w:t>
      </w:r>
    </w:p>
    <w:p>
      <w:pPr>
        <w:pStyle w:val="FirstParagraph"/>
      </w:pPr>
      <w:r>
        <w:t xml:space="preserve">After the first discovery in Seokjangri site in the 1960s, around 300 stemmed points have been found in Korea.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(Figure 1).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(Chuntaek Seong 2015; Park 2013)</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tbl>
      <w:tblPr>
        <w:tblStyle w:val="Table"/>
        <w:tblW w:type="pct" w:w="5000"/>
        <w:tblLook w:firstRow="0" w:lastRow="0" w:firstColumn="0" w:lastColumn="0" w:noHBand="0" w:noVBand="0" w:val="0000"/>
      </w:tblPr>
      <w:tblGrid>
        <w:gridCol w:w="7920"/>
      </w:tblGrid>
      <w:tr>
        <w:tc>
          <w:tcPr/>
          <w:bookmarkStart w:id="28" w:name="fig-one"/>
          <w:p>
            <w:pPr>
              <w:pStyle w:val="Figure"/>
              <w:jc w:val="center"/>
            </w:pPr>
            <w:r>
              <w:drawing>
                <wp:inline>
                  <wp:extent cx="4543425" cy="4594474"/>
                  <wp:effectExtent b="0" l="0" r="0" t="0"/>
                  <wp:docPr descr="" title="" id="26" name="Picture"/>
                  <a:graphic>
                    <a:graphicData uri="http://schemas.openxmlformats.org/drawingml/2006/picture">
                      <pic:pic>
                        <pic:nvPicPr>
                          <pic:cNvPr descr="images/001-site-map.png" id="27" name="Picture"/>
                          <pic:cNvPicPr>
                            <a:picLocks noChangeArrowheads="1" noChangeAspect="1"/>
                          </pic:cNvPicPr>
                        </pic:nvPicPr>
                        <pic:blipFill>
                          <a:blip r:embed="rId25"/>
                          <a:stretch>
                            <a:fillRect/>
                          </a:stretch>
                        </pic:blipFill>
                        <pic:spPr bwMode="auto">
                          <a:xfrm>
                            <a:off x="0" y="0"/>
                            <a:ext cx="4543425" cy="45944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Korean Paleolithic sites mentioned in this study</w:t>
            </w:r>
          </w:p>
          <w:bookmarkEnd w:id="28"/>
        </w:tc>
      </w:tr>
    </w:tbl>
    <w:p>
      <w:pPr>
        <w:numPr>
          <w:ilvl w:val="0"/>
          <w:numId w:val="1002"/>
        </w:numPr>
        <w:pStyle w:val="Compact"/>
      </w:pPr>
      <w:r>
        <w:t xml:space="preserve">Methods</w:t>
      </w:r>
    </w:p>
    <w:p>
      <w:pPr>
        <w:pStyle w:val="FirstParagraph"/>
      </w:pPr>
      <w:r>
        <w:t xml:space="preserve">In addition to attributes from previous studies of cultural transmission and projectile points, i.e. maximum length and width</w:t>
      </w:r>
      <w:r>
        <w:t xml:space="preserve"> </w:t>
      </w:r>
      <w:r>
        <w:t xml:space="preserve">(Bettinger and Eerkens 1997; Bettinger and Eerkens 1999; Eerkens and Bettinger 2008; Garvey 2018)</w:t>
      </w:r>
      <w:r>
        <w:t xml:space="preserve">, we used additional morphological attributes on the stemmed points to examine variations in shape and the relationship between each attribute (</w:t>
      </w:r>
      <w:hyperlink w:anchor="fig-two">
        <w:r>
          <w:rPr>
            <w:rStyle w:val="Hyperlink"/>
          </w:rPr>
          <w:t xml:space="preserve">Figure 2</w:t>
        </w:r>
      </w:hyperlink>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Thulman 2012; Cardillo, Borrazzo, and Charlin 2016; Petřı́k et al. 2018; MacLeod 2018; Okumura and Araujo 2019; Suárez and Cardillo 2019)</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Rasband, and Eliceiri 2012)</w:t>
      </w:r>
      <w:r>
        <w:t xml:space="preserve"> </w:t>
      </w:r>
      <w:r>
        <w:t xml:space="preserve">to capture the landmarks and export them as XY coordinate data.</w:t>
      </w:r>
    </w:p>
    <w:tbl>
      <w:tblPr>
        <w:tblStyle w:val="Table"/>
        <w:tblW w:type="pct" w:w="5000"/>
        <w:tblLook w:firstRow="0" w:lastRow="0" w:firstColumn="0" w:lastColumn="0" w:noHBand="0" w:noVBand="0" w:val="0000"/>
      </w:tblPr>
      <w:tblGrid>
        <w:gridCol w:w="7920"/>
      </w:tblGrid>
      <w:tr>
        <w:tc>
          <w:tcPr/>
          <w:bookmarkStart w:id="32" w:name="fig-two"/>
          <w:p>
            <w:pPr>
              <w:pStyle w:val="Figure"/>
              <w:jc w:val="center"/>
            </w:pPr>
            <w:r>
              <w:drawing>
                <wp:inline>
                  <wp:extent cx="2105025" cy="3457157"/>
                  <wp:effectExtent b="0" l="0" r="0" t="0"/>
                  <wp:docPr descr="" title="" id="30" name="Picture"/>
                  <a:graphic>
                    <a:graphicData uri="http://schemas.openxmlformats.org/drawingml/2006/picture">
                      <pic:pic>
                        <pic:nvPicPr>
                          <pic:cNvPr descr="images/ISKM%20talk%202021-cut.png" id="31" name="Picture"/>
                          <pic:cNvPicPr>
                            <a:picLocks noChangeArrowheads="1" noChangeAspect="1"/>
                          </pic:cNvPicPr>
                        </pic:nvPicPr>
                        <pic:blipFill>
                          <a:blip r:embed="rId29"/>
                          <a:stretch>
                            <a:fillRect/>
                          </a:stretch>
                        </pic:blipFill>
                        <pic:spPr bwMode="auto">
                          <a:xfrm>
                            <a:off x="0" y="0"/>
                            <a:ext cx="2105025" cy="34571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bookmarkEnd w:id="32"/>
        </w:tc>
      </w:tr>
    </w:tbl>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2009, 2013)</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Schillinger, Mesoudi, and Lycett 2014; Garvey 2018)</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(Toebe et al. 2018; Kelley 2007; VanPool and Leonard 2011)</w:t>
      </w:r>
      <w:r>
        <w:t xml:space="preserve">. In archeological research, sample size for CV values varies from n=5 to more than a thousand artifacts</w:t>
      </w:r>
      <w:r>
        <w:t xml:space="preserve"> </w:t>
      </w:r>
      <w:r>
        <w:t xml:space="preserve">(Bettinger and Eerkens 1999; Garvey 2018; Costin and Hagstrum 1995; Wierer 2013; Kvamme, Stark, and Longacre 1996; Rivals, Schulz, and Kaiser 2009)</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results in several methods for computing confidence intervals on CVs to show uncertainty</w:t>
      </w:r>
      <w:r>
        <w:t xml:space="preserve"> </w:t>
      </w:r>
      <w:r>
        <w:t xml:space="preserve">(Koopmans, Owen, and Rosenblatt 1964; Miller 1991; Sharma and Krishna 1994; McKay 1932; Vangel 1996; Curto and Pinto 2009; Banik and Kibria 2011; Panichkitkosolkul 2013; Mahmoudvand and Hassani 2009; Gulhar et al. 2012)</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(Kelley 2007; Albatineh et al. 2014)</w:t>
      </w:r>
      <w:r>
        <w:t xml:space="preserv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(Selden, Perttula, and O’Brien 2014; Suárez and Cardillo 2019; Leplongeon et al. 2020; Ivanovaitė et al. 2020)</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33"/>
    <w:bookmarkStart w:id="66" w:name="results"/>
    <w:p>
      <w:pPr>
        <w:pStyle w:val="Heading1"/>
      </w:pPr>
      <w:r>
        <w:t xml:space="preserve">Results</w:t>
      </w:r>
    </w:p>
    <w:p>
      <w:pPr>
        <w:numPr>
          <w:ilvl w:val="0"/>
          <w:numId w:val="1003"/>
        </w:numPr>
        <w:pStyle w:val="Compact"/>
      </w:pPr>
      <w:r>
        <w:t xml:space="preserve">Distribution of attributes</w:t>
      </w:r>
    </w:p>
    <w:p>
      <w:pPr>
        <w:pStyle w:val="FirstParagraph"/>
      </w:pPr>
      <w:hyperlink w:anchor="fig-three">
        <w:r>
          <w:rPr>
            <w:rStyle w:val="Hyperlink"/>
          </w:rPr>
          <w:t xml:space="preserve">Figure 3</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7" w:name="fig-three"/>
          <w:p>
            <w:pPr>
              <w:pStyle w:val="Figure"/>
              <w:jc w:val="center"/>
            </w:pPr>
            <w:r>
              <w:drawing>
                <wp:inline>
                  <wp:extent cx="3086100" cy="3120775"/>
                  <wp:effectExtent b="0" l="0" r="0" t="0"/>
                  <wp:docPr descr="" title="" id="35" name="Picture"/>
                  <a:graphic>
                    <a:graphicData uri="http://schemas.openxmlformats.org/drawingml/2006/picture">
                      <pic:pic>
                        <pic:nvPicPr>
                          <pic:cNvPr descr="images/002-attributes-variation-01.png" id="36" name="Picture"/>
                          <pic:cNvPicPr>
                            <a:picLocks noChangeArrowheads="1" noChangeAspect="1"/>
                          </pic:cNvPicPr>
                        </pic:nvPicPr>
                        <pic:blipFill>
                          <a:blip r:embed="rId34"/>
                          <a:stretch>
                            <a:fillRect/>
                          </a:stretch>
                        </pic:blipFill>
                        <pic:spPr bwMode="auto">
                          <a:xfrm>
                            <a:off x="0" y="0"/>
                            <a:ext cx="3086100" cy="3120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Boxplot for each attribute measured on the stemmed points. The black bold horizontal lines in the middle of boxes represent the median value.</w:t>
            </w:r>
          </w:p>
          <w:bookmarkEnd w:id="37"/>
        </w:tc>
      </w:tr>
    </w:tbl>
    <w:p>
      <w:pPr>
        <w:numPr>
          <w:ilvl w:val="0"/>
          <w:numId w:val="1004"/>
        </w:numPr>
        <w:pStyle w:val="Compact"/>
      </w:pPr>
      <w:r>
        <w:t xml:space="preserve">Coefficient of variation</w:t>
      </w:r>
    </w:p>
    <w:p>
      <w:pPr>
        <w:pStyle w:val="FirstParagraph"/>
      </w:pPr>
      <w:r>
        <w:t xml:space="preserve">We used CV to measure the variations between stemmed points. If the variation is high, the transmission might happen through guided variation while the low variation represents indirect bias. Our results show that CV values for all attributes are distributed from 23.8 to 36.3 (</w:t>
      </w:r>
      <w:hyperlink w:anchor="fig-four">
        <w:r>
          <w:rPr>
            <w:rStyle w:val="Hyperlink"/>
          </w:rPr>
          <w:t xml:space="preserve">Figure 4</w:t>
        </w:r>
      </w:hyperlink>
      <w:r>
        <w:t xml:space="preserve">). Compared to the CVs of Great Basin projectile points</w:t>
      </w:r>
      <w:r>
        <w:t xml:space="preserve"> </w:t>
      </w:r>
      <w:r>
        <w:t xml:space="preserve">(Eerkens and Bettinger 2001)</w:t>
      </w:r>
      <w:r>
        <w:t xml:space="preserve">, the average CV is higher. Unlike the distribution of actual attributes (</w:t>
      </w:r>
      <w:hyperlink w:anchor="fig-three">
        <w:r>
          <w:rPr>
            <w:rStyle w:val="Hyperlink"/>
          </w:rPr>
          <w:t xml:space="preserve">Figure 3</w:t>
        </w:r>
      </w:hyperlink>
      <w:r>
        <w:t xml:space="preserve">), the CV of body length and maximum length have the lowest values. The lower CV of maximum length indicates highly standardized with narrowest confidence intervals. Tang and stem related attributes (e.g. SL, SW, TL, TW) are less standardized with higher CV values and wider confidence intervals than other attributes on the artifacts. Among all the attributes, only maximum length has the CV values lower than 25, which could be the result of indirect bias.</w:t>
      </w:r>
    </w:p>
    <w:tbl>
      <w:tblPr>
        <w:tblStyle w:val="Table"/>
        <w:tblW w:type="pct" w:w="5000"/>
        <w:tblLook w:firstRow="0" w:lastRow="0" w:firstColumn="0" w:lastColumn="0" w:noHBand="0" w:noVBand="0" w:val="0000"/>
      </w:tblPr>
      <w:tblGrid>
        <w:gridCol w:w="7920"/>
      </w:tblGrid>
      <w:tr>
        <w:tc>
          <w:tcPr/>
          <w:bookmarkStart w:id="41" w:name="fig-four"/>
          <w:p>
            <w:pPr>
              <w:pStyle w:val="Figure"/>
              <w:jc w:val="center"/>
            </w:pPr>
            <w:r>
              <w:drawing>
                <wp:inline>
                  <wp:extent cx="3228975" cy="3027164"/>
                  <wp:effectExtent b="0" l="0" r="0" t="0"/>
                  <wp:docPr descr="" title="" id="39" name="Picture"/>
                  <a:graphic>
                    <a:graphicData uri="http://schemas.openxmlformats.org/drawingml/2006/picture">
                      <pic:pic>
                        <pic:nvPicPr>
                          <pic:cNvPr descr="images/003-cv-sharma-01.png" id="40" name="Picture"/>
                          <pic:cNvPicPr>
                            <a:picLocks noChangeArrowheads="1" noChangeAspect="1"/>
                          </pic:cNvPicPr>
                        </pic:nvPicPr>
                        <pic:blipFill>
                          <a:blip r:embed="rId38"/>
                          <a:stretch>
                            <a:fillRect/>
                          </a:stretch>
                        </pic:blipFill>
                        <pic:spPr bwMode="auto">
                          <a:xfrm>
                            <a:off x="0" y="0"/>
                            <a:ext cx="3228975" cy="30271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points and blue colored numbers represent CV values for each attribute measured on the stemmed points. 95% confidence intervals for the CVs were computed using Sharma &amp; Krishna’s method. The vertical lines indicate the range of confidence intervals.</w:t>
            </w:r>
          </w:p>
          <w:bookmarkEnd w:id="41"/>
        </w:tc>
      </w:tr>
    </w:tbl>
    <w:p>
      <w:pPr>
        <w:numPr>
          <w:ilvl w:val="0"/>
          <w:numId w:val="1005"/>
        </w:numPr>
        <w:pStyle w:val="Compact"/>
      </w:pPr>
      <w:r>
        <w:t xml:space="preserve">Principal Component Analysis</w:t>
      </w:r>
    </w:p>
    <w:p>
      <w:pPr>
        <w:pStyle w:val="FirstParagraph"/>
      </w:pPr>
      <w:r>
        <w:t xml:space="preserve">PCA serves to examine correlation of attributes for determining the dominant mode of cultural transmission.</w:t>
      </w:r>
      <w:r>
        <w:t xml:space="preserve"> </w:t>
      </w:r>
      <w:hyperlink w:anchor="fig-five">
        <w:r>
          <w:rPr>
            <w:rStyle w:val="Hyperlink"/>
          </w:rPr>
          <w:t xml:space="preserve">Figure 5</w:t>
        </w:r>
      </w:hyperlink>
      <w:r>
        <w:t xml:space="preserve"> </w:t>
      </w:r>
      <w:r>
        <w:t xml:space="preserve">shows positive relationship between attributes. Especially, there are strong relationships between body length and maximum length, tang width and mid width, and tang length and stem length. Body length and maximum length contribute the most to the shape of stemmed points and they are most correlated to each other. Other width and tang related attributes are close to each other but a bit far from body length and maximum length. Stem width contributes the least to the overall shape. We can assume that the body length and maximum length were prioritized when the stemmed points were transmitted.</w:t>
      </w:r>
    </w:p>
    <w:tbl>
      <w:tblPr>
        <w:tblStyle w:val="Table"/>
        <w:tblW w:type="pct" w:w="5000"/>
        <w:tblLook w:firstRow="0" w:lastRow="0" w:firstColumn="0" w:lastColumn="0" w:noHBand="0" w:noVBand="0" w:val="0000"/>
      </w:tblPr>
      <w:tblGrid>
        <w:gridCol w:w="7920"/>
      </w:tblGrid>
      <w:tr>
        <w:tc>
          <w:tcPr/>
          <w:bookmarkStart w:id="45" w:name="fig-five"/>
          <w:p>
            <w:pPr>
              <w:pStyle w:val="Figure"/>
              <w:jc w:val="center"/>
            </w:pPr>
            <w:r>
              <w:drawing>
                <wp:inline>
                  <wp:extent cx="2705100" cy="2705100"/>
                  <wp:effectExtent b="0" l="0" r="0" t="0"/>
                  <wp:docPr descr="" title="" id="43" name="Picture"/>
                  <a:graphic>
                    <a:graphicData uri="http://schemas.openxmlformats.org/drawingml/2006/picture">
                      <pic:pic>
                        <pic:nvPicPr>
                          <pic:cNvPr descr="images/007-PCA-1.png" id="44" name="Picture"/>
                          <pic:cNvPicPr>
                            <a:picLocks noChangeArrowheads="1" noChangeAspect="1"/>
                          </pic:cNvPicPr>
                        </pic:nvPicPr>
                        <pic:blipFill>
                          <a:blip r:embed="rId42"/>
                          <a:stretch>
                            <a:fillRect/>
                          </a:stretch>
                        </pic:blipFill>
                        <pic:spPr bwMode="auto">
                          <a:xfrm>
                            <a:off x="0" y="0"/>
                            <a:ext cx="2705100" cy="27051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PCA analysis for stemmed points. The direction of the arrow shows the relationship between attributes. The length and color of the arrow indicate the strength of contribution to the stemmed point shape.</w:t>
            </w:r>
          </w:p>
          <w:bookmarkEnd w:id="45"/>
        </w:tc>
      </w:tr>
    </w:tbl>
    <w:p>
      <w:pPr>
        <w:numPr>
          <w:ilvl w:val="0"/>
          <w:numId w:val="1006"/>
        </w:numPr>
        <w:pStyle w:val="Compact"/>
      </w:pPr>
      <w:r>
        <w:t xml:space="preserve">Variation Over Time</w:t>
      </w:r>
    </w:p>
    <w:p>
      <w:pPr>
        <w:pStyle w:val="FirstParagraph"/>
      </w:pPr>
      <w:r>
        <w:t xml:space="preserve">To understand the temporal patterns in the modes of cultural transmission, we applied Korea Late Paleolithic chronological phases into our samples and computed CV and PCA. Among the three phases of the chronology, we excluded Phase 1 for the analysis because there are only two stemmed points from Yonghodong and Sachang sites to compute. However, this does not mean that there were only two stemmed points for the Phase 1 because we excluded broken pieces from our sample to conduct the morphological analysis.</w:t>
      </w:r>
    </w:p>
    <w:p>
      <w:pPr>
        <w:pStyle w:val="BodyText"/>
      </w:pPr>
      <w:r>
        <w:t xml:space="preserve">After excluding the Phase 1 stemmed points, overall CV values become lower (</w:t>
      </w:r>
      <w:hyperlink w:anchor="fig-six">
        <w:r>
          <w:rPr>
            <w:rStyle w:val="Hyperlink"/>
          </w:rPr>
          <w:t xml:space="preserve">Figure 6</w:t>
        </w:r>
      </w:hyperlink>
      <w:r>
        <w:t xml:space="preserve">). Body length of Phase 2, maximum length, mid width, and tang width are under 25, which indicates as a result of indirect bias, while only maximum length are under 25 in Figure 4. On the other hand, Body length of Phase 3, stem length, stem width, and tang length are relatively higher then 25 and mostly over 30 indicating guided variation.</w:t>
      </w:r>
    </w:p>
    <w:p>
      <w:pPr>
        <w:pStyle w:val="BodyText"/>
      </w:pPr>
      <w:r>
        <w:t xml:space="preserve">Compared to Phase 2, except for maximum width and tang width, the other CV values of Phase 3 tend to be higher. In addition, Phase 3 tends to have wider confidence intervals. Stem width and tang length values are relatively steady over time. Our results show that stemmed points from Phase 2 are less varied than Phase 3 as well as Phase 1.</w:t>
      </w:r>
    </w:p>
    <w:tbl>
      <w:tblPr>
        <w:tblStyle w:val="Table"/>
        <w:tblW w:type="pct" w:w="5000"/>
        <w:tblLook w:firstRow="0" w:lastRow="0" w:firstColumn="0" w:lastColumn="0" w:noHBand="0" w:noVBand="0" w:val="0000"/>
      </w:tblPr>
      <w:tblGrid>
        <w:gridCol w:w="7920"/>
      </w:tblGrid>
      <w:tr>
        <w:tc>
          <w:tcPr/>
          <w:bookmarkStart w:id="49" w:name="fig-six"/>
          <w:p>
            <w:pPr>
              <w:pStyle w:val="Figure"/>
              <w:jc w:val="center"/>
            </w:pPr>
            <w:r>
              <w:drawing>
                <wp:inline>
                  <wp:extent cx="3295650" cy="3295650"/>
                  <wp:effectExtent b="0" l="0" r="0" t="0"/>
                  <wp:docPr descr="" title="" id="47" name="Picture"/>
                  <a:graphic>
                    <a:graphicData uri="http://schemas.openxmlformats.org/drawingml/2006/picture">
                      <pic:pic>
                        <pic:nvPicPr>
                          <pic:cNvPr descr="images/004-cv-phases-01.png" id="48" name="Picture"/>
                          <pic:cNvPicPr>
                            <a:picLocks noChangeArrowheads="1" noChangeAspect="1"/>
                          </pic:cNvPicPr>
                        </pic:nvPicPr>
                        <pic:blipFill>
                          <a:blip r:embed="rId46"/>
                          <a:stretch>
                            <a:fillRect/>
                          </a:stretch>
                        </pic:blipFill>
                        <pic:spPr bwMode="auto">
                          <a:xfrm>
                            <a:off x="0" y="0"/>
                            <a:ext cx="3295650" cy="32956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CV values for the second and third chronological phases in the Korean Late Paleolithic period. The points represent CV values for each attribute. The vertical lines indicate the range of confidence intervals.</w:t>
            </w:r>
          </w:p>
          <w:bookmarkEnd w:id="49"/>
        </w:tc>
      </w:tr>
    </w:tbl>
    <w:p>
      <w:pPr>
        <w:pStyle w:val="BodyText"/>
      </w:pPr>
      <w:r>
        <w:t xml:space="preserve">Compared to Phase 2, the influence of tang length and stem length of Phase 3 becomes more pronounced and while stem width is less effective (</w:t>
      </w:r>
      <w:hyperlink w:anchor="fig-seven">
        <w:r>
          <w:rPr>
            <w:rStyle w:val="Hyperlink"/>
          </w:rPr>
          <w:t xml:space="preserve">Figure 7</w:t>
        </w:r>
      </w:hyperlink>
      <w:r>
        <w:t xml:space="preserve">). However, there are no notable changes in correlations over time.</w:t>
      </w:r>
    </w:p>
    <w:tbl>
      <w:tblPr>
        <w:tblStyle w:val="Table"/>
        <w:tblW w:type="pct" w:w="5000"/>
        <w:tblLook w:firstRow="0" w:lastRow="0" w:firstColumn="0" w:lastColumn="0" w:noHBand="0" w:noVBand="0" w:val="0000"/>
      </w:tblPr>
      <w:tblGrid>
        <w:gridCol w:w="7920"/>
      </w:tblGrid>
      <w:tr>
        <w:tc>
          <w:tcPr/>
          <w:bookmarkStart w:id="53" w:name="fig-seven"/>
          <w:p>
            <w:pPr>
              <w:pStyle w:val="Figure"/>
              <w:jc w:val="center"/>
            </w:pPr>
            <w:r>
              <w:drawing>
                <wp:inline>
                  <wp:extent cx="5086350" cy="2179864"/>
                  <wp:effectExtent b="0" l="0" r="0" t="0"/>
                  <wp:docPr descr="" title="" id="51" name="Picture"/>
                  <a:graphic>
                    <a:graphicData uri="http://schemas.openxmlformats.org/drawingml/2006/picture">
                      <pic:pic>
                        <pic:nvPicPr>
                          <pic:cNvPr descr="images/007-PCA.png" id="52" name="Picture"/>
                          <pic:cNvPicPr>
                            <a:picLocks noChangeArrowheads="1" noChangeAspect="1"/>
                          </pic:cNvPicPr>
                        </pic:nvPicPr>
                        <pic:blipFill>
                          <a:blip r:embed="rId50"/>
                          <a:stretch>
                            <a:fillRect/>
                          </a:stretch>
                        </pic:blipFill>
                        <pic:spPr bwMode="auto">
                          <a:xfrm>
                            <a:off x="0" y="0"/>
                            <a:ext cx="5086350" cy="217986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PCA analysis for the second and third chronological phases in the Korean Late Paleolithic period. The direction of the arrow shows the relationship between attributes. The length and color of the arrow indicate the strength of contribution to the stemmed point shape.</w:t>
            </w:r>
          </w:p>
          <w:bookmarkEnd w:id="53"/>
        </w:tc>
      </w:tr>
    </w:tbl>
    <w:p>
      <w:pPr>
        <w:pStyle w:val="BodyText"/>
      </w:pPr>
      <w:r>
        <w:t xml:space="preserve">We explored assemblages that contain multiple stemmed points to examine the temporal patterns with the premise that stemmed points from one assemblage were made by the same group of people. There are four assemblages, three assemblages from the Suyanggae site (SYG) and one from the Yongsandong site (YS) that contain seven or more stemmed points. SYG1_2 and SYG6_2 are from Phase 2 and SYG1_3 and YS_3 are from Phase 3. Following the previous studies of</w:t>
      </w:r>
      <w:r>
        <w:t xml:space="preserve"> </w:t>
      </w:r>
      <w:r>
        <w:t xml:space="preserve">(Bettinger and Eerkens 1997; Bettinger and Eerkens 1999; Eerkens and Bettinger 2008; Mesoudi and O’Brien 2008; Garvey 2018)</w:t>
      </w:r>
      <w:r>
        <w:t xml:space="preserve">, we only compared CV values of attributes, body length, maximum length, mid width, and tang width.</w:t>
      </w:r>
      <w:r>
        <w:t xml:space="preserve"> </w:t>
      </w:r>
      <w:hyperlink w:anchor="fig-eight">
        <w:r>
          <w:rPr>
            <w:rStyle w:val="Hyperlink"/>
          </w:rPr>
          <w:t xml:space="preserve">Figure 8</w:t>
        </w:r>
      </w:hyperlink>
      <w:r>
        <w:t xml:space="preserve"> </w:t>
      </w:r>
      <w:r>
        <w:t xml:space="preserve">shows that CV values for the four assemblages are mostly below 25, which represent transmissions through indirect bias. Among the assemblages, SYG1_2 (n=7) has higher CV values as well as the widest range of confidence intervals. Compared to the Phase 2, CV values of Phase 3 are lower, which is different from</w:t>
      </w:r>
      <w:r>
        <w:t xml:space="preserve"> </w:t>
      </w:r>
      <w:hyperlink w:anchor="fig-six">
        <w:r>
          <w:rPr>
            <w:rStyle w:val="Hyperlink"/>
          </w:rPr>
          <w:t xml:space="preserve">Figure 6</w:t>
        </w:r>
      </w:hyperlink>
      <w:r>
        <w:t xml:space="preserve"> </w:t>
      </w:r>
      <w:r>
        <w:t xml:space="preserve">results of body length and maximum length from all assemblages. It is assumed that those attributes became more standardized within the same assemblages. Compared to Suyanggae assemblages, Yongsandong has smaller CV values.</w:t>
      </w:r>
    </w:p>
    <w:tbl>
      <w:tblPr>
        <w:tblStyle w:val="Table"/>
        <w:tblW w:type="pct" w:w="5000"/>
        <w:tblLook w:firstRow="0" w:lastRow="0" w:firstColumn="0" w:lastColumn="0" w:noHBand="0" w:noVBand="0" w:val="0000"/>
      </w:tblPr>
      <w:tblGrid>
        <w:gridCol w:w="7920"/>
      </w:tblGrid>
      <w:tr>
        <w:tc>
          <w:tcPr/>
          <w:bookmarkStart w:id="57" w:name="fig-eight"/>
          <w:p>
            <w:pPr>
              <w:pStyle w:val="Figure"/>
              <w:jc w:val="center"/>
            </w:pPr>
            <w:r>
              <w:drawing>
                <wp:inline>
                  <wp:extent cx="3676650" cy="2941320"/>
                  <wp:effectExtent b="0" l="0" r="0" t="0"/>
                  <wp:docPr descr="" title="" id="55" name="Picture"/>
                  <a:graphic>
                    <a:graphicData uri="http://schemas.openxmlformats.org/drawingml/2006/picture">
                      <pic:pic>
                        <pic:nvPicPr>
                          <pic:cNvPr descr="images/006-cv-four-assemblage.png" id="56" name="Picture"/>
                          <pic:cNvPicPr>
                            <a:picLocks noChangeArrowheads="1" noChangeAspect="1"/>
                          </pic:cNvPicPr>
                        </pic:nvPicPr>
                        <pic:blipFill>
                          <a:blip r:embed="rId54"/>
                          <a:stretch>
                            <a:fillRect/>
                          </a:stretch>
                        </pic:blipFill>
                        <pic:spPr bwMode="auto">
                          <a:xfrm>
                            <a:off x="0" y="0"/>
                            <a:ext cx="3676650" cy="2941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CV values of four attributes from assemblages that have 7 or more stemmed points. Among the four assemblages, SYG1_2 and SYG6_2 are from Phase 2 of the Korean Late Paleolithic chronology and SYG1_3 and YS_3 are from Phase 3.</w:t>
            </w:r>
          </w:p>
          <w:bookmarkEnd w:id="57"/>
        </w:tc>
      </w:tr>
    </w:tbl>
    <w:p>
      <w:pPr>
        <w:numPr>
          <w:ilvl w:val="0"/>
          <w:numId w:val="1007"/>
        </w:numPr>
        <w:pStyle w:val="Compact"/>
      </w:pPr>
      <w:r>
        <w:t xml:space="preserve">Variation Between sites</w:t>
      </w:r>
    </w:p>
    <w:p>
      <w:pPr>
        <w:pStyle w:val="FirstParagraph"/>
      </w:pPr>
      <w:r>
        <w:t xml:space="preserve">We examined the CV values per site to address our research question about the cultural transmission over space. We excluded assemblages that contain a single point.</w:t>
      </w:r>
      <w:r>
        <w:t xml:space="preserve"> </w:t>
      </w:r>
      <w:hyperlink w:anchor="fig-nine">
        <w:r>
          <w:rPr>
            <w:rStyle w:val="Hyperlink"/>
          </w:rPr>
          <w:t xml:space="preserve">Figure 9</w:t>
        </w:r>
      </w:hyperlink>
      <w:r>
        <w:t xml:space="preserve"> </w:t>
      </w:r>
      <w:r>
        <w:t xml:space="preserve">shows that Sachang site has the highest CV values with the widest confidence level. Sachang is part of Phase 1 and its CV values explain why the CV of all time is higher than Phase 2. We excluded sites that have only one stemmed point for the analysis. Two assemblages from the Suyanggae site have relatively stable CV for attributes, which indicate highly standardized shapes of stemmed points. CV values of body length is the lowest while stem width the highest among all assemblages. Overall, there are no clear patterns between the sites.</w:t>
      </w:r>
    </w:p>
    <w:tbl>
      <w:tblPr>
        <w:tblStyle w:val="Table"/>
        <w:tblW w:type="pct" w:w="5000"/>
        <w:tblLook w:firstRow="0" w:lastRow="0" w:firstColumn="0" w:lastColumn="0" w:noHBand="0" w:noVBand="0" w:val="0000"/>
      </w:tblPr>
      <w:tblGrid>
        <w:gridCol w:w="7920"/>
      </w:tblGrid>
      <w:tr>
        <w:tc>
          <w:tcPr/>
          <w:bookmarkStart w:id="61" w:name="fig-nine"/>
          <w:p>
            <w:pPr>
              <w:pStyle w:val="Figure"/>
              <w:jc w:val="center"/>
            </w:pPr>
            <w:r>
              <w:drawing>
                <wp:inline>
                  <wp:extent cx="4943475" cy="2617133"/>
                  <wp:effectExtent b="0" l="0" r="0" t="0"/>
                  <wp:docPr descr="" title="" id="59" name="Picture"/>
                  <a:graphic>
                    <a:graphicData uri="http://schemas.openxmlformats.org/drawingml/2006/picture">
                      <pic:pic>
                        <pic:nvPicPr>
                          <pic:cNvPr descr="images/004-cv-sites-01.png" id="60" name="Picture"/>
                          <pic:cNvPicPr>
                            <a:picLocks noChangeArrowheads="1" noChangeAspect="1"/>
                          </pic:cNvPicPr>
                        </pic:nvPicPr>
                        <pic:blipFill>
                          <a:blip r:embed="rId58"/>
                          <a:stretch>
                            <a:fillRect/>
                          </a:stretch>
                        </pic:blipFill>
                        <pic:spPr bwMode="auto">
                          <a:xfrm>
                            <a:off x="0" y="0"/>
                            <a:ext cx="4943475" cy="2617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CV values per site that has more than one stemmed point. The points represent CV values for each attribute. The vertical lines indicate the range of confidence intervals.</w:t>
            </w:r>
          </w:p>
          <w:bookmarkEnd w:id="61"/>
        </w:tc>
      </w:tr>
    </w:tbl>
    <w:p>
      <w:pPr>
        <w:numPr>
          <w:ilvl w:val="0"/>
          <w:numId w:val="1008"/>
        </w:numPr>
        <w:pStyle w:val="Compact"/>
      </w:pPr>
      <w:r>
        <w:t xml:space="preserve">Variation Between Raw Materials</w:t>
      </w:r>
    </w:p>
    <w:p>
      <w:pPr>
        <w:pStyle w:val="FirstParagraph"/>
      </w:pPr>
      <w:r>
        <w:t xml:space="preserve">We examined the relationship between CV values and raw materials with a premise that the shape of stemmed points are highly dependent on raw materials. We exclude raw materials that were used for single point.</w:t>
      </w:r>
      <w:r>
        <w:t xml:space="preserve"> </w:t>
      </w:r>
      <w:hyperlink w:anchor="fig-ten">
        <w:r>
          <w:rPr>
            <w:rStyle w:val="Hyperlink"/>
          </w:rPr>
          <w:t xml:space="preserve">Figure 10</w:t>
        </w:r>
      </w:hyperlink>
      <w:r>
        <w:t xml:space="preserve"> </w:t>
      </w:r>
      <w:r>
        <w:t xml:space="preserve">shows that quartzite, the raw materials for Sachang stemmed points, has the highest CV value with a wide range of conference intervals. Quartz has high variations of CV among the attributes. On the other hand, shale has the lower CV, which is very stable throughout the attributes.</w:t>
      </w:r>
    </w:p>
    <w:tbl>
      <w:tblPr>
        <w:tblStyle w:val="Table"/>
        <w:tblW w:type="pct" w:w="5000"/>
        <w:tblLook w:firstRow="0" w:lastRow="0" w:firstColumn="0" w:lastColumn="0" w:noHBand="0" w:noVBand="0" w:val="0000"/>
      </w:tblPr>
      <w:tblGrid>
        <w:gridCol w:w="7920"/>
      </w:tblGrid>
      <w:tr>
        <w:tc>
          <w:tcPr/>
          <w:bookmarkStart w:id="65" w:name="fig-ten"/>
          <w:p>
            <w:pPr>
              <w:pStyle w:val="Figure"/>
              <w:jc w:val="center"/>
            </w:pPr>
            <w:r>
              <w:drawing>
                <wp:inline>
                  <wp:extent cx="5010150" cy="2652432"/>
                  <wp:effectExtent b="0" l="0" r="0" t="0"/>
                  <wp:docPr descr="" title="" id="63" name="Picture"/>
                  <a:graphic>
                    <a:graphicData uri="http://schemas.openxmlformats.org/drawingml/2006/picture">
                      <pic:pic>
                        <pic:nvPicPr>
                          <pic:cNvPr descr="images/00000-cv-raw-materials.png" id="64" name="Picture"/>
                          <pic:cNvPicPr>
                            <a:picLocks noChangeArrowheads="1" noChangeAspect="1"/>
                          </pic:cNvPicPr>
                        </pic:nvPicPr>
                        <pic:blipFill>
                          <a:blip r:embed="rId62"/>
                          <a:stretch>
                            <a:fillRect/>
                          </a:stretch>
                        </pic:blipFill>
                        <pic:spPr bwMode="auto">
                          <a:xfrm>
                            <a:off x="0" y="0"/>
                            <a:ext cx="5010150" cy="265243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CV values for raw materials that were used for making more than one stemmed point. The points represent CV values for each attribute. The vertical lines indicate the range of confidence intervals.</w:t>
            </w:r>
          </w:p>
          <w:bookmarkEnd w:id="65"/>
        </w:tc>
      </w:tr>
    </w:tbl>
    <w:bookmarkEnd w:id="66"/>
    <w:bookmarkStart w:id="67" w:name="discussion"/>
    <w:p>
      <w:pPr>
        <w:pStyle w:val="Heading1"/>
      </w:pPr>
      <w:r>
        <w:t xml:space="preserve">Discussion</w:t>
      </w:r>
    </w:p>
    <w:bookmarkEnd w:id="67"/>
    <w:bookmarkStart w:id="138" w:name="references"/>
    <w:p>
      <w:pPr>
        <w:pStyle w:val="Heading1"/>
      </w:pPr>
      <w:r>
        <w:t xml:space="preserve">References</w:t>
      </w:r>
    </w:p>
    <w:bookmarkStart w:id="137" w:name="refs"/>
    <w:bookmarkStart w:id="68" w:name="ref-albatineh2014confidence"/>
    <w:p>
      <w:pPr>
        <w:pStyle w:val="Bibliography"/>
      </w:pPr>
      <w:r>
        <w:t xml:space="preserve">Albatineh, Ahmed N, BM Golam Kibria, Meredith L Wilcox, and Bashar Zogheib. 2014.</w:t>
      </w:r>
      <w:r>
        <w:t xml:space="preserve"> </w:t>
      </w:r>
      <w:r>
        <w:t xml:space="preserve">“Confidence Interval Estimation for the Population Coefficient of Variation Using Ranked Set Sampling: A Simulation Study.”</w:t>
      </w:r>
      <w:r>
        <w:t xml:space="preserve"> </w:t>
      </w:r>
      <w:r>
        <w:rPr>
          <w:iCs/>
          <w:i/>
        </w:rPr>
        <w:t xml:space="preserve">Journal of Applied Statistics</w:t>
      </w:r>
      <w:r>
        <w:t xml:space="preserve"> </w:t>
      </w:r>
      <w:r>
        <w:t xml:space="preserve">41 (4): 733–51.</w:t>
      </w:r>
    </w:p>
    <w:bookmarkEnd w:id="68"/>
    <w:bookmarkStart w:id="69" w:name="ref-bae2012nature"/>
    <w:p>
      <w:pPr>
        <w:pStyle w:val="Bibliography"/>
      </w:pPr>
      <w:r>
        <w:t xml:space="preserve">Bae, Christopher J, and Kidong Bae. 2012.</w:t>
      </w:r>
      <w:r>
        <w:t xml:space="preserve"> </w:t>
      </w:r>
      <w:r>
        <w:t xml:space="preserve">“The Nature of the Early to Late Paleolithic Transition in Korea: Current Perspectives.”</w:t>
      </w:r>
      <w:r>
        <w:t xml:space="preserve"> </w:t>
      </w:r>
      <w:r>
        <w:rPr>
          <w:iCs/>
          <w:i/>
        </w:rPr>
        <w:t xml:space="preserve">Quaternary International</w:t>
      </w:r>
      <w:r>
        <w:t xml:space="preserve"> </w:t>
      </w:r>
      <w:r>
        <w:t xml:space="preserve">281: 26–35.</w:t>
      </w:r>
    </w:p>
    <w:bookmarkEnd w:id="69"/>
    <w:bookmarkStart w:id="70" w:name="ref-bae2017origin"/>
    <w:p>
      <w:pPr>
        <w:pStyle w:val="Bibliography"/>
      </w:pPr>
      <w:r>
        <w:t xml:space="preserve">Bae, Christopher J, Katerina Douka, and Michael D Petraglia. 2017.</w:t>
      </w:r>
      <w:r>
        <w:t xml:space="preserve"> </w:t>
      </w:r>
      <w:r>
        <w:t xml:space="preserve">“On the Origin of Modern Humans: Asian Perspectives.”</w:t>
      </w:r>
      <w:r>
        <w:t xml:space="preserve"> </w:t>
      </w:r>
      <w:r>
        <w:rPr>
          <w:iCs/>
          <w:i/>
        </w:rPr>
        <w:t xml:space="preserve">Science</w:t>
      </w:r>
      <w:r>
        <w:t xml:space="preserve"> </w:t>
      </w:r>
      <w:r>
        <w:t xml:space="preserve">358 (6368): eaai9067.</w:t>
      </w:r>
    </w:p>
    <w:bookmarkEnd w:id="70"/>
    <w:bookmarkStart w:id="71" w:name="ref-bae2013early"/>
    <w:p>
      <w:pPr>
        <w:pStyle w:val="Bibliography"/>
      </w:pPr>
      <w:r>
        <w:t xml:space="preserve">Bae, Christopher, Kidong Bae, and Jong Chan Kim. 2013.</w:t>
      </w:r>
      <w:r>
        <w:t xml:space="preserve"> </w:t>
      </w:r>
      <w:r>
        <w:t xml:space="preserve">“The Early to Late Paleolithic Transition in Korea: A Closer Look.”</w:t>
      </w:r>
      <w:r>
        <w:t xml:space="preserve"> </w:t>
      </w:r>
      <w:r>
        <w:rPr>
          <w:iCs/>
          <w:i/>
        </w:rPr>
        <w:t xml:space="preserve">Radiocarbon</w:t>
      </w:r>
      <w:r>
        <w:t xml:space="preserve"> </w:t>
      </w:r>
      <w:r>
        <w:t xml:space="preserve">55 (2–3): 1341–49.</w:t>
      </w:r>
    </w:p>
    <w:bookmarkEnd w:id="71"/>
    <w:bookmarkStart w:id="72" w:name="ref-bae2010origin"/>
    <w:p>
      <w:pPr>
        <w:pStyle w:val="Bibliography"/>
      </w:pPr>
      <w:r>
        <w:t xml:space="preserve">Bae, Kidong. 2010.</w:t>
      </w:r>
      <w:r>
        <w:t xml:space="preserve"> </w:t>
      </w:r>
      <w:r>
        <w:t xml:space="preserve">“Origin and Patterns of the Upper Paleolithic Industries in the Korean Peninsula and Movement of Modern Humans in East Asia.”</w:t>
      </w:r>
      <w:r>
        <w:t xml:space="preserve"> </w:t>
      </w:r>
      <w:r>
        <w:rPr>
          <w:iCs/>
          <w:i/>
        </w:rPr>
        <w:t xml:space="preserve">Quaternary International</w:t>
      </w:r>
      <w:r>
        <w:t xml:space="preserve"> </w:t>
      </w:r>
      <w:r>
        <w:t xml:space="preserve">211 (1-2): 103–12.</w:t>
      </w:r>
    </w:p>
    <w:bookmarkEnd w:id="72"/>
    <w:bookmarkStart w:id="73" w:name="ref-bamforth2009projectile"/>
    <w:p>
      <w:pPr>
        <w:pStyle w:val="Bibliography"/>
      </w:pPr>
      <w:r>
        <w:t xml:space="preserve">Bamforth, Douglas B. 2009.</w:t>
      </w:r>
      <w:r>
        <w:t xml:space="preserve"> </w:t>
      </w:r>
      <w:r>
        <w:t xml:space="preserve">“Projectile Points, People, and Plains Paleoindian Perambulations.”</w:t>
      </w:r>
      <w:r>
        <w:t xml:space="preserve"> </w:t>
      </w:r>
      <w:r>
        <w:rPr>
          <w:iCs/>
          <w:i/>
        </w:rPr>
        <w:t xml:space="preserve">Journal of Anthropological Archaeology</w:t>
      </w:r>
      <w:r>
        <w:t xml:space="preserve"> </w:t>
      </w:r>
      <w:r>
        <w:t xml:space="preserve">28 (2): 142–57.</w:t>
      </w:r>
    </w:p>
    <w:bookmarkEnd w:id="73"/>
    <w:bookmarkStart w:id="74" w:name="ref-banik2011estimating"/>
    <w:p>
      <w:pPr>
        <w:pStyle w:val="Bibliography"/>
      </w:pPr>
      <w:r>
        <w:t xml:space="preserve">Banik, Shipra, and BM Golam Kibria. 2011.</w:t>
      </w:r>
      <w:r>
        <w:t xml:space="preserve"> </w:t>
      </w:r>
      <w:r>
        <w:t xml:space="preserve">“Estimating the Population Coefficient of Variation by Confidence Intervals.”</w:t>
      </w:r>
      <w:r>
        <w:t xml:space="preserve"> </w:t>
      </w:r>
      <w:r>
        <w:rPr>
          <w:iCs/>
          <w:i/>
        </w:rPr>
        <w:t xml:space="preserve">Communications in Statistics-Simulation and Computation</w:t>
      </w:r>
      <w:r>
        <w:t xml:space="preserve"> </w:t>
      </w:r>
      <w:r>
        <w:t xml:space="preserve">40 (8): 1236–61.</w:t>
      </w:r>
    </w:p>
    <w:bookmarkEnd w:id="74"/>
    <w:bookmarkStart w:id="75" w:name="ref-bettinger1999point"/>
    <w:p>
      <w:pPr>
        <w:pStyle w:val="Bibliography"/>
      </w:pPr>
      <w:r>
        <w:t xml:space="preserve">Bettinger, Robert L, and Jelmer Eerkens. 1999.</w:t>
      </w:r>
      <w:r>
        <w:t xml:space="preserve"> </w:t>
      </w:r>
      <w:r>
        <w:t xml:space="preserve">“Point Typologies, Cultural Transmission, and the Spread of Bow-and-Arrow Technology in the Prehistoric Great Basin.”</w:t>
      </w:r>
      <w:r>
        <w:t xml:space="preserve"> </w:t>
      </w:r>
      <w:r>
        <w:rPr>
          <w:iCs/>
          <w:i/>
        </w:rPr>
        <w:t xml:space="preserve">American Antiquity</w:t>
      </w:r>
      <w:r>
        <w:t xml:space="preserve">, 231–42.</w:t>
      </w:r>
    </w:p>
    <w:bookmarkEnd w:id="75"/>
    <w:bookmarkStart w:id="76" w:name="ref-bettinger1997rediscovering"/>
    <w:p>
      <w:pPr>
        <w:pStyle w:val="Bibliography"/>
      </w:pPr>
      <w:r>
        <w:t xml:space="preserve">Bettinger, Robert L, Jelmer W Eerkens, CM Barton, and GA Clark. 1997.</w:t>
      </w:r>
      <w:r>
        <w:t xml:space="preserve"> </w:t>
      </w:r>
      <w:r>
        <w:t xml:space="preserve">“Rediscovering Darwin: Evolutionary Theory and Archaeological Explanation.”</w:t>
      </w:r>
    </w:p>
    <w:bookmarkEnd w:id="76"/>
    <w:bookmarkStart w:id="77" w:name="ref-bettinger1997evolutionary"/>
    <w:p>
      <w:pPr>
        <w:pStyle w:val="Bibliography"/>
      </w:pPr>
      <w:r>
        <w:t xml:space="preserve">Bettinger, Robert L, and Jeltner Eerkens. 1997.</w:t>
      </w:r>
      <w:r>
        <w:t xml:space="preserve"> </w:t>
      </w:r>
      <w:r>
        <w:t xml:space="preserve">“Evolutionary Implications of Metrical Variation in Great Basin Projectile Points.”</w:t>
      </w:r>
      <w:r>
        <w:t xml:space="preserve"> </w:t>
      </w:r>
      <w:r>
        <w:rPr>
          <w:iCs/>
          <w:i/>
        </w:rPr>
        <w:t xml:space="preserve">Archeological Papers of the American Anthropological Association</w:t>
      </w:r>
      <w:r>
        <w:t xml:space="preserve"> </w:t>
      </w:r>
      <w:r>
        <w:t xml:space="preserve">7 (1): 177–91.</w:t>
      </w:r>
    </w:p>
    <w:bookmarkEnd w:id="77"/>
    <w:bookmarkStart w:id="78" w:name="ref-boyd1988culture"/>
    <w:p>
      <w:pPr>
        <w:pStyle w:val="Bibliography"/>
      </w:pPr>
      <w:r>
        <w:t xml:space="preserve">Boyd, Robert, and Peter J Richerson. 1988.</w:t>
      </w:r>
      <w:r>
        <w:t xml:space="preserve"> </w:t>
      </w:r>
      <w:r>
        <w:rPr>
          <w:iCs/>
          <w:i/>
        </w:rPr>
        <w:t xml:space="preserve">Culture and the Evolutionary Process</w:t>
      </w:r>
      <w:r>
        <w:t xml:space="preserve">. University of Chicago press.</w:t>
      </w:r>
    </w:p>
    <w:bookmarkEnd w:id="78"/>
    <w:bookmarkStart w:id="79" w:name="ref-buchanan2010geometric"/>
    <w:p>
      <w:pPr>
        <w:pStyle w:val="Bibliography"/>
      </w:pPr>
      <w:r>
        <w:t xml:space="preserve">Buchanan, Briggs, and Mark Collard. 2010.</w:t>
      </w:r>
      <w:r>
        <w:t xml:space="preserve"> </w:t>
      </w:r>
      <w:r>
        <w:t xml:space="preserve">“A Geometric Morphometrics-Based Assessment of Blade Shape Differences Among Paleoindian Projectile Point Types from Western North America.”</w:t>
      </w:r>
      <w:r>
        <w:t xml:space="preserve"> </w:t>
      </w:r>
      <w:r>
        <w:rPr>
          <w:iCs/>
          <w:i/>
        </w:rPr>
        <w:t xml:space="preserve">Journal of Archaeological Science</w:t>
      </w:r>
      <w:r>
        <w:t xml:space="preserve"> </w:t>
      </w:r>
      <w:r>
        <w:t xml:space="preserve">37 (2): 350–59.</w:t>
      </w:r>
    </w:p>
    <w:bookmarkEnd w:id="79"/>
    <w:bookmarkStart w:id="80" w:name="ref-cardillo2016environment"/>
    <w:p>
      <w:pPr>
        <w:pStyle w:val="Bibliography"/>
      </w:pPr>
      <w:r>
        <w:t xml:space="preserve">Cardillo, Marcelo, Karen Borrazzo, and Judith Charlin. 2016.</w:t>
      </w:r>
      <w:r>
        <w:t xml:space="preserve"> </w:t>
      </w:r>
      <w:r>
        <w:t xml:space="preserve">“Environment, Space, and Morphological Variation of Projectile Points in Patagonia (Southern South America).”</w:t>
      </w:r>
      <w:r>
        <w:t xml:space="preserve"> </w:t>
      </w:r>
      <w:r>
        <w:rPr>
          <w:iCs/>
          <w:i/>
        </w:rPr>
        <w:t xml:space="preserve">Quaternary International</w:t>
      </w:r>
      <w:r>
        <w:t xml:space="preserve"> </w:t>
      </w:r>
      <w:r>
        <w:t xml:space="preserve">422: 44–56.</w:t>
      </w:r>
    </w:p>
    <w:bookmarkEnd w:id="80"/>
    <w:bookmarkStart w:id="81" w:name="ref-cascalheira2018use"/>
    <w:p>
      <w:pPr>
        <w:pStyle w:val="Bibliography"/>
      </w:pPr>
      <w:r>
        <w:t xml:space="preserve">Cascalheira, João, and Nuno Bicho. 2018.</w:t>
      </w:r>
      <w:r>
        <w:t xml:space="preserve"> </w:t>
      </w:r>
      <w:r>
        <w:t xml:space="preserve">“The Use of Lithic Assemblages for the Definition of Short-Term Occupations in Hunter-Gatherer Prehistory.”</w:t>
      </w:r>
    </w:p>
    <w:bookmarkEnd w:id="81"/>
    <w:bookmarkStart w:id="82" w:name="ref-chang2013human"/>
    <w:p>
      <w:pPr>
        <w:pStyle w:val="Bibliography"/>
      </w:pPr>
      <w:r>
        <w:t xml:space="preserve">Chang, Yongjoon. 2013.</w:t>
      </w:r>
      <w:r>
        <w:t xml:space="preserve"> </w:t>
      </w:r>
      <w:r>
        <w:t xml:space="preserve">“Human Activity and Lithic Technology Between Korea and Japan from MIS 3 to MIS 2 in the Late Paleolithic Period.”</w:t>
      </w:r>
      <w:r>
        <w:t xml:space="preserve"> </w:t>
      </w:r>
      <w:r>
        <w:rPr>
          <w:iCs/>
          <w:i/>
        </w:rPr>
        <w:t xml:space="preserve">Quaternary International</w:t>
      </w:r>
      <w:r>
        <w:t xml:space="preserve"> </w:t>
      </w:r>
      <w:r>
        <w:t xml:space="preserve">308: 13–26.</w:t>
      </w:r>
    </w:p>
    <w:bookmarkEnd w:id="82"/>
    <w:bookmarkStart w:id="83" w:name="ref-core2021team"/>
    <w:p>
      <w:pPr>
        <w:pStyle w:val="Bibliography"/>
      </w:pPr>
      <w:r>
        <w:t xml:space="preserve">Core, R. 2021.</w:t>
      </w:r>
      <w:r>
        <w:t xml:space="preserve"> </w:t>
      </w:r>
      <w:r>
        <w:t xml:space="preserve">“Team. R: A Language and Environment for Statistical Computing, 2015.”</w:t>
      </w:r>
    </w:p>
    <w:bookmarkEnd w:id="83"/>
    <w:bookmarkStart w:id="84" w:name="ref-costin1995standardization"/>
    <w:p>
      <w:pPr>
        <w:pStyle w:val="Bibliography"/>
      </w:pPr>
      <w:r>
        <w:t xml:space="preserve">Costin, Cathy L, and Melissa B Hagstrum. 1995.</w:t>
      </w:r>
      <w:r>
        <w:t xml:space="preserve"> </w:t>
      </w:r>
      <w:r>
        <w:t xml:space="preserve">“Standardization, Labor Investment, Skill, and the Organization of Ceramic Production in Late Prehispanic Highland Peru.”</w:t>
      </w:r>
      <w:r>
        <w:t xml:space="preserve"> </w:t>
      </w:r>
      <w:r>
        <w:rPr>
          <w:iCs/>
          <w:i/>
        </w:rPr>
        <w:t xml:space="preserve">American Antiquity</w:t>
      </w:r>
      <w:r>
        <w:t xml:space="preserve"> </w:t>
      </w:r>
      <w:r>
        <w:t xml:space="preserve">60 (4): 619–39.</w:t>
      </w:r>
    </w:p>
    <w:bookmarkEnd w:id="84"/>
    <w:bookmarkStart w:id="85" w:name="ref-creanza2017cultural"/>
    <w:p>
      <w:pPr>
        <w:pStyle w:val="Bibliography"/>
      </w:pPr>
      <w:r>
        <w:t xml:space="preserve">Creanza, Nicole, Oren Kolodny, and Marcus W Feldman. 2017.</w:t>
      </w:r>
      <w:r>
        <w:t xml:space="preserve"> </w:t>
      </w:r>
      <w:r>
        <w:t xml:space="preserve">“Cultural Evolutionary Theory: How Culture Evolves and Why It Matters.”</w:t>
      </w:r>
      <w:r>
        <w:t xml:space="preserve"> </w:t>
      </w:r>
      <w:r>
        <w:rPr>
          <w:iCs/>
          <w:i/>
        </w:rPr>
        <w:t xml:space="preserve">Proceedings of the National Academy of Sciences</w:t>
      </w:r>
      <w:r>
        <w:t xml:space="preserve"> </w:t>
      </w:r>
      <w:r>
        <w:t xml:space="preserve">114 (30): 7782–89.</w:t>
      </w:r>
    </w:p>
    <w:bookmarkEnd w:id="85"/>
    <w:bookmarkStart w:id="86" w:name="ref-curto2009coefficient"/>
    <w:p>
      <w:pPr>
        <w:pStyle w:val="Bibliography"/>
      </w:pPr>
      <w:r>
        <w:t xml:space="preserve">Curto, José Dias, and José Castro Pinto. 2009.</w:t>
      </w:r>
      <w:r>
        <w:t xml:space="preserve"> </w:t>
      </w:r>
      <w:r>
        <w:t xml:space="preserve">“The Coefficient of Variation Asymptotic Distribution in the Case of Non-Iid Random Variables.”</w:t>
      </w:r>
      <w:r>
        <w:t xml:space="preserve"> </w:t>
      </w:r>
      <w:r>
        <w:rPr>
          <w:iCs/>
          <w:i/>
        </w:rPr>
        <w:t xml:space="preserve">Journal of Applied Statistics</w:t>
      </w:r>
      <w:r>
        <w:t xml:space="preserve"> </w:t>
      </w:r>
      <w:r>
        <w:t xml:space="preserve">36 (1): 21–32.</w:t>
      </w:r>
    </w:p>
    <w:bookmarkEnd w:id="86"/>
    <w:bookmarkStart w:id="87" w:name="ref-dunnell1980evolutionary"/>
    <w:p>
      <w:pPr>
        <w:pStyle w:val="Bibliography"/>
      </w:pPr>
      <w:r>
        <w:t xml:space="preserve">Dunnell, Robert C. 1980.</w:t>
      </w:r>
      <w:r>
        <w:t xml:space="preserve"> </w:t>
      </w:r>
      <w:r>
        <w:t xml:space="preserve">“Evolutionary Theory and Archaeology.”</w:t>
      </w:r>
      <w:r>
        <w:t xml:space="preserve"> </w:t>
      </w:r>
      <w:r>
        <w:t xml:space="preserve">In</w:t>
      </w:r>
      <w:r>
        <w:t xml:space="preserve"> </w:t>
      </w:r>
      <w:r>
        <w:rPr>
          <w:iCs/>
          <w:i/>
        </w:rPr>
        <w:t xml:space="preserve">Advances in Archaeological Method and Theory</w:t>
      </w:r>
      <w:r>
        <w:t xml:space="preserve">, 35–99. Elsevier.</w:t>
      </w:r>
    </w:p>
    <w:bookmarkEnd w:id="87"/>
    <w:bookmarkStart w:id="88" w:name="ref-eerkens2001techniques"/>
    <w:p>
      <w:pPr>
        <w:pStyle w:val="Bibliography"/>
      </w:pPr>
      <w:r>
        <w:t xml:space="preserve">Eerkens, Jelmer W, and Robert L Bettinger. 2001.</w:t>
      </w:r>
      <w:r>
        <w:t xml:space="preserve"> </w:t>
      </w:r>
      <w:r>
        <w:t xml:space="preserve">“Techniques for Assessing Standardization in Artifact Assemblages: Can We Scale Material Variability?”</w:t>
      </w:r>
      <w:r>
        <w:t xml:space="preserve"> </w:t>
      </w:r>
      <w:r>
        <w:rPr>
          <w:iCs/>
          <w:i/>
        </w:rPr>
        <w:t xml:space="preserve">American Antiquity</w:t>
      </w:r>
      <w:r>
        <w:t xml:space="preserve">, 493–504.</w:t>
      </w:r>
    </w:p>
    <w:bookmarkEnd w:id="88"/>
    <w:bookmarkStart w:id="89" w:name="ref-eerkens2008cultural"/>
    <w:p>
      <w:pPr>
        <w:pStyle w:val="Bibliography"/>
      </w:pPr>
      <w:r>
        <w:t xml:space="preserve">———. 2008.</w:t>
      </w:r>
      <w:r>
        <w:t xml:space="preserve"> </w:t>
      </w:r>
      <w:r>
        <w:t xml:space="preserve">“Cultural Transmission and the Analysis of Stylistic and Functional Variation.”</w:t>
      </w:r>
      <w:r>
        <w:t xml:space="preserve"> </w:t>
      </w:r>
      <w:r>
        <w:rPr>
          <w:iCs/>
          <w:i/>
        </w:rPr>
        <w:t xml:space="preserve">Transmission and Archaeology: Issues and Case-Studies</w:t>
      </w:r>
      <w:r>
        <w:t xml:space="preserve">, 21–38.</w:t>
      </w:r>
    </w:p>
    <w:bookmarkEnd w:id="89"/>
    <w:bookmarkStart w:id="90" w:name="ref-eerkens2005cultural"/>
    <w:p>
      <w:pPr>
        <w:pStyle w:val="Bibliography"/>
      </w:pPr>
      <w:r>
        <w:t xml:space="preserve">Eerkens, Jelmer W, and Carl P Lipo. 2005.</w:t>
      </w:r>
      <w:r>
        <w:t xml:space="preserve"> </w:t>
      </w:r>
      <w:r>
        <w:t xml:space="preserve">“Cultural Transmission, Copying Errors, and the Generation of Variation in Material Culture and the Archaeological Record.”</w:t>
      </w:r>
      <w:r>
        <w:t xml:space="preserve"> </w:t>
      </w:r>
      <w:r>
        <w:rPr>
          <w:iCs/>
          <w:i/>
        </w:rPr>
        <w:t xml:space="preserve">Journal of Anthropological Archaeology</w:t>
      </w:r>
      <w:r>
        <w:t xml:space="preserve"> </w:t>
      </w:r>
      <w:r>
        <w:t xml:space="preserve">24 (4): 316–34.</w:t>
      </w:r>
    </w:p>
    <w:bookmarkEnd w:id="90"/>
    <w:bookmarkStart w:id="91" w:name="ref-eerkens2007cultural"/>
    <w:p>
      <w:pPr>
        <w:pStyle w:val="Bibliography"/>
      </w:pPr>
      <w:r>
        <w:t xml:space="preserve">———. 2007.</w:t>
      </w:r>
      <w:r>
        <w:t xml:space="preserve"> </w:t>
      </w:r>
      <w:r>
        <w:t xml:space="preserve">“Cultural Transmission Theory and the Archaeological Record: Providing Context to Understanding Variation and Temporal Changes in Material Culture.”</w:t>
      </w:r>
      <w:r>
        <w:t xml:space="preserve"> </w:t>
      </w:r>
      <w:r>
        <w:rPr>
          <w:iCs/>
          <w:i/>
        </w:rPr>
        <w:t xml:space="preserve">Journal of Archaeological Research</w:t>
      </w:r>
      <w:r>
        <w:t xml:space="preserve"> </w:t>
      </w:r>
      <w:r>
        <w:t xml:space="preserve">15 (3): 239–74.</w:t>
      </w:r>
    </w:p>
    <w:bookmarkEnd w:id="91"/>
    <w:bookmarkStart w:id="92" w:name="ref-garvey2018current"/>
    <w:p>
      <w:pPr>
        <w:pStyle w:val="Bibliography"/>
      </w:pPr>
      <w:r>
        <w:t xml:space="preserve">Garvey, Raven. 2018.</w:t>
      </w:r>
      <w:r>
        <w:t xml:space="preserve"> </w:t>
      </w:r>
      <w:r>
        <w:t xml:space="preserve">“Current and Potential Roles of Archaeology in the Development of Cultural Evolutionary Theory.”</w:t>
      </w:r>
      <w:r>
        <w:t xml:space="preserve"> </w:t>
      </w:r>
      <w:r>
        <w:rPr>
          <w:iCs/>
          <w:i/>
        </w:rPr>
        <w:t xml:space="preserve">Philosophical Transactions of the Royal Society B: Biological Sciences</w:t>
      </w:r>
      <w:r>
        <w:t xml:space="preserve"> </w:t>
      </w:r>
      <w:r>
        <w:t xml:space="preserve">373 (1743): 20170057.</w:t>
      </w:r>
    </w:p>
    <w:bookmarkEnd w:id="92"/>
    <w:bookmarkStart w:id="93" w:name="ref-gulhar2012comparison"/>
    <w:p>
      <w:pPr>
        <w:pStyle w:val="Bibliography"/>
      </w:pPr>
      <w:r>
        <w:t xml:space="preserve">Gulhar, Monika, BM Golam Kibria, Ahmed N Albatineh, and Nasar U Ahmed. 2012.</w:t>
      </w:r>
      <w:r>
        <w:t xml:space="preserve"> </w:t>
      </w:r>
      <w:r>
        <w:t xml:space="preserve">“A Comparison of Some Confidence Intervals for Estimating the Population Coefficient of Variation: A Simulation Study.”</w:t>
      </w:r>
      <w:r>
        <w:t xml:space="preserve"> </w:t>
      </w:r>
      <w:r>
        <w:rPr>
          <w:iCs/>
          <w:i/>
        </w:rPr>
        <w:t xml:space="preserve">SORT-Statistics and Operations Research Transactions</w:t>
      </w:r>
      <w:r>
        <w:t xml:space="preserve">, 45–68.</w:t>
      </w:r>
    </w:p>
    <w:bookmarkEnd w:id="93"/>
    <w:bookmarkStart w:id="94" w:name="ref-heyes1994social"/>
    <w:p>
      <w:pPr>
        <w:pStyle w:val="Bibliography"/>
      </w:pPr>
      <w:r>
        <w:t xml:space="preserve">Heyes, Cecilia M. 1994.</w:t>
      </w:r>
      <w:r>
        <w:t xml:space="preserve"> </w:t>
      </w:r>
      <w:r>
        <w:t xml:space="preserve">“Social Learning in Animals: Categories and Mechanisms.”</w:t>
      </w:r>
      <w:r>
        <w:t xml:space="preserve"> </w:t>
      </w:r>
      <w:r>
        <w:rPr>
          <w:iCs/>
          <w:i/>
        </w:rPr>
        <w:t xml:space="preserve">Biological Reviews</w:t>
      </w:r>
      <w:r>
        <w:t xml:space="preserve"> </w:t>
      </w:r>
      <w:r>
        <w:t xml:space="preserve">69 (2): 207–31.</w:t>
      </w:r>
    </w:p>
    <w:bookmarkEnd w:id="94"/>
    <w:bookmarkStart w:id="95" w:name="ref-ivanovaite2020all"/>
    <w:p>
      <w:pPr>
        <w:pStyle w:val="Bibliography"/>
      </w:pPr>
      <w:r>
        <w:t xml:space="preserve">Ivanovaitė, Livija, Kamil Serwatka, Christian Steven Hoggard, Florian Sauer, and Felix Riede. 2020.</w:t>
      </w:r>
      <w:r>
        <w:t xml:space="preserve"> </w:t>
      </w:r>
      <w:r>
        <w:t xml:space="preserve">“All These Fantastic Cultures? Research History and Regionalization in the Late Palaeolithic Tanged Point Cultures of Eastern Europe.”</w:t>
      </w:r>
      <w:r>
        <w:t xml:space="preserve"> </w:t>
      </w:r>
      <w:r>
        <w:rPr>
          <w:iCs/>
          <w:i/>
        </w:rPr>
        <w:t xml:space="preserve">European Journal of Archaeology</w:t>
      </w:r>
      <w:r>
        <w:t xml:space="preserve"> </w:t>
      </w:r>
      <w:r>
        <w:t xml:space="preserve">23 (2): 162–85.</w:t>
      </w:r>
    </w:p>
    <w:bookmarkEnd w:id="95"/>
    <w:bookmarkStart w:id="96" w:name="ref-kelley2007sample"/>
    <w:p>
      <w:pPr>
        <w:pStyle w:val="Bibliography"/>
      </w:pPr>
      <w:r>
        <w:t xml:space="preserve">Kelley, Ken. 2007.</w:t>
      </w:r>
      <w:r>
        <w:t xml:space="preserve"> </w:t>
      </w:r>
      <w:r>
        <w:t xml:space="preserve">“Sample Size Planning for the Coefficient of Variation from the Accuracy in Parameter Estimation Approach.”</w:t>
      </w:r>
      <w:r>
        <w:t xml:space="preserve"> </w:t>
      </w:r>
      <w:r>
        <w:rPr>
          <w:iCs/>
          <w:i/>
        </w:rPr>
        <w:t xml:space="preserve">Behavior Research Methods</w:t>
      </w:r>
      <w:r>
        <w:t xml:space="preserve"> </w:t>
      </w:r>
      <w:r>
        <w:t xml:space="preserve">39 (4): 755–66.</w:t>
      </w:r>
    </w:p>
    <w:bookmarkEnd w:id="96"/>
    <w:bookmarkStart w:id="97" w:name="ref-kendal2018social"/>
    <w:p>
      <w:pPr>
        <w:pStyle w:val="Bibliography"/>
      </w:pPr>
      <w:r>
        <w:t xml:space="preserve">Kendal, Rachel L, Neeltje J Boogert, Luke Rendell, Kevin N Laland, Mike Webster, and Patricia L Jones. 2018.</w:t>
      </w:r>
      <w:r>
        <w:t xml:space="preserve"> </w:t>
      </w:r>
      <w:r>
        <w:t xml:space="preserve">“Social Learning Strategies: Bridge-Building Between Fields.”</w:t>
      </w:r>
      <w:r>
        <w:t xml:space="preserve"> </w:t>
      </w:r>
      <w:r>
        <w:rPr>
          <w:iCs/>
          <w:i/>
        </w:rPr>
        <w:t xml:space="preserve">Trends in Cognitive Sciences</w:t>
      </w:r>
      <w:r>
        <w:t xml:space="preserve"> </w:t>
      </w:r>
      <w:r>
        <w:t xml:space="preserve">22 (7): 651–65.</w:t>
      </w:r>
    </w:p>
    <w:bookmarkEnd w:id="97"/>
    <w:bookmarkStart w:id="98" w:name="ref-Kim_2017"/>
    <w:p>
      <w:pPr>
        <w:pStyle w:val="Bibliography"/>
      </w:pPr>
      <w:r>
        <w:t xml:space="preserve">Kim, Eun-jeong. 2017.</w:t>
      </w:r>
      <w:r>
        <w:t xml:space="preserve"> </w:t>
      </w:r>
      <w:r>
        <w:t xml:space="preserve">“Morphological Diversity and Functional Differentiation of Tanged-Point: Focused on Suyanggae, Jingeuneul and Yongsandong Site.”</w:t>
      </w:r>
      <w:r>
        <w:t xml:space="preserve"> </w:t>
      </w:r>
      <w:r>
        <w:rPr>
          <w:iCs/>
          <w:i/>
        </w:rPr>
        <w:t xml:space="preserve">Journal of Korean Paleolithic Society</w:t>
      </w:r>
      <w:r>
        <w:t xml:space="preserve">, no. 36 (December): 29–47.</w:t>
      </w:r>
    </w:p>
    <w:bookmarkEnd w:id="98"/>
    <w:bookmarkStart w:id="99" w:name="ref-koopmans1964confidence"/>
    <w:p>
      <w:pPr>
        <w:pStyle w:val="Bibliography"/>
      </w:pPr>
      <w:r>
        <w:t xml:space="preserve">Koopmans, Lambert H, Donald B Owen, and Judah I Rosenblatt. 1964.</w:t>
      </w:r>
      <w:r>
        <w:t xml:space="preserve"> </w:t>
      </w:r>
      <w:r>
        <w:t xml:space="preserve">“Confidence Intervals for the Coefficient of Variation for the Normal and Log Normal Distributions.”</w:t>
      </w:r>
      <w:r>
        <w:t xml:space="preserve"> </w:t>
      </w:r>
      <w:r>
        <w:rPr>
          <w:iCs/>
          <w:i/>
        </w:rPr>
        <w:t xml:space="preserve">Biometrika</w:t>
      </w:r>
      <w:r>
        <w:t xml:space="preserve"> </w:t>
      </w:r>
      <w:r>
        <w:t xml:space="preserve">51 (1/2): 25–32.</w:t>
      </w:r>
    </w:p>
    <w:bookmarkEnd w:id="99"/>
    <w:bookmarkStart w:id="100" w:name="ref-kvamme1996alternative"/>
    <w:p>
      <w:pPr>
        <w:pStyle w:val="Bibliography"/>
      </w:pPr>
      <w:r>
        <w:t xml:space="preserve">Kvamme, Kenneth L, Miriam T Stark, and William A Longacre. 1996.</w:t>
      </w:r>
      <w:r>
        <w:t xml:space="preserve"> </w:t>
      </w:r>
      <w:r>
        <w:t xml:space="preserve">“Alternative Procedures for Assessing Standardization in Ceramic Assemblages.”</w:t>
      </w:r>
      <w:r>
        <w:t xml:space="preserve"> </w:t>
      </w:r>
      <w:r>
        <w:rPr>
          <w:iCs/>
          <w:i/>
        </w:rPr>
        <w:t xml:space="preserve">American Antiquity</w:t>
      </w:r>
      <w:r>
        <w:t xml:space="preserve"> </w:t>
      </w:r>
      <w:r>
        <w:t xml:space="preserve">61 (1): 116–26.</w:t>
      </w:r>
    </w:p>
    <w:bookmarkEnd w:id="100"/>
    <w:bookmarkStart w:id="101" w:name="ref-lee2019were"/>
    <w:p>
      <w:pPr>
        <w:pStyle w:val="Bibliography"/>
      </w:pPr>
      <w:r>
        <w:t xml:space="preserve">Lee, Gi-Kil, and Katsuhiro Sano. 2019.</w:t>
      </w:r>
      <w:r>
        <w:t xml:space="preserve"> </w:t>
      </w:r>
      <w:r>
        <w:t xml:space="preserve">“Were Tanged Points Mechanically Delivered Armatures? Functional and Morphometric Analyses of Tanged Points from an Upper Paleolithic Site at Jingeuneul, Korea.”</w:t>
      </w:r>
      <w:r>
        <w:t xml:space="preserve"> </w:t>
      </w:r>
      <w:r>
        <w:rPr>
          <w:iCs/>
          <w:i/>
        </w:rPr>
        <w:t xml:space="preserve">Archaeological and Anthropological Sciences</w:t>
      </w:r>
      <w:r>
        <w:t xml:space="preserve"> </w:t>
      </w:r>
      <w:r>
        <w:t xml:space="preserve">11 (6): 2453–65.</w:t>
      </w:r>
    </w:p>
    <w:bookmarkEnd w:id="101"/>
    <w:bookmarkStart w:id="102" w:name="ref-lee2013current"/>
    <w:p>
      <w:pPr>
        <w:pStyle w:val="Bibliography"/>
      </w:pPr>
      <w:r>
        <w:t xml:space="preserve">Lee, Hyeong Woo. 2013.</w:t>
      </w:r>
      <w:r>
        <w:t xml:space="preserve"> </w:t>
      </w:r>
      <w:r>
        <w:t xml:space="preserve">“Current Observations of the Early Late Paleolithic in Korea.”</w:t>
      </w:r>
      <w:r>
        <w:t xml:space="preserve"> </w:t>
      </w:r>
      <w:r>
        <w:rPr>
          <w:iCs/>
          <w:i/>
        </w:rPr>
        <w:t xml:space="preserve">Quaternary International</w:t>
      </w:r>
      <w:r>
        <w:t xml:space="preserve"> </w:t>
      </w:r>
      <w:r>
        <w:t xml:space="preserve">316: 45–58.</w:t>
      </w:r>
    </w:p>
    <w:bookmarkEnd w:id="102"/>
    <w:bookmarkStart w:id="103" w:name="ref-leplongeon2020backed"/>
    <w:p>
      <w:pPr>
        <w:pStyle w:val="Bibliography"/>
      </w:pPr>
      <w:r>
        <w:t xml:space="preserve">Leplongeon, Alice, Clément Ménard, Vincent Bonhomme, and Eugenio Bortolini. 2020.</w:t>
      </w:r>
      <w:r>
        <w:t xml:space="preserve"> </w:t>
      </w:r>
      <w:r>
        <w:t xml:space="preserve">“Backed Pieces and Their Variability in the Later Stone Age of the Horn of Africa.”</w:t>
      </w:r>
      <w:r>
        <w:t xml:space="preserve"> </w:t>
      </w:r>
      <w:r>
        <w:rPr>
          <w:iCs/>
          <w:i/>
        </w:rPr>
        <w:t xml:space="preserve">African Archaeological Review</w:t>
      </w:r>
      <w:r>
        <w:t xml:space="preserve"> </w:t>
      </w:r>
      <w:r>
        <w:t xml:space="preserve">37 (3): 437–68.</w:t>
      </w:r>
    </w:p>
    <w:bookmarkEnd w:id="103"/>
    <w:bookmarkStart w:id="104" w:name="ref-lipo1997population"/>
    <w:p>
      <w:pPr>
        <w:pStyle w:val="Bibliography"/>
      </w:pPr>
      <w:r>
        <w:t xml:space="preserve">Lipo, Carl P, Mark E Madsen, Robert C Dunnell, and Tim Hunt. 1997.</w:t>
      </w:r>
      <w:r>
        <w:t xml:space="preserve"> </w:t>
      </w:r>
      <w:r>
        <w:t xml:space="preserve">“Population Structure, Cultural Transmission, and Frequency Seriation.”</w:t>
      </w:r>
      <w:r>
        <w:t xml:space="preserve"> </w:t>
      </w:r>
      <w:r>
        <w:rPr>
          <w:iCs/>
          <w:i/>
        </w:rPr>
        <w:t xml:space="preserve">Journal of Anthropological Archaeology</w:t>
      </w:r>
      <w:r>
        <w:t xml:space="preserve"> </w:t>
      </w:r>
      <w:r>
        <w:t xml:space="preserve">16 (4): 301–33.</w:t>
      </w:r>
    </w:p>
    <w:bookmarkEnd w:id="104"/>
    <w:bookmarkStart w:id="105" w:name="ref-lycett2015cultural"/>
    <w:p>
      <w:pPr>
        <w:pStyle w:val="Bibliography"/>
      </w:pPr>
      <w:r>
        <w:t xml:space="preserve">Lycett, Stephen J. 2015.</w:t>
      </w:r>
      <w:r>
        <w:t xml:space="preserve"> </w:t>
      </w:r>
      <w:r>
        <w:t xml:space="preserve">“Cultural Evolutionary Approaches to Artifact Variation over Time and Space: Basis, Progress, and Prospects.”</w:t>
      </w:r>
      <w:r>
        <w:t xml:space="preserve"> </w:t>
      </w:r>
      <w:r>
        <w:rPr>
          <w:iCs/>
          <w:i/>
        </w:rPr>
        <w:t xml:space="preserve">Journal of Archaeological Science</w:t>
      </w:r>
      <w:r>
        <w:t xml:space="preserve"> </w:t>
      </w:r>
      <w:r>
        <w:t xml:space="preserve">56: 21–31.</w:t>
      </w:r>
    </w:p>
    <w:bookmarkEnd w:id="105"/>
    <w:bookmarkStart w:id="106" w:name="ref-macleod2018quantitative"/>
    <w:p>
      <w:pPr>
        <w:pStyle w:val="Bibliography"/>
      </w:pPr>
      <w:r>
        <w:t xml:space="preserve">MacLeod, Norman. 2018.</w:t>
      </w:r>
      <w:r>
        <w:t xml:space="preserve"> </w:t>
      </w:r>
      <w:r>
        <w:t xml:space="preserve">“The Quantitative Assessment of Archaeological Artifact Groups: Beyond Geometric Morphometrics.”</w:t>
      </w:r>
      <w:r>
        <w:t xml:space="preserve"> </w:t>
      </w:r>
      <w:r>
        <w:rPr>
          <w:iCs/>
          <w:i/>
        </w:rPr>
        <w:t xml:space="preserve">Quaternary Science Reviews</w:t>
      </w:r>
      <w:r>
        <w:t xml:space="preserve"> </w:t>
      </w:r>
      <w:r>
        <w:t xml:space="preserve">201: 319–48.</w:t>
      </w:r>
    </w:p>
    <w:bookmarkEnd w:id="106"/>
    <w:bookmarkStart w:id="107" w:name="ref-mahmoudvand2009two"/>
    <w:p>
      <w:pPr>
        <w:pStyle w:val="Bibliography"/>
      </w:pPr>
      <w:r>
        <w:t xml:space="preserve">Mahmoudvand, Rahim, and Hossein Hassani. 2009.</w:t>
      </w:r>
      <w:r>
        <w:t xml:space="preserve"> </w:t>
      </w:r>
      <w:r>
        <w:t xml:space="preserve">“Two New Confidence Intervals for the Coefficient of Variation in a Normal Distribution.”</w:t>
      </w:r>
      <w:r>
        <w:t xml:space="preserve"> </w:t>
      </w:r>
      <w:r>
        <w:rPr>
          <w:iCs/>
          <w:i/>
        </w:rPr>
        <w:t xml:space="preserve">Journal of Applied Statistics</w:t>
      </w:r>
      <w:r>
        <w:t xml:space="preserve"> </w:t>
      </w:r>
      <w:r>
        <w:t xml:space="preserve">36 (4): 429–42.</w:t>
      </w:r>
    </w:p>
    <w:bookmarkEnd w:id="107"/>
    <w:bookmarkStart w:id="108" w:name="ref-marwick2017computational"/>
    <w:p>
      <w:pPr>
        <w:pStyle w:val="Bibliography"/>
      </w:pPr>
      <w:r>
        <w:t xml:space="preserve">Marwick, Ben. 2017.</w:t>
      </w:r>
      <w:r>
        <w:t xml:space="preserve"> </w:t>
      </w:r>
      <w:r>
        <w:t xml:space="preserve">“Computational Reproducibility in Archaeological Research: Basic Principles and a Case Study of Their Implementation.”</w:t>
      </w:r>
      <w:r>
        <w:t xml:space="preserve"> </w:t>
      </w:r>
      <w:r>
        <w:rPr>
          <w:iCs/>
          <w:i/>
        </w:rPr>
        <w:t xml:space="preserve">Journal of Archaeological Method and Theory</w:t>
      </w:r>
      <w:r>
        <w:t xml:space="preserve"> </w:t>
      </w:r>
      <w:r>
        <w:t xml:space="preserve">24 (2): 424–50.</w:t>
      </w:r>
    </w:p>
    <w:bookmarkEnd w:id="108"/>
    <w:bookmarkStart w:id="109" w:name="ref-mckay1932distribution"/>
    <w:p>
      <w:pPr>
        <w:pStyle w:val="Bibliography"/>
      </w:pPr>
      <w:r>
        <w:t xml:space="preserve">McKay, AT. 1932.</w:t>
      </w:r>
      <w:r>
        <w:t xml:space="preserve"> </w:t>
      </w:r>
      <w:r>
        <w:t xml:space="preserve">“Distribution of the Coefficient of Variation and the Extended" t" Distribution.”</w:t>
      </w:r>
      <w:r>
        <w:t xml:space="preserve"> </w:t>
      </w:r>
      <w:r>
        <w:rPr>
          <w:iCs/>
          <w:i/>
        </w:rPr>
        <w:t xml:space="preserve">Journal of the Royal Statistical Society</w:t>
      </w:r>
      <w:r>
        <w:t xml:space="preserve"> </w:t>
      </w:r>
      <w:r>
        <w:t xml:space="preserve">95 (4): 695–98.</w:t>
      </w:r>
    </w:p>
    <w:bookmarkEnd w:id="109"/>
    <w:bookmarkStart w:id="110" w:name="ref-mesoudi2008cultural"/>
    <w:p>
      <w:pPr>
        <w:pStyle w:val="Bibliography"/>
      </w:pPr>
      <w:r>
        <w:t xml:space="preserve">Mesoudi, Alex, and Michael J O’Brien. 2008.</w:t>
      </w:r>
      <w:r>
        <w:t xml:space="preserve"> </w:t>
      </w:r>
      <w:r>
        <w:t xml:space="preserve">“The Cultural Transmission of Great Basin Projectile-Point Technology i: An Experimental Simulation.”</w:t>
      </w:r>
      <w:r>
        <w:t xml:space="preserve"> </w:t>
      </w:r>
      <w:r>
        <w:rPr>
          <w:iCs/>
          <w:i/>
        </w:rPr>
        <w:t xml:space="preserve">American Antiquity</w:t>
      </w:r>
      <w:r>
        <w:t xml:space="preserve">, 3–28.</w:t>
      </w:r>
    </w:p>
    <w:bookmarkEnd w:id="110"/>
    <w:bookmarkStart w:id="111" w:name="ref-miller1991asymptomatic"/>
    <w:p>
      <w:pPr>
        <w:pStyle w:val="Bibliography"/>
      </w:pPr>
      <w:r>
        <w:t xml:space="preserve">Miller, RG. 1991.</w:t>
      </w:r>
      <w:r>
        <w:t xml:space="preserve"> </w:t>
      </w:r>
      <w:r>
        <w:t xml:space="preserve">“Asymptomatic Test Statistics for Coefficients of Variation.”</w:t>
      </w:r>
      <w:r>
        <w:t xml:space="preserve"> </w:t>
      </w:r>
      <w:r>
        <w:rPr>
          <w:iCs/>
          <w:i/>
        </w:rPr>
        <w:t xml:space="preserve">Theor Meth</w:t>
      </w:r>
      <w:r>
        <w:t xml:space="preserve"> </w:t>
      </w:r>
      <w:r>
        <w:t xml:space="preserve">20: 2251–62.</w:t>
      </w:r>
    </w:p>
    <w:bookmarkEnd w:id="111"/>
    <w:bookmarkStart w:id="112" w:name="ref-ng2006performance"/>
    <w:p>
      <w:pPr>
        <w:pStyle w:val="Bibliography"/>
      </w:pPr>
      <w:r>
        <w:t xml:space="preserve">Ng, CK. 2006.</w:t>
      </w:r>
      <w:r>
        <w:t xml:space="preserve"> </w:t>
      </w:r>
      <w:r>
        <w:t xml:space="preserve">“Performance of Three Methods of Interval Estimation of the Coefficient of Variation.”</w:t>
      </w:r>
      <w:r>
        <w:t xml:space="preserve"> </w:t>
      </w:r>
      <w:r>
        <w:rPr>
          <w:iCs/>
          <w:i/>
        </w:rPr>
        <w:t xml:space="preserve">InterStat</w:t>
      </w:r>
      <w:r>
        <w:t xml:space="preserve">.</w:t>
      </w:r>
    </w:p>
    <w:bookmarkEnd w:id="112"/>
    <w:bookmarkStart w:id="113" w:name="ref-o2017dual"/>
    <w:p>
      <w:pPr>
        <w:pStyle w:val="Bibliography"/>
      </w:pPr>
      <w:r>
        <w:t xml:space="preserve">O’Brien, Michael J, and R Alexander Bentley. 2017.</w:t>
      </w:r>
      <w:r>
        <w:t xml:space="preserve"> </w:t>
      </w:r>
      <w:r>
        <w:t xml:space="preserve">“Dual Inheritance, Cultural Transmission, and Niche Construction.”</w:t>
      </w:r>
      <w:r>
        <w:t xml:space="preserve"> </w:t>
      </w:r>
      <w:r>
        <w:rPr>
          <w:iCs/>
          <w:i/>
        </w:rPr>
        <w:t xml:space="preserve">The Handbook of Culture and Biology</w:t>
      </w:r>
      <w:r>
        <w:t xml:space="preserve">.</w:t>
      </w:r>
    </w:p>
    <w:bookmarkEnd w:id="113"/>
    <w:bookmarkStart w:id="114" w:name="ref-o2000applying"/>
    <w:p>
      <w:pPr>
        <w:pStyle w:val="Bibliography"/>
      </w:pPr>
      <w:r>
        <w:t xml:space="preserve">O’brien, Michael J, and R Lee Lyman. 2000.</w:t>
      </w:r>
      <w:r>
        <w:t xml:space="preserve"> </w:t>
      </w:r>
      <w:r>
        <w:rPr>
          <w:iCs/>
          <w:i/>
        </w:rPr>
        <w:t xml:space="preserve">Applying Evolutionary Archaeology: A Systematic Approach</w:t>
      </w:r>
      <w:r>
        <w:t xml:space="preserve">. Springer Science &amp; Business Media.</w:t>
      </w:r>
    </w:p>
    <w:bookmarkEnd w:id="114"/>
    <w:bookmarkStart w:id="115" w:name="ref-okumura2019archaeology"/>
    <w:p>
      <w:pPr>
        <w:pStyle w:val="Bibliography"/>
      </w:pPr>
      <w:r>
        <w:t xml:space="preserve">Okumura, Mercedes, and Astolfo GM Araujo. 2019.</w:t>
      </w:r>
      <w:r>
        <w:t xml:space="preserve"> </w:t>
      </w:r>
      <w:r>
        <w:t xml:space="preserve">“Archaeology, Biology, and Borrowing: A Critical Examination of Geometric Morphometrics in Archaeology.”</w:t>
      </w:r>
      <w:r>
        <w:t xml:space="preserve"> </w:t>
      </w:r>
      <w:r>
        <w:rPr>
          <w:iCs/>
          <w:i/>
        </w:rPr>
        <w:t xml:space="preserve">Journal of Archaeological Science</w:t>
      </w:r>
      <w:r>
        <w:t xml:space="preserve"> </w:t>
      </w:r>
      <w:r>
        <w:t xml:space="preserve">101: 149–58.</w:t>
      </w:r>
    </w:p>
    <w:bookmarkEnd w:id="115"/>
    <w:bookmarkStart w:id="116" w:name="ref-panichkitkosolkul2009improved"/>
    <w:p>
      <w:pPr>
        <w:pStyle w:val="Bibliography"/>
      </w:pPr>
      <w:r>
        <w:t xml:space="preserve">Panichkitkosolkul, Wararit. 2009.</w:t>
      </w:r>
      <w:r>
        <w:t xml:space="preserve"> </w:t>
      </w:r>
      <w:r>
        <w:t xml:space="preserve">“Improved Confidence Intervals for a Coefficient of Variation of a Normal Distribution.”</w:t>
      </w:r>
      <w:r>
        <w:t xml:space="preserve"> </w:t>
      </w:r>
      <w:r>
        <w:rPr>
          <w:iCs/>
          <w:i/>
        </w:rPr>
        <w:t xml:space="preserve">Thailand Statistician</w:t>
      </w:r>
      <w:r>
        <w:t xml:space="preserve"> </w:t>
      </w:r>
      <w:r>
        <w:t xml:space="preserve">7 (2): 193–99.</w:t>
      </w:r>
    </w:p>
    <w:bookmarkEnd w:id="116"/>
    <w:bookmarkStart w:id="117" w:name="ref-panichkitkosolkul2013confidence"/>
    <w:p>
      <w:pPr>
        <w:pStyle w:val="Bibliography"/>
      </w:pPr>
      <w:r>
        <w:t xml:space="preserve">———. 2013.</w:t>
      </w:r>
      <w:r>
        <w:t xml:space="preserve"> </w:t>
      </w:r>
      <w:r>
        <w:t xml:space="preserve">“Confidence Intervals for the Coefficient of Variation in a Normal Distribution with a Known Population Mean.”</w:t>
      </w:r>
      <w:r>
        <w:t xml:space="preserve"> </w:t>
      </w:r>
      <w:r>
        <w:rPr>
          <w:iCs/>
          <w:i/>
        </w:rPr>
        <w:t xml:space="preserve">Journal of Probability and Statistics</w:t>
      </w:r>
      <w:r>
        <w:t xml:space="preserve"> </w:t>
      </w:r>
      <w:r>
        <w:t xml:space="preserve">2013.</w:t>
      </w:r>
    </w:p>
    <w:bookmarkEnd w:id="117"/>
    <w:bookmarkStart w:id="118" w:name="ref-Park_2013"/>
    <w:p>
      <w:pPr>
        <w:pStyle w:val="Bibliography"/>
      </w:pPr>
      <w:r>
        <w:t xml:space="preserve">Park, Gayoung. 2013.</w:t>
      </w:r>
      <w:r>
        <w:t xml:space="preserve"> </w:t>
      </w:r>
      <w:r>
        <w:t xml:space="preserve">“A Study on the Stemmed Points of the Late Paleolithic in the Korean Peninsula.”</w:t>
      </w:r>
      <w:r>
        <w:t xml:space="preserve"> </w:t>
      </w:r>
      <w:r>
        <w:rPr>
          <w:iCs/>
          <w:i/>
        </w:rPr>
        <w:t xml:space="preserve">Yeongnam Archaeological Review</w:t>
      </w:r>
      <w:r>
        <w:t xml:space="preserve"> </w:t>
      </w:r>
      <w:r>
        <w:t xml:space="preserve">64: 39–69.</w:t>
      </w:r>
    </w:p>
    <w:bookmarkEnd w:id="118"/>
    <w:bookmarkStart w:id="119" w:name="ref-petvrik2018shape"/>
    <w:p>
      <w:pPr>
        <w:pStyle w:val="Bibliography"/>
      </w:pPr>
      <w:r>
        <w:t xml:space="preserve">Petřı́k, Jan, Daniel Sosna, Lubomı́r Prokeš, Denis Štefanisko, and Patrik Galeta. 2018.</w:t>
      </w:r>
      <w:r>
        <w:t xml:space="preserve"> </w:t>
      </w:r>
      <w:r>
        <w:t xml:space="preserve">“Shape Matters: Assessing Regional Variation of Bell Beaker Projectile Points in Central Europe Using Geometric Morphometrics.”</w:t>
      </w:r>
      <w:r>
        <w:t xml:space="preserve"> </w:t>
      </w:r>
      <w:r>
        <w:rPr>
          <w:iCs/>
          <w:i/>
        </w:rPr>
        <w:t xml:space="preserve">Archaeological and Anthropological Sciences</w:t>
      </w:r>
      <w:r>
        <w:t xml:space="preserve"> </w:t>
      </w:r>
      <w:r>
        <w:t xml:space="preserve">10 (4): 893–904.</w:t>
      </w:r>
    </w:p>
    <w:bookmarkEnd w:id="119"/>
    <w:bookmarkStart w:id="120" w:name="ref-richerson1992cultural"/>
    <w:p>
      <w:pPr>
        <w:pStyle w:val="Bibliography"/>
      </w:pPr>
      <w:r>
        <w:t xml:space="preserve">Richerson, Peter J, and Robert Boyd. 1992.</w:t>
      </w:r>
      <w:r>
        <w:t xml:space="preserve"> </w:t>
      </w:r>
      <w:r>
        <w:t xml:space="preserve">“Cultural Inheritance and Evolutionary Ecology.”</w:t>
      </w:r>
      <w:r>
        <w:t xml:space="preserve"> </w:t>
      </w:r>
      <w:r>
        <w:rPr>
          <w:iCs/>
          <w:i/>
        </w:rPr>
        <w:t xml:space="preserve">Evolutionary Ecology and Human Behavior</w:t>
      </w:r>
      <w:r>
        <w:t xml:space="preserve">, 61–92.</w:t>
      </w:r>
    </w:p>
    <w:bookmarkEnd w:id="120"/>
    <w:bookmarkStart w:id="121" w:name="ref-rivals2009new"/>
    <w:p>
      <w:pPr>
        <w:pStyle w:val="Bibliography"/>
      </w:pPr>
      <w:r>
        <w:t xml:space="preserve">Rivals, Florent, Ellen Schulz, and Thomas M Kaiser. 2009.</w:t>
      </w:r>
      <w:r>
        <w:t xml:space="preserve"> </w:t>
      </w:r>
      <w:r>
        <w:t xml:space="preserve">“A New Application of Dental Wear Analyses: Estimation of Duration of Hominid Occupations in Archaeological Localities.”</w:t>
      </w:r>
      <w:r>
        <w:t xml:space="preserve"> </w:t>
      </w:r>
      <w:r>
        <w:rPr>
          <w:iCs/>
          <w:i/>
        </w:rPr>
        <w:t xml:space="preserve">Journal of Human Evolution</w:t>
      </w:r>
      <w:r>
        <w:t xml:space="preserve"> </w:t>
      </w:r>
      <w:r>
        <w:t xml:space="preserve">56 (4): 329–39.</w:t>
      </w:r>
    </w:p>
    <w:bookmarkEnd w:id="121"/>
    <w:bookmarkStart w:id="122" w:name="ref-schillinger2014copying"/>
    <w:p>
      <w:pPr>
        <w:pStyle w:val="Bibliography"/>
      </w:pPr>
      <w:r>
        <w:t xml:space="preserve">Schillinger, Kerstin, Alex Mesoudi, and Stephen J Lycett. 2014.</w:t>
      </w:r>
      <w:r>
        <w:t xml:space="preserve"> </w:t>
      </w:r>
      <w:r>
        <w:t xml:space="preserve">“Copying Error and the Cultural Evolution of" Additive" Vs." Reductive" Material Traditions: An Experimental Assessment.”</w:t>
      </w:r>
      <w:r>
        <w:t xml:space="preserve"> </w:t>
      </w:r>
      <w:r>
        <w:rPr>
          <w:iCs/>
          <w:i/>
        </w:rPr>
        <w:t xml:space="preserve">American Antiquity</w:t>
      </w:r>
      <w:r>
        <w:t xml:space="preserve">, 128–43.</w:t>
      </w:r>
    </w:p>
    <w:bookmarkEnd w:id="122"/>
    <w:bookmarkStart w:id="123" w:name="ref-schneider2012nih"/>
    <w:p>
      <w:pPr>
        <w:pStyle w:val="Bibliography"/>
      </w:pPr>
      <w:r>
        <w:t xml:space="preserve">Schneider, Caroline A, Wayne S Rasband, and Kevin W Eliceiri. 2012.</w:t>
      </w:r>
      <w:r>
        <w:t xml:space="preserve"> </w:t>
      </w:r>
      <w:r>
        <w:t xml:space="preserve">“NIH Image to ImageJ: 25 Years of Image Analysis.”</w:t>
      </w:r>
      <w:r>
        <w:t xml:space="preserve"> </w:t>
      </w:r>
      <w:r>
        <w:rPr>
          <w:iCs/>
          <w:i/>
        </w:rPr>
        <w:t xml:space="preserve">Nature Methods</w:t>
      </w:r>
      <w:r>
        <w:t xml:space="preserve"> </w:t>
      </w:r>
      <w:r>
        <w:t xml:space="preserve">9 (7): 671–75.</w:t>
      </w:r>
    </w:p>
    <w:bookmarkEnd w:id="123"/>
    <w:bookmarkStart w:id="124" w:name="ref-selden2014advances"/>
    <w:p>
      <w:pPr>
        <w:pStyle w:val="Bibliography"/>
      </w:pPr>
      <w:r>
        <w:t xml:space="preserve">Selden, Robert Z, Timothy K Perttula, and Michael J O’Brien. 2014.</w:t>
      </w:r>
      <w:r>
        <w:t xml:space="preserve"> </w:t>
      </w:r>
      <w:r>
        <w:t xml:space="preserve">“Advances in Documentation, Digital Curation, Virtual Exhibition, and a Test of 3d Geometric Morphometrics: A Case Study of the Vanderpool Vessels from the Ancestral Caddo Territory.”</w:t>
      </w:r>
      <w:r>
        <w:t xml:space="preserve"> </w:t>
      </w:r>
      <w:r>
        <w:rPr>
          <w:iCs/>
          <w:i/>
        </w:rPr>
        <w:t xml:space="preserve">Advances in Archaeological Practice</w:t>
      </w:r>
      <w:r>
        <w:t xml:space="preserve"> </w:t>
      </w:r>
      <w:r>
        <w:t xml:space="preserve">2 (2): 64–79.</w:t>
      </w:r>
    </w:p>
    <w:bookmarkEnd w:id="124"/>
    <w:bookmarkStart w:id="125" w:name="ref-seong2006structure"/>
    <w:p>
      <w:pPr>
        <w:pStyle w:val="Bibliography"/>
      </w:pPr>
      <w:r>
        <w:t xml:space="preserve">Seong, C. 2006.</w:t>
      </w:r>
      <w:r>
        <w:t xml:space="preserve"> </w:t>
      </w:r>
      <w:r>
        <w:t xml:space="preserve">“Structure and Evolution of Late Paleolithic Assemblages in Korea.”</w:t>
      </w:r>
      <w:r>
        <w:t xml:space="preserve"> </w:t>
      </w:r>
      <w:r>
        <w:rPr>
          <w:iCs/>
          <w:i/>
        </w:rPr>
        <w:t xml:space="preserve">Journal of the Korean Archaeological Society</w:t>
      </w:r>
      <w:r>
        <w:t xml:space="preserve"> </w:t>
      </w:r>
      <w:r>
        <w:t xml:space="preserve">59: 4–39.</w:t>
      </w:r>
    </w:p>
    <w:bookmarkEnd w:id="125"/>
    <w:bookmarkStart w:id="126" w:name="ref-seong2008tanged"/>
    <w:p>
      <w:pPr>
        <w:pStyle w:val="Bibliography"/>
      </w:pPr>
      <w:r>
        <w:t xml:space="preserve">Seong, Chuntaek. 2008.</w:t>
      </w:r>
      <w:r>
        <w:t xml:space="preserve"> </w:t>
      </w:r>
      <w:r>
        <w:t xml:space="preserve">“Tanged Points, Microblades and Late Palaeolithic Hunting in Korea.”</w:t>
      </w:r>
      <w:r>
        <w:t xml:space="preserve"> </w:t>
      </w:r>
      <w:r>
        <w:rPr>
          <w:iCs/>
          <w:i/>
        </w:rPr>
        <w:t xml:space="preserve">Antiquity</w:t>
      </w:r>
      <w:r>
        <w:t xml:space="preserve"> </w:t>
      </w:r>
      <w:r>
        <w:t xml:space="preserve">82 (318): 871–83.</w:t>
      </w:r>
    </w:p>
    <w:bookmarkEnd w:id="126"/>
    <w:bookmarkStart w:id="127" w:name="ref-seong2009emergence"/>
    <w:p>
      <w:pPr>
        <w:pStyle w:val="Bibliography"/>
      </w:pPr>
      <w:r>
        <w:t xml:space="preserve">———. 2009.</w:t>
      </w:r>
      <w:r>
        <w:t xml:space="preserve"> </w:t>
      </w:r>
      <w:r>
        <w:t xml:space="preserve">“Emergence of a Blade Industry and Evolution of Late Paleolithic Technology in the Republic of Korea.”</w:t>
      </w:r>
      <w:r>
        <w:t xml:space="preserve"> </w:t>
      </w:r>
      <w:r>
        <w:rPr>
          <w:iCs/>
          <w:i/>
        </w:rPr>
        <w:t xml:space="preserve">Journal of Anthropological Research</w:t>
      </w:r>
      <w:r>
        <w:t xml:space="preserve"> </w:t>
      </w:r>
      <w:r>
        <w:t xml:space="preserve">65 (3): 417–51.</w:t>
      </w:r>
    </w:p>
    <w:bookmarkEnd w:id="127"/>
    <w:bookmarkStart w:id="128" w:name="ref-seong2015diversity"/>
    <w:p>
      <w:pPr>
        <w:pStyle w:val="Bibliography"/>
      </w:pPr>
      <w:r>
        <w:t xml:space="preserve">———. 2015.</w:t>
      </w:r>
      <w:r>
        <w:t xml:space="preserve"> </w:t>
      </w:r>
      <w:r>
        <w:t xml:space="preserve">“Diversity of Lithic Assemblages and Evolution of Late Palaeolithic Culture in Korea.”</w:t>
      </w:r>
      <w:r>
        <w:t xml:space="preserve"> </w:t>
      </w:r>
      <w:r>
        <w:rPr>
          <w:iCs/>
          <w:i/>
        </w:rPr>
        <w:t xml:space="preserve">Asian Perspectives</w:t>
      </w:r>
      <w:r>
        <w:t xml:space="preserve">, 91–112.</w:t>
      </w:r>
    </w:p>
    <w:bookmarkEnd w:id="128"/>
    <w:bookmarkStart w:id="129" w:name="ref-sharma1994asymptotic"/>
    <w:p>
      <w:pPr>
        <w:pStyle w:val="Bibliography"/>
      </w:pPr>
      <w:r>
        <w:t xml:space="preserve">Sharma, KK, and Hare Krishna. 1994.</w:t>
      </w:r>
      <w:r>
        <w:t xml:space="preserve"> </w:t>
      </w:r>
      <w:r>
        <w:t xml:space="preserve">“Asymptotic Sampling Distribution of Inverse Coefficient-of-Variation and Its Applications.”</w:t>
      </w:r>
      <w:r>
        <w:t xml:space="preserve"> </w:t>
      </w:r>
      <w:r>
        <w:rPr>
          <w:iCs/>
          <w:i/>
        </w:rPr>
        <w:t xml:space="preserve">IEEE Transactions on Reliability</w:t>
      </w:r>
      <w:r>
        <w:t xml:space="preserve"> </w:t>
      </w:r>
      <w:r>
        <w:t xml:space="preserve">43 (4): 630–33.</w:t>
      </w:r>
    </w:p>
    <w:bookmarkEnd w:id="129"/>
    <w:bookmarkStart w:id="130" w:name="ref-shi2005chromosome"/>
    <w:p>
      <w:pPr>
        <w:pStyle w:val="Bibliography"/>
      </w:pPr>
      <w:r>
        <w:t xml:space="preserve">Shi, Hong, Yong-li Dong, Bo Wen, Chun-Jie Xiao, Peter A Underhill, Pei-dong Shen, Ranajit Chakraborty, Li Jin, and Bing Su. 2005.</w:t>
      </w:r>
      <w:r>
        <w:t xml:space="preserve"> </w:t>
      </w:r>
      <w:r>
        <w:t xml:space="preserve">“Y-Chromosome Evidence of Southern Origin of the East Asian–Specific Haplogroup O3-M122.”</w:t>
      </w:r>
      <w:r>
        <w:t xml:space="preserve"> </w:t>
      </w:r>
      <w:r>
        <w:rPr>
          <w:iCs/>
          <w:i/>
        </w:rPr>
        <w:t xml:space="preserve">The American Journal of Human Genetics</w:t>
      </w:r>
      <w:r>
        <w:t xml:space="preserve"> </w:t>
      </w:r>
      <w:r>
        <w:t xml:space="preserve">77 (3): 408–19.</w:t>
      </w:r>
    </w:p>
    <w:bookmarkEnd w:id="130"/>
    <w:bookmarkStart w:id="131" w:name="ref-suarez2019life"/>
    <w:p>
      <w:pPr>
        <w:pStyle w:val="Bibliography"/>
      </w:pPr>
      <w:r>
        <w:t xml:space="preserve">Suárez, Rafael, and Marcelo Cardillo. 2019.</w:t>
      </w:r>
      <w:r>
        <w:t xml:space="preserve"> </w:t>
      </w:r>
      <w:r>
        <w:t xml:space="preserve">“Life History or Stylistic Variation? A Geometric Morphometric Method for Evaluation of Fishtail Point Variability.”</w:t>
      </w:r>
      <w:r>
        <w:t xml:space="preserve"> </w:t>
      </w:r>
      <w:r>
        <w:rPr>
          <w:iCs/>
          <w:i/>
        </w:rPr>
        <w:t xml:space="preserve">Journal of Archaeological Science: Reports</w:t>
      </w:r>
      <w:r>
        <w:t xml:space="preserve"> </w:t>
      </w:r>
      <w:r>
        <w:t xml:space="preserve">27: 101997.</w:t>
      </w:r>
    </w:p>
    <w:bookmarkEnd w:id="131"/>
    <w:bookmarkStart w:id="132" w:name="ref-thulman2012discriminating"/>
    <w:p>
      <w:pPr>
        <w:pStyle w:val="Bibliography"/>
      </w:pPr>
      <w:r>
        <w:t xml:space="preserve">Thulman, David K. 2012.</w:t>
      </w:r>
      <w:r>
        <w:t xml:space="preserve"> </w:t>
      </w:r>
      <w:r>
        <w:t xml:space="preserve">“Discriminating Paleoindian Point Types from Florida Using Landmark Geometric Morphometrics.”</w:t>
      </w:r>
      <w:r>
        <w:t xml:space="preserve"> </w:t>
      </w:r>
      <w:r>
        <w:rPr>
          <w:iCs/>
          <w:i/>
        </w:rPr>
        <w:t xml:space="preserve">Journal of Archaeological Science</w:t>
      </w:r>
      <w:r>
        <w:t xml:space="preserve"> </w:t>
      </w:r>
      <w:r>
        <w:t xml:space="preserve">39 (5): 1599–1607.</w:t>
      </w:r>
    </w:p>
    <w:bookmarkEnd w:id="132"/>
    <w:bookmarkStart w:id="133" w:name="ref-toebe2018sample"/>
    <w:p>
      <w:pPr>
        <w:pStyle w:val="Bibliography"/>
      </w:pPr>
      <w:r>
        <w:t xml:space="preserve">Toebe, Marcos, Leticia N Machado, Francieli L Tartaglia, JULIANA O CARVALHO, Cirineu T Bandeira, and ALBERTO CARGNELUTTI. 2018.</w:t>
      </w:r>
      <w:r>
        <w:t xml:space="preserve"> </w:t>
      </w:r>
      <w:r>
        <w:t xml:space="preserve">“Sample Size for Estimating Mean and Coefficient of Variation in Species of Crotalarias.”</w:t>
      </w:r>
      <w:r>
        <w:t xml:space="preserve"> </w:t>
      </w:r>
      <w:r>
        <w:rPr>
          <w:iCs/>
          <w:i/>
        </w:rPr>
        <w:t xml:space="preserve">Anais Da Academia Brasileira de Ci</w:t>
      </w:r>
      <w:r>
        <w:rPr>
          <w:iCs/>
          <w:i/>
        </w:rPr>
        <w:t xml:space="preserve">ê</w:t>
      </w:r>
      <w:r>
        <w:rPr>
          <w:iCs/>
          <w:i/>
        </w:rPr>
        <w:t xml:space="preserve">ncias</w:t>
      </w:r>
      <w:r>
        <w:t xml:space="preserve"> </w:t>
      </w:r>
      <w:r>
        <w:t xml:space="preserve">90: 1705–15.</w:t>
      </w:r>
    </w:p>
    <w:bookmarkEnd w:id="133"/>
    <w:bookmarkStart w:id="134" w:name="ref-vangel1996confidence"/>
    <w:p>
      <w:pPr>
        <w:pStyle w:val="Bibliography"/>
      </w:pPr>
      <w:r>
        <w:t xml:space="preserve">Vangel, Mark G. 1996.</w:t>
      </w:r>
      <w:r>
        <w:t xml:space="preserve"> </w:t>
      </w:r>
      <w:r>
        <w:t xml:space="preserve">“Confidence Intervals for a Normal Coefficient of Variation.”</w:t>
      </w:r>
      <w:r>
        <w:t xml:space="preserve"> </w:t>
      </w:r>
      <w:r>
        <w:rPr>
          <w:iCs/>
          <w:i/>
        </w:rPr>
        <w:t xml:space="preserve">The American Statistician</w:t>
      </w:r>
      <w:r>
        <w:t xml:space="preserve"> </w:t>
      </w:r>
      <w:r>
        <w:t xml:space="preserve">50 (1): 21–26.</w:t>
      </w:r>
    </w:p>
    <w:bookmarkEnd w:id="134"/>
    <w:bookmarkStart w:id="135" w:name="ref-vanpool2011quantitative"/>
    <w:p>
      <w:pPr>
        <w:pStyle w:val="Bibliography"/>
      </w:pPr>
      <w:r>
        <w:t xml:space="preserve">VanPool, Todd L, and Robert D Leonard. 2011.</w:t>
      </w:r>
      <w:r>
        <w:t xml:space="preserve"> </w:t>
      </w:r>
      <w:r>
        <w:rPr>
          <w:iCs/>
          <w:i/>
        </w:rPr>
        <w:t xml:space="preserve">Quantitative Analysis in Archaeology</w:t>
      </w:r>
      <w:r>
        <w:t xml:space="preserve">. John Wiley &amp; Sons.</w:t>
      </w:r>
    </w:p>
    <w:bookmarkEnd w:id="135"/>
    <w:bookmarkStart w:id="136" w:name="ref-wierer2013variability"/>
    <w:p>
      <w:pPr>
        <w:pStyle w:val="Bibliography"/>
      </w:pPr>
      <w:r>
        <w:t xml:space="preserve">Wierer, Ursula. 2013.</w:t>
      </w:r>
      <w:r>
        <w:t xml:space="preserve"> </w:t>
      </w:r>
      <w:r>
        <w:t xml:space="preserve">“Variability and Standardization: The Early Gravettian Lithic Complex of Grotta Paglicci, Southern Italy.”</w:t>
      </w:r>
      <w:r>
        <w:t xml:space="preserve"> </w:t>
      </w:r>
      <w:r>
        <w:rPr>
          <w:iCs/>
          <w:i/>
        </w:rPr>
        <w:t xml:space="preserve">Quaternary International</w:t>
      </w:r>
      <w:r>
        <w:t xml:space="preserve"> </w:t>
      </w:r>
      <w:r>
        <w:t xml:space="preserve">288: 215–38.</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25" Target="media/rId25.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54" Target="media/rId54.png" /><Relationship Type="http://schemas.openxmlformats.org/officeDocument/2006/relationships/image" Id="rId42" Target="media/rId42.png" /><Relationship Type="http://schemas.openxmlformats.org/officeDocument/2006/relationships/image" Id="rId50" Target="media/rId50.png" /><Relationship Type="http://schemas.openxmlformats.org/officeDocument/2006/relationships/image" Id="rId29" Target="media/rId2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 Ben Marwick</dc:creator>
  <cp:keywords/>
  <dcterms:created xsi:type="dcterms:W3CDTF">2022-08-22T05:26:15Z</dcterms:created>
  <dcterms:modified xsi:type="dcterms:W3CDTF">2022-08-22T05:26:15Z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