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4.png" ContentType="image/png"/>
  <Override PartName="/word/media/rId3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 in situ 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 in situ development. He partly agrees with the in situ model that simple flake tools had continuously been used in Korea as the result of ancestor-descendent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 in situ,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33"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Korea.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tbl>
      <w:tblPr>
        <w:tblStyle w:val="Table"/>
        <w:tblW w:type="pct" w:w="5000"/>
        <w:tblLook w:firstRow="0" w:lastRow="0" w:firstColumn="0" w:lastColumn="0" w:noHBand="0" w:noVBand="0" w:val="0000"/>
      </w:tblPr>
      <w:tblGrid>
        <w:gridCol w:w="7920"/>
      </w:tblGrid>
      <w:tr>
        <w:tc>
          <w:tcPr/>
          <w:bookmarkStart w:id="28" w:name="fig-one"/>
          <w:p>
            <w:pPr>
              <w:pStyle w:val="Figure"/>
              <w:jc w:val="center"/>
            </w:pPr>
            <w:r>
              <w:drawing>
                <wp:inline>
                  <wp:extent cx="4543425" cy="4594474"/>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4543425" cy="4594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Korean Paleolithic sites mentioned in this study</w:t>
            </w:r>
          </w:p>
          <w:bookmarkEnd w:id="28"/>
        </w:tc>
      </w:tr>
    </w:tbl>
    <w:p>
      <w:pPr>
        <w:numPr>
          <w:ilvl w:val="0"/>
          <w:numId w:val="1002"/>
        </w:numPr>
        <w:pStyle w:val="Compact"/>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1997; Bettinger and Eerkens 1999; Eerkens and Bettinger 2008; Garvey 2018)</w:t>
      </w:r>
      <w:r>
        <w:t xml:space="preserve">, we used additional morphological attributes on the stemmed points to examine variations in shape and the relationship between each attribute (</w:t>
      </w:r>
      <w:hyperlink w:anchor="fig-two">
        <w:r>
          <w:rPr>
            <w:rStyle w:val="Hyperlink"/>
          </w:rPr>
          <w:t xml:space="preserve">Figure 2</w:t>
        </w:r>
      </w:hyperlink>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Thulman 2012; Cardillo, Borrazzo, and Charlin 2016; Petřı́k et al. 2018; MacLeod 2018; Okumura and Araujo 2019; Suárez and Cardillo 2019)</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Rasband, and Eliceiri 2012)</w:t>
      </w:r>
      <w:r>
        <w:t xml:space="preserve"> </w:t>
      </w:r>
      <w:r>
        <w:t xml:space="preserve">to capture the landmarks and export them as XY coordinate data.</w:t>
      </w:r>
    </w:p>
    <w:tbl>
      <w:tblPr>
        <w:tblStyle w:val="Table"/>
        <w:tblW w:type="pct" w:w="5000"/>
        <w:tblLook w:firstRow="0" w:lastRow="0" w:firstColumn="0" w:lastColumn="0" w:noHBand="0" w:noVBand="0" w:val="0000"/>
      </w:tblPr>
      <w:tblGrid>
        <w:gridCol w:w="7920"/>
      </w:tblGrid>
      <w:tr>
        <w:tc>
          <w:tcPr/>
          <w:bookmarkStart w:id="32" w:name="fig-two"/>
          <w:p>
            <w:pPr>
              <w:pStyle w:val="Figure"/>
              <w:jc w:val="center"/>
            </w:pPr>
            <w:r>
              <w:drawing>
                <wp:inline>
                  <wp:extent cx="2105025" cy="3457157"/>
                  <wp:effectExtent b="0" l="0" r="0" t="0"/>
                  <wp:docPr descr="" title="" id="30" name="Picture"/>
                  <a:graphic>
                    <a:graphicData uri="http://schemas.openxmlformats.org/drawingml/2006/picture">
                      <pic:pic>
                        <pic:nvPicPr>
                          <pic:cNvPr descr="images/ISKM%20talk%202021-cut.png" id="31" name="Picture"/>
                          <pic:cNvPicPr>
                            <a:picLocks noChangeArrowheads="1" noChangeAspect="1"/>
                          </pic:cNvPicPr>
                        </pic:nvPicPr>
                        <pic:blipFill>
                          <a:blip r:embed="rId29"/>
                          <a:stretch>
                            <a:fillRect/>
                          </a:stretch>
                        </pic:blipFill>
                        <pic:spPr bwMode="auto">
                          <a:xfrm>
                            <a:off x="0" y="0"/>
                            <a:ext cx="2105025" cy="3457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bookmarkEnd w:id="32"/>
        </w:tc>
      </w:tr>
    </w:tbl>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2009, 2013)</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Schillinger, Mesoudi, and Lycett 2014; Garvey 2018)</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(Toebe et al. 2018; Kelley 2007; VanPool and Leonard 2011)</w:t>
      </w:r>
      <w:r>
        <w:t xml:space="preserve">. In archeological research, sample size for CV values varies from n=5 to more than a thousand artifacts</w:t>
      </w:r>
      <w:r>
        <w:t xml:space="preserve"> </w:t>
      </w:r>
      <w:r>
        <w:t xml:space="preserve">(Bettinger and Eerkens 1999; Garvey 2018; Costin and Hagstrum 1995; Wierer 2013; Kvamme, Stark, and Longacre 1996; Rivals, Schulz, and Kaiser 2009)</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results in several methods for computing confidence intervals on CVs to show uncertainty</w:t>
      </w:r>
      <w:r>
        <w:t xml:space="preserve"> </w:t>
      </w:r>
      <w:r>
        <w:t xml:space="preserve">(Koopmans, Owen, and Rosenblatt 1964; Miller 1991; Sharma and Krishna 1994; McKay 1932; Vangel 1996; Curto and Pinto 2009; Banik and Kibria 2011; Panichkitkosolkul 2013; Mahmoudvand and Hassani 2009; Gulhar et al. 2012)</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Kelley (2007)</w:t>
      </w:r>
      <w:r>
        <w:t xml:space="preserve">;</w:t>
      </w:r>
      <w:r>
        <w:t xml:space="preserve"> </w:t>
      </w:r>
      <w:r>
        <w:t xml:space="preserve">(</w:t>
      </w:r>
      <w:r>
        <w:rPr>
          <w:bCs/>
          <w:b/>
        </w:rPr>
        <w:t xml:space="preserve">albatineh2014con?</w:t>
      </w:r>
      <w:r>
        <w:t xml:space="preserve">)</w:t>
      </w:r>
      <w:r>
        <w:t xml:space="preserve"> </w:t>
      </w:r>
      <w:r>
        <w:t xml:space="preserve">fidence].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(Selden, Perttula, and O’Brien 2014; Suárez and Cardillo 2019; Leplongeon et al. 2020; Ivanovaitė et al. 2020)</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33"/>
    <w:bookmarkStart w:id="111" w:name="results"/>
    <w:p>
      <w:pPr>
        <w:pStyle w:val="Heading1"/>
      </w:pPr>
      <w:r>
        <w:t xml:space="preserve">Results</w:t>
      </w:r>
    </w:p>
    <w:p>
      <w:pPr>
        <w:numPr>
          <w:ilvl w:val="0"/>
          <w:numId w:val="1003"/>
        </w:numPr>
        <w:pStyle w:val="Compact"/>
      </w:pPr>
      <w:r>
        <w:t xml:space="preserve">Distribution of attributes</w:t>
      </w:r>
    </w:p>
    <w:p>
      <w:pPr>
        <w:pStyle w:val="FirstParagraph"/>
      </w:pPr>
      <w:hyperlink w:anchor="fig-three">
        <w:r>
          <w:rPr>
            <w:rStyle w:val="Hyperlink"/>
          </w:rPr>
          <w:t xml:space="preserve">Figure 3</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7" w:name="fig-three"/>
          <w:p>
            <w:pPr>
              <w:pStyle w:val="Figure"/>
              <w:jc w:val="center"/>
            </w:pPr>
            <w:r>
              <w:drawing>
                <wp:inline>
                  <wp:extent cx="3086100" cy="3120775"/>
                  <wp:effectExtent b="0" l="0" r="0" t="0"/>
                  <wp:docPr descr="" title="" id="35" name="Picture"/>
                  <a:graphic>
                    <a:graphicData uri="http://schemas.openxmlformats.org/drawingml/2006/picture">
                      <pic:pic>
                        <pic:nvPicPr>
                          <pic:cNvPr descr="images/002-attributes-variation-01.png" id="36" name="Picture"/>
                          <pic:cNvPicPr>
                            <a:picLocks noChangeArrowheads="1" noChangeAspect="1"/>
                          </pic:cNvPicPr>
                        </pic:nvPicPr>
                        <pic:blipFill>
                          <a:blip r:embed="rId34"/>
                          <a:stretch>
                            <a:fillRect/>
                          </a:stretch>
                        </pic:blipFill>
                        <pic:spPr bwMode="auto">
                          <a:xfrm>
                            <a:off x="0" y="0"/>
                            <a:ext cx="3086100" cy="3120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 for each attribute measured on the stemmed points. The black bold horizontal lines in the middle of boxes represent the median value.</w:t>
            </w:r>
          </w:p>
          <w:bookmarkEnd w:id="37"/>
        </w:tc>
      </w:tr>
    </w:tbl>
    <w:p>
      <w:pPr>
        <w:numPr>
          <w:ilvl w:val="0"/>
          <w:numId w:val="1004"/>
        </w:numPr>
        <w:pStyle w:val="Compact"/>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four">
        <w:r>
          <w:rPr>
            <w:rStyle w:val="Hyperlink"/>
          </w:rPr>
          <w:t xml:space="preserve">Figure 4</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three">
        <w:r>
          <w:rPr>
            <w:rStyle w:val="Hyperlink"/>
          </w:rPr>
          <w:t xml:space="preserve">Figure 3</w:t>
        </w:r>
      </w:hyperlink>
      <w:r>
        <w:t xml:space="preserve">), the CV of body length and maximum length have the lowest values. The lower CV of maximum length indicates highly standardized with narrowest confidence intervals. Tang and stem related attributes (e.g. SL, SW, TL, TW) are less standardized with higher CV values and wider confidence intervals than other attributes on the artifacts.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41" w:name="fig-four"/>
          <w:p>
            <w:pPr>
              <w:pStyle w:val="Figure"/>
              <w:jc w:val="center"/>
            </w:pPr>
            <w:r>
              <w:drawing>
                <wp:inline>
                  <wp:extent cx="3228975" cy="3027164"/>
                  <wp:effectExtent b="0" l="0" r="0" t="0"/>
                  <wp:docPr descr="" title="" id="39" name="Picture"/>
                  <a:graphic>
                    <a:graphicData uri="http://schemas.openxmlformats.org/drawingml/2006/picture">
                      <pic:pic>
                        <pic:nvPicPr>
                          <pic:cNvPr descr="images/003-cv-sharma-01.png" id="40" name="Picture"/>
                          <pic:cNvPicPr>
                            <a:picLocks noChangeArrowheads="1" noChangeAspect="1"/>
                          </pic:cNvPicPr>
                        </pic:nvPicPr>
                        <pic:blipFill>
                          <a:blip r:embed="rId38"/>
                          <a:stretch>
                            <a:fillRect/>
                          </a:stretch>
                        </pic:blipFill>
                        <pic:spPr bwMode="auto">
                          <a:xfrm>
                            <a:off x="0" y="0"/>
                            <a:ext cx="3228975" cy="30271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points and blue colored numbers represent CV values for each attribute measured on the stemmed points. 95% confidence intervals for the CVs were computed using Sharma &amp; Krishna's method. The vertical lines indicate the range of confidence intervals.</w:t>
            </w:r>
          </w:p>
          <w:bookmarkEnd w:id="41"/>
        </w:tc>
      </w:tr>
    </w:tbl>
    <w:bookmarkStart w:id="110" w:name="refs"/>
    <w:bookmarkStart w:id="42"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42"/>
    <w:bookmarkStart w:id="43"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43"/>
    <w:bookmarkStart w:id="44"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44"/>
    <w:bookmarkStart w:id="45"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45"/>
    <w:bookmarkStart w:id="46"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46"/>
    <w:bookmarkStart w:id="47" w:name="ref-banik2011estimating"/>
    <w:p>
      <w:pPr>
        <w:pStyle w:val="Bibliography"/>
      </w:pPr>
      <w:r>
        <w:t xml:space="preserve">Banik, Shipra, and BM Golam Kibria. 2011.</w:t>
      </w:r>
      <w:r>
        <w:t xml:space="preserve"> </w:t>
      </w:r>
      <w:r>
        <w:t xml:space="preserve">“Estimating the Population Coefficient of Variation by Confidence Intervals.”</w:t>
      </w:r>
      <w:r>
        <w:t xml:space="preserve"> </w:t>
      </w:r>
      <w:r>
        <w:rPr>
          <w:iCs/>
          <w:i/>
        </w:rPr>
        <w:t xml:space="preserve">Communications in Statistics-Simulation and Computation</w:t>
      </w:r>
      <w:r>
        <w:t xml:space="preserve"> </w:t>
      </w:r>
      <w:r>
        <w:t xml:space="preserve">40 (8): 1236–61.</w:t>
      </w:r>
    </w:p>
    <w:bookmarkEnd w:id="47"/>
    <w:bookmarkStart w:id="48"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48"/>
    <w:bookmarkStart w:id="49"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49"/>
    <w:bookmarkStart w:id="50"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50"/>
    <w:bookmarkStart w:id="51"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51"/>
    <w:bookmarkStart w:id="52" w:name="ref-buchanan2010geometric"/>
    <w:p>
      <w:pPr>
        <w:pStyle w:val="Bibliography"/>
      </w:pPr>
      <w:r>
        <w:t xml:space="preserve">Buchanan, Briggs, and Mark Collard. 2010.</w:t>
      </w:r>
      <w:r>
        <w:t xml:space="preserve"> </w:t>
      </w:r>
      <w:r>
        <w:t xml:space="preserve">“A Geometric Morphometrics-Based Assessment of Blade Shape Differences Among Paleoindian Projectile Point Types from Western North America.”</w:t>
      </w:r>
      <w:r>
        <w:t xml:space="preserve"> </w:t>
      </w:r>
      <w:r>
        <w:rPr>
          <w:iCs/>
          <w:i/>
        </w:rPr>
        <w:t xml:space="preserve">Journal of Archaeological Science</w:t>
      </w:r>
      <w:r>
        <w:t xml:space="preserve"> </w:t>
      </w:r>
      <w:r>
        <w:t xml:space="preserve">37 (2): 350–59.</w:t>
      </w:r>
    </w:p>
    <w:bookmarkEnd w:id="52"/>
    <w:bookmarkStart w:id="53" w:name="ref-cardillo2016environment"/>
    <w:p>
      <w:pPr>
        <w:pStyle w:val="Bibliography"/>
      </w:pPr>
      <w:r>
        <w:t xml:space="preserve">Cardillo, Marcelo, Karen Borrazzo, and Judith Charlin. 2016.</w:t>
      </w:r>
      <w:r>
        <w:t xml:space="preserve"> </w:t>
      </w:r>
      <w:r>
        <w:t xml:space="preserve">“Environment, Space, and Morphological Variation of Projectile Points in Patagonia (Southern South America).”</w:t>
      </w:r>
      <w:r>
        <w:t xml:space="preserve"> </w:t>
      </w:r>
      <w:r>
        <w:rPr>
          <w:iCs/>
          <w:i/>
        </w:rPr>
        <w:t xml:space="preserve">Quaternary International</w:t>
      </w:r>
      <w:r>
        <w:t xml:space="preserve"> </w:t>
      </w:r>
      <w:r>
        <w:t xml:space="preserve">422: 44–56.</w:t>
      </w:r>
    </w:p>
    <w:bookmarkEnd w:id="53"/>
    <w:bookmarkStart w:id="54" w:name="ref-cascalheira2018use"/>
    <w:p>
      <w:pPr>
        <w:pStyle w:val="Bibliography"/>
      </w:pPr>
      <w:r>
        <w:t xml:space="preserve">Cascalheira, João, and Nuno Bicho. 2018.</w:t>
      </w:r>
      <w:r>
        <w:t xml:space="preserve"> </w:t>
      </w:r>
      <w:r>
        <w:t xml:space="preserve">“The Use of Lithic Assemblages for the Definition of Short-Term Occupations in Hunter-Gatherer Prehistory.”</w:t>
      </w:r>
    </w:p>
    <w:bookmarkEnd w:id="54"/>
    <w:bookmarkStart w:id="55"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55"/>
    <w:bookmarkStart w:id="56" w:name="ref-core2021team"/>
    <w:p>
      <w:pPr>
        <w:pStyle w:val="Bibliography"/>
      </w:pPr>
      <w:r>
        <w:t xml:space="preserve">Core, R. 2021.</w:t>
      </w:r>
      <w:r>
        <w:t xml:space="preserve"> </w:t>
      </w:r>
      <w:r>
        <w:t xml:space="preserve">“Team. R: A Language and Environment for Statistical Computing, 2015.”</w:t>
      </w:r>
    </w:p>
    <w:bookmarkEnd w:id="56"/>
    <w:bookmarkStart w:id="57" w:name="ref-costin1995standardization"/>
    <w:p>
      <w:pPr>
        <w:pStyle w:val="Bibliography"/>
      </w:pPr>
      <w:r>
        <w:t xml:space="preserve">Costin, Cathy L, and Melissa B Hagstrum. 1995.</w:t>
      </w:r>
      <w:r>
        <w:t xml:space="preserve"> </w:t>
      </w:r>
      <w:r>
        <w:t xml:space="preserve">“Standardization, Labor Investment, Skill, and the Organization of Ceramic Production in Late Prehispanic Highland Peru.”</w:t>
      </w:r>
      <w:r>
        <w:t xml:space="preserve"> </w:t>
      </w:r>
      <w:r>
        <w:rPr>
          <w:iCs/>
          <w:i/>
        </w:rPr>
        <w:t xml:space="preserve">American Antiquity</w:t>
      </w:r>
      <w:r>
        <w:t xml:space="preserve"> </w:t>
      </w:r>
      <w:r>
        <w:t xml:space="preserve">60 (4): 619–39.</w:t>
      </w:r>
    </w:p>
    <w:bookmarkEnd w:id="57"/>
    <w:bookmarkStart w:id="58"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58"/>
    <w:bookmarkStart w:id="59" w:name="ref-curto2009coefficient"/>
    <w:p>
      <w:pPr>
        <w:pStyle w:val="Bibliography"/>
      </w:pPr>
      <w:r>
        <w:t xml:space="preserve">Curto, José Dias, and José Castro Pinto. 2009.</w:t>
      </w:r>
      <w:r>
        <w:t xml:space="preserve"> </w:t>
      </w:r>
      <w:r>
        <w:t xml:space="preserve">“The Coefficient of Variation Asymptotic Distribution in the Case of Non-Iid Random Variables.”</w:t>
      </w:r>
      <w:r>
        <w:t xml:space="preserve"> </w:t>
      </w:r>
      <w:r>
        <w:rPr>
          <w:iCs/>
          <w:i/>
        </w:rPr>
        <w:t xml:space="preserve">Journal of Applied Statistics</w:t>
      </w:r>
      <w:r>
        <w:t xml:space="preserve"> </w:t>
      </w:r>
      <w:r>
        <w:t xml:space="preserve">36 (1): 21–32.</w:t>
      </w:r>
    </w:p>
    <w:bookmarkEnd w:id="59"/>
    <w:bookmarkStart w:id="60"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60"/>
    <w:bookmarkStart w:id="61" w:name="ref-eerkens2001techniques"/>
    <w:p>
      <w:pPr>
        <w:pStyle w:val="Bibliography"/>
      </w:pPr>
      <w:r>
        <w:t xml:space="preserve">Eerkens, Jelmer W, and Robert L Bettinger. 2001.</w:t>
      </w:r>
      <w:r>
        <w:t xml:space="preserve"> </w:t>
      </w:r>
      <w:r>
        <w:t xml:space="preserve">“Techniques for Assessing Standardization in Artifact Assemblages: Can We Scale Material Variability?”</w:t>
      </w:r>
      <w:r>
        <w:t xml:space="preserve"> </w:t>
      </w:r>
      <w:r>
        <w:rPr>
          <w:iCs/>
          <w:i/>
        </w:rPr>
        <w:t xml:space="preserve">American Antiquity</w:t>
      </w:r>
      <w:r>
        <w:t xml:space="preserve">, 493–504.</w:t>
      </w:r>
    </w:p>
    <w:bookmarkEnd w:id="61"/>
    <w:bookmarkStart w:id="62" w:name="ref-eerkens2008cultural"/>
    <w:p>
      <w:pPr>
        <w:pStyle w:val="Bibliography"/>
      </w:pPr>
      <w:r>
        <w:t xml:space="preserve">———.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62"/>
    <w:bookmarkStart w:id="63"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63"/>
    <w:bookmarkStart w:id="64"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64"/>
    <w:bookmarkStart w:id="65"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65"/>
    <w:bookmarkStart w:id="66" w:name="ref-gulhar2012comparison"/>
    <w:p>
      <w:pPr>
        <w:pStyle w:val="Bibliography"/>
      </w:pPr>
      <w:r>
        <w:t xml:space="preserve">Gulhar, Monika, BM Golam Kibria, Ahmed N Albatineh, and Nasar U Ahmed. 2012.</w:t>
      </w:r>
      <w:r>
        <w:t xml:space="preserve"> </w:t>
      </w:r>
      <w:r>
        <w:t xml:space="preserve">“A Comparison of Some Confidence Intervals for Estimating the Population Coefficient of Variation: A Simulation Study.”</w:t>
      </w:r>
      <w:r>
        <w:t xml:space="preserve"> </w:t>
      </w:r>
      <w:r>
        <w:rPr>
          <w:iCs/>
          <w:i/>
        </w:rPr>
        <w:t xml:space="preserve">SORT-Statistics and Operations Research Transactions</w:t>
      </w:r>
      <w:r>
        <w:t xml:space="preserve">, 45–68.</w:t>
      </w:r>
    </w:p>
    <w:bookmarkEnd w:id="66"/>
    <w:bookmarkStart w:id="67"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67"/>
    <w:bookmarkStart w:id="68" w:name="ref-ivanovaite2020all"/>
    <w:p>
      <w:pPr>
        <w:pStyle w:val="Bibliography"/>
      </w:pPr>
      <w:r>
        <w:t xml:space="preserve">Ivanovaitė, Livija, Kamil Serwatka, Christian Steven Hoggard, Florian Sauer, and Felix Riede. 2020.</w:t>
      </w:r>
      <w:r>
        <w:t xml:space="preserve"> </w:t>
      </w:r>
      <w:r>
        <w:t xml:space="preserve">“All These Fantastic Cultures? Research History and Regionalization in the Late Palaeolithic Tanged Point Cultures of Eastern Europe.”</w:t>
      </w:r>
      <w:r>
        <w:t xml:space="preserve"> </w:t>
      </w:r>
      <w:r>
        <w:rPr>
          <w:iCs/>
          <w:i/>
        </w:rPr>
        <w:t xml:space="preserve">European Journal of Archaeology</w:t>
      </w:r>
      <w:r>
        <w:t xml:space="preserve"> </w:t>
      </w:r>
      <w:r>
        <w:t xml:space="preserve">23 (2): 162–85.</w:t>
      </w:r>
    </w:p>
    <w:bookmarkEnd w:id="68"/>
    <w:bookmarkStart w:id="69" w:name="ref-kelley2007sample"/>
    <w:p>
      <w:pPr>
        <w:pStyle w:val="Bibliography"/>
      </w:pPr>
      <w:r>
        <w:t xml:space="preserve">Kelley, Ken. 2007.</w:t>
      </w:r>
      <w:r>
        <w:t xml:space="preserve"> </w:t>
      </w:r>
      <w:r>
        <w:t xml:space="preserve">“Sample Size Planning for the Coefficient of Variation from the Accuracy in Parameter Estimation Approach.”</w:t>
      </w:r>
      <w:r>
        <w:t xml:space="preserve"> </w:t>
      </w:r>
      <w:r>
        <w:rPr>
          <w:iCs/>
          <w:i/>
        </w:rPr>
        <w:t xml:space="preserve">Behavior Research Methods</w:t>
      </w:r>
      <w:r>
        <w:t xml:space="preserve"> </w:t>
      </w:r>
      <w:r>
        <w:t xml:space="preserve">39 (4): 755–66.</w:t>
      </w:r>
    </w:p>
    <w:bookmarkEnd w:id="69"/>
    <w:bookmarkStart w:id="70"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70"/>
    <w:bookmarkStart w:id="71"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71"/>
    <w:bookmarkStart w:id="72" w:name="ref-koopmans1964confidence"/>
    <w:p>
      <w:pPr>
        <w:pStyle w:val="Bibliography"/>
      </w:pPr>
      <w:r>
        <w:t xml:space="preserve">Koopmans, Lambert H, Donald B Owen, and Judah I Rosenblatt. 1964.</w:t>
      </w:r>
      <w:r>
        <w:t xml:space="preserve"> </w:t>
      </w:r>
      <w:r>
        <w:t xml:space="preserve">“Confidence Intervals for the Coefficient of Variation for the Normal and Log Normal Distributions.”</w:t>
      </w:r>
      <w:r>
        <w:t xml:space="preserve"> </w:t>
      </w:r>
      <w:r>
        <w:rPr>
          <w:iCs/>
          <w:i/>
        </w:rPr>
        <w:t xml:space="preserve">Biometrika</w:t>
      </w:r>
      <w:r>
        <w:t xml:space="preserve"> </w:t>
      </w:r>
      <w:r>
        <w:t xml:space="preserve">51 (1/2): 25–32.</w:t>
      </w:r>
    </w:p>
    <w:bookmarkEnd w:id="72"/>
    <w:bookmarkStart w:id="73" w:name="ref-kvamme1996alternative"/>
    <w:p>
      <w:pPr>
        <w:pStyle w:val="Bibliography"/>
      </w:pPr>
      <w:r>
        <w:t xml:space="preserve">Kvamme, Kenneth L, Miriam T Stark, and William A Longacre. 1996.</w:t>
      </w:r>
      <w:r>
        <w:t xml:space="preserve"> </w:t>
      </w:r>
      <w:r>
        <w:t xml:space="preserve">“Alternative Procedures for Assessing Standardization in Ceramic Assemblages.”</w:t>
      </w:r>
      <w:r>
        <w:t xml:space="preserve"> </w:t>
      </w:r>
      <w:r>
        <w:rPr>
          <w:iCs/>
          <w:i/>
        </w:rPr>
        <w:t xml:space="preserve">American Antiquity</w:t>
      </w:r>
      <w:r>
        <w:t xml:space="preserve"> </w:t>
      </w:r>
      <w:r>
        <w:t xml:space="preserve">61 (1): 116–26.</w:t>
      </w:r>
    </w:p>
    <w:bookmarkEnd w:id="73"/>
    <w:bookmarkStart w:id="74"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74"/>
    <w:bookmarkStart w:id="75"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75"/>
    <w:bookmarkStart w:id="76" w:name="ref-leplongeon2020backed"/>
    <w:p>
      <w:pPr>
        <w:pStyle w:val="Bibliography"/>
      </w:pPr>
      <w:r>
        <w:t xml:space="preserve">Leplongeon, Alice, Clément Ménard, Vincent Bonhomme, and Eugenio Bortolini. 2020.</w:t>
      </w:r>
      <w:r>
        <w:t xml:space="preserve"> </w:t>
      </w:r>
      <w:r>
        <w:t xml:space="preserve">“Backed Pieces and Their Variability in the Later Stone Age of the Horn of Africa.”</w:t>
      </w:r>
      <w:r>
        <w:t xml:space="preserve"> </w:t>
      </w:r>
      <w:r>
        <w:rPr>
          <w:iCs/>
          <w:i/>
        </w:rPr>
        <w:t xml:space="preserve">African Archaeological Review</w:t>
      </w:r>
      <w:r>
        <w:t xml:space="preserve"> </w:t>
      </w:r>
      <w:r>
        <w:t xml:space="preserve">37 (3): 437–68.</w:t>
      </w:r>
    </w:p>
    <w:bookmarkEnd w:id="76"/>
    <w:bookmarkStart w:id="77"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77"/>
    <w:bookmarkStart w:id="78"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78"/>
    <w:bookmarkStart w:id="79" w:name="ref-macleod2018quantitative"/>
    <w:p>
      <w:pPr>
        <w:pStyle w:val="Bibliography"/>
      </w:pPr>
      <w:r>
        <w:t xml:space="preserve">MacLeod, Norman. 2018.</w:t>
      </w:r>
      <w:r>
        <w:t xml:space="preserve"> </w:t>
      </w:r>
      <w:r>
        <w:t xml:space="preserve">“The Quantitative Assessment of Archaeological Artifact Groups: Beyond Geometric Morphometrics.”</w:t>
      </w:r>
      <w:r>
        <w:t xml:space="preserve"> </w:t>
      </w:r>
      <w:r>
        <w:rPr>
          <w:iCs/>
          <w:i/>
        </w:rPr>
        <w:t xml:space="preserve">Quaternary Science Reviews</w:t>
      </w:r>
      <w:r>
        <w:t xml:space="preserve"> </w:t>
      </w:r>
      <w:r>
        <w:t xml:space="preserve">201: 319–48.</w:t>
      </w:r>
    </w:p>
    <w:bookmarkEnd w:id="79"/>
    <w:bookmarkStart w:id="80" w:name="ref-mahmoudvand2009two"/>
    <w:p>
      <w:pPr>
        <w:pStyle w:val="Bibliography"/>
      </w:pPr>
      <w:r>
        <w:t xml:space="preserve">Mahmoudvand, Rahim, and Hossein Hassani. 2009.</w:t>
      </w:r>
      <w:r>
        <w:t xml:space="preserve"> </w:t>
      </w:r>
      <w:r>
        <w:t xml:space="preserve">“Two New Confidence Intervals for the Coefficient of Variation in a Normal Distribution.”</w:t>
      </w:r>
      <w:r>
        <w:t xml:space="preserve"> </w:t>
      </w:r>
      <w:r>
        <w:rPr>
          <w:iCs/>
          <w:i/>
        </w:rPr>
        <w:t xml:space="preserve">Journal of Applied Statistics</w:t>
      </w:r>
      <w:r>
        <w:t xml:space="preserve"> </w:t>
      </w:r>
      <w:r>
        <w:t xml:space="preserve">36 (4): 429–42.</w:t>
      </w:r>
    </w:p>
    <w:bookmarkEnd w:id="80"/>
    <w:bookmarkStart w:id="81" w:name="ref-marwick2017computational"/>
    <w:p>
      <w:pPr>
        <w:pStyle w:val="Bibliography"/>
      </w:pPr>
      <w:r>
        <w:t xml:space="preserve">Marwick, Ben. 2017.</w:t>
      </w:r>
      <w:r>
        <w:t xml:space="preserve"> </w:t>
      </w:r>
      <w:r>
        <w:t xml:space="preserve">“Computational Reproducibility in Archaeological Research: Basic Principles and a Case Study of Their Implementation.”</w:t>
      </w:r>
      <w:r>
        <w:t xml:space="preserve"> </w:t>
      </w:r>
      <w:r>
        <w:rPr>
          <w:iCs/>
          <w:i/>
        </w:rPr>
        <w:t xml:space="preserve">Journal of Archaeological Method and Theory</w:t>
      </w:r>
      <w:r>
        <w:t xml:space="preserve"> </w:t>
      </w:r>
      <w:r>
        <w:t xml:space="preserve">24 (2): 424–50.</w:t>
      </w:r>
    </w:p>
    <w:bookmarkEnd w:id="81"/>
    <w:bookmarkStart w:id="82" w:name="ref-mckay1932distribution"/>
    <w:p>
      <w:pPr>
        <w:pStyle w:val="Bibliography"/>
      </w:pPr>
      <w:r>
        <w:t xml:space="preserve">McKay, AT. 1932.</w:t>
      </w:r>
      <w:r>
        <w:t xml:space="preserve"> </w:t>
      </w:r>
      <w:r>
        <w:t xml:space="preserve">“Distribution of the Coefficient of Variation and the Extended" t" Distribution.”</w:t>
      </w:r>
      <w:r>
        <w:t xml:space="preserve"> </w:t>
      </w:r>
      <w:r>
        <w:rPr>
          <w:iCs/>
          <w:i/>
        </w:rPr>
        <w:t xml:space="preserve">Journal of the Royal Statistical Society</w:t>
      </w:r>
      <w:r>
        <w:t xml:space="preserve"> </w:t>
      </w:r>
      <w:r>
        <w:t xml:space="preserve">95 (4): 695–98.</w:t>
      </w:r>
    </w:p>
    <w:bookmarkEnd w:id="82"/>
    <w:bookmarkStart w:id="83"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83"/>
    <w:bookmarkStart w:id="84" w:name="ref-miller1991asymptomatic"/>
    <w:p>
      <w:pPr>
        <w:pStyle w:val="Bibliography"/>
      </w:pPr>
      <w:r>
        <w:t xml:space="preserve">Miller, RG. 1991.</w:t>
      </w:r>
      <w:r>
        <w:t xml:space="preserve"> </w:t>
      </w:r>
      <w:r>
        <w:t xml:space="preserve">“Asymptomatic Test Statistics for Coefficients of Variation.”</w:t>
      </w:r>
      <w:r>
        <w:t xml:space="preserve"> </w:t>
      </w:r>
      <w:r>
        <w:rPr>
          <w:iCs/>
          <w:i/>
        </w:rPr>
        <w:t xml:space="preserve">Theor Meth</w:t>
      </w:r>
      <w:r>
        <w:t xml:space="preserve"> </w:t>
      </w:r>
      <w:r>
        <w:t xml:space="preserve">20: 2251–62.</w:t>
      </w:r>
    </w:p>
    <w:bookmarkEnd w:id="84"/>
    <w:bookmarkStart w:id="85" w:name="ref-ng2006performance"/>
    <w:p>
      <w:pPr>
        <w:pStyle w:val="Bibliography"/>
      </w:pPr>
      <w:r>
        <w:t xml:space="preserve">Ng, CK. 2006.</w:t>
      </w:r>
      <w:r>
        <w:t xml:space="preserve"> </w:t>
      </w:r>
      <w:r>
        <w:t xml:space="preserve">“Performance of Three Methods of Interval Estimation of the Coefficient of Variation.”</w:t>
      </w:r>
      <w:r>
        <w:t xml:space="preserve"> </w:t>
      </w:r>
      <w:r>
        <w:rPr>
          <w:iCs/>
          <w:i/>
        </w:rPr>
        <w:t xml:space="preserve">InterStat</w:t>
      </w:r>
      <w:r>
        <w:t xml:space="preserve">.</w:t>
      </w:r>
    </w:p>
    <w:bookmarkEnd w:id="85"/>
    <w:bookmarkStart w:id="86"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86"/>
    <w:bookmarkStart w:id="87"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87"/>
    <w:bookmarkStart w:id="88" w:name="ref-okumura2019archaeology"/>
    <w:p>
      <w:pPr>
        <w:pStyle w:val="Bibliography"/>
      </w:pPr>
      <w:r>
        <w:t xml:space="preserve">Okumura, Mercedes, and Astolfo GM Araujo. 2019.</w:t>
      </w:r>
      <w:r>
        <w:t xml:space="preserve"> </w:t>
      </w:r>
      <w:r>
        <w:t xml:space="preserve">“Archaeology, Biology, and Borrowing: A Critical Examination of Geometric Morphometrics in Archaeology.”</w:t>
      </w:r>
      <w:r>
        <w:t xml:space="preserve"> </w:t>
      </w:r>
      <w:r>
        <w:rPr>
          <w:iCs/>
          <w:i/>
        </w:rPr>
        <w:t xml:space="preserve">Journal of Archaeological Science</w:t>
      </w:r>
      <w:r>
        <w:t xml:space="preserve"> </w:t>
      </w:r>
      <w:r>
        <w:t xml:space="preserve">101: 149–58.</w:t>
      </w:r>
    </w:p>
    <w:bookmarkEnd w:id="88"/>
    <w:bookmarkStart w:id="89" w:name="ref-panichkitkosolkul2009improved"/>
    <w:p>
      <w:pPr>
        <w:pStyle w:val="Bibliography"/>
      </w:pPr>
      <w:r>
        <w:t xml:space="preserve">Panichkitkosolkul, Wararit. 2009.</w:t>
      </w:r>
      <w:r>
        <w:t xml:space="preserve"> </w:t>
      </w:r>
      <w:r>
        <w:t xml:space="preserve">“Improved Confidence Intervals for a Coefficient of Variation of a Normal Distribution.”</w:t>
      </w:r>
      <w:r>
        <w:t xml:space="preserve"> </w:t>
      </w:r>
      <w:r>
        <w:rPr>
          <w:iCs/>
          <w:i/>
        </w:rPr>
        <w:t xml:space="preserve">Thailand Statistician</w:t>
      </w:r>
      <w:r>
        <w:t xml:space="preserve"> </w:t>
      </w:r>
      <w:r>
        <w:t xml:space="preserve">7 (2): 193–99.</w:t>
      </w:r>
    </w:p>
    <w:bookmarkEnd w:id="89"/>
    <w:bookmarkStart w:id="90" w:name="ref-panichkitkosolkul2013confidence"/>
    <w:p>
      <w:pPr>
        <w:pStyle w:val="Bibliography"/>
      </w:pPr>
      <w:r>
        <w:t xml:space="preserve">———. 2013.</w:t>
      </w:r>
      <w:r>
        <w:t xml:space="preserve"> </w:t>
      </w:r>
      <w:r>
        <w:t xml:space="preserve">“Confidence Intervals for the Coefficient of Variation in a Normal Distribution with a Known Population Mean.”</w:t>
      </w:r>
      <w:r>
        <w:t xml:space="preserve"> </w:t>
      </w:r>
      <w:r>
        <w:rPr>
          <w:iCs/>
          <w:i/>
        </w:rPr>
        <w:t xml:space="preserve">Journal of Probability and Statistics</w:t>
      </w:r>
      <w:r>
        <w:t xml:space="preserve"> </w:t>
      </w:r>
      <w:r>
        <w:t xml:space="preserve">2013.</w:t>
      </w:r>
    </w:p>
    <w:bookmarkEnd w:id="90"/>
    <w:bookmarkStart w:id="91"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91"/>
    <w:bookmarkStart w:id="92" w:name="ref-petvrik2018shape"/>
    <w:p>
      <w:pPr>
        <w:pStyle w:val="Bibliography"/>
      </w:pPr>
      <w:r>
        <w:t xml:space="preserve">Petřı́k, Jan, Daniel Sosna, Lubomı́r Prokeš, Denis Štefanisko, and Patrik Galeta. 2018.</w:t>
      </w:r>
      <w:r>
        <w:t xml:space="preserve"> </w:t>
      </w:r>
      <w:r>
        <w:t xml:space="preserve">“Shape Matters: Assessing Regional Variation of Bell Beaker Projectile Points in Central Europe Using Geometric Morphometrics.”</w:t>
      </w:r>
      <w:r>
        <w:t xml:space="preserve"> </w:t>
      </w:r>
      <w:r>
        <w:rPr>
          <w:iCs/>
          <w:i/>
        </w:rPr>
        <w:t xml:space="preserve">Archaeological and Anthropological Sciences</w:t>
      </w:r>
      <w:r>
        <w:t xml:space="preserve"> </w:t>
      </w:r>
      <w:r>
        <w:t xml:space="preserve">10 (4): 893–904.</w:t>
      </w:r>
    </w:p>
    <w:bookmarkEnd w:id="92"/>
    <w:bookmarkStart w:id="93"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93"/>
    <w:bookmarkStart w:id="94" w:name="ref-rivals2009new"/>
    <w:p>
      <w:pPr>
        <w:pStyle w:val="Bibliography"/>
      </w:pPr>
      <w:r>
        <w:t xml:space="preserve">Rivals, Florent, Ellen Schulz, and Thomas M Kaiser. 2009.</w:t>
      </w:r>
      <w:r>
        <w:t xml:space="preserve"> </w:t>
      </w:r>
      <w:r>
        <w:t xml:space="preserve">“A New Application of Dental Wear Analyses: Estimation of Duration of Hominid Occupations in Archaeological Localities.”</w:t>
      </w:r>
      <w:r>
        <w:t xml:space="preserve"> </w:t>
      </w:r>
      <w:r>
        <w:rPr>
          <w:iCs/>
          <w:i/>
        </w:rPr>
        <w:t xml:space="preserve">Journal of Human Evolution</w:t>
      </w:r>
      <w:r>
        <w:t xml:space="preserve"> </w:t>
      </w:r>
      <w:r>
        <w:t xml:space="preserve">56 (4): 329–39.</w:t>
      </w:r>
    </w:p>
    <w:bookmarkEnd w:id="94"/>
    <w:bookmarkStart w:id="95"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95"/>
    <w:bookmarkStart w:id="96" w:name="ref-schneider2012nih"/>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p>
    <w:bookmarkEnd w:id="96"/>
    <w:bookmarkStart w:id="97" w:name="ref-selden2014advances"/>
    <w:p>
      <w:pPr>
        <w:pStyle w:val="Bibliography"/>
      </w:pPr>
      <w:r>
        <w:t xml:space="preserve">Selden, Robert Z, Timothy K Perttula, and Michael J O’Brien. 2014.</w:t>
      </w:r>
      <w:r>
        <w:t xml:space="preserve"> </w:t>
      </w:r>
      <w:r>
        <w:t xml:space="preserve">“Advances in Documentation, Digital Curation, Virtual Exhibition, and a Test of 3d Geometric Morphometrics: A Case Study of the Vanderpool Vessels from the Ancestral Caddo Territory.”</w:t>
      </w:r>
      <w:r>
        <w:t xml:space="preserve"> </w:t>
      </w:r>
      <w:r>
        <w:rPr>
          <w:iCs/>
          <w:i/>
        </w:rPr>
        <w:t xml:space="preserve">Advances in Archaeological Practice</w:t>
      </w:r>
      <w:r>
        <w:t xml:space="preserve"> </w:t>
      </w:r>
      <w:r>
        <w:t xml:space="preserve">2 (2): 64–79.</w:t>
      </w:r>
    </w:p>
    <w:bookmarkEnd w:id="97"/>
    <w:bookmarkStart w:id="98"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98"/>
    <w:bookmarkStart w:id="99"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99"/>
    <w:bookmarkStart w:id="100"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100"/>
    <w:bookmarkStart w:id="101"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101"/>
    <w:bookmarkStart w:id="102" w:name="ref-sharma1994asymptotic"/>
    <w:p>
      <w:pPr>
        <w:pStyle w:val="Bibliography"/>
      </w:pPr>
      <w:r>
        <w:t xml:space="preserve">Sharma, KK, and Hare Krishna. 1994.</w:t>
      </w:r>
      <w:r>
        <w:t xml:space="preserve"> </w:t>
      </w:r>
      <w:r>
        <w:t xml:space="preserve">“Asymptotic Sampling Distribution of Inverse Coefficient-of-Variation and Its Applications.”</w:t>
      </w:r>
      <w:r>
        <w:t xml:space="preserve"> </w:t>
      </w:r>
      <w:r>
        <w:rPr>
          <w:iCs/>
          <w:i/>
        </w:rPr>
        <w:t xml:space="preserve">IEEE Transactions on Reliability</w:t>
      </w:r>
      <w:r>
        <w:t xml:space="preserve"> </w:t>
      </w:r>
      <w:r>
        <w:t xml:space="preserve">43 (4): 630–33.</w:t>
      </w:r>
    </w:p>
    <w:bookmarkEnd w:id="102"/>
    <w:bookmarkStart w:id="103"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103"/>
    <w:bookmarkStart w:id="104" w:name="ref-suarez2019life"/>
    <w:p>
      <w:pPr>
        <w:pStyle w:val="Bibliography"/>
      </w:pPr>
      <w:r>
        <w:t xml:space="preserve">Suárez, Rafael, and Marcelo Cardillo. 2019.</w:t>
      </w:r>
      <w:r>
        <w:t xml:space="preserve"> </w:t>
      </w:r>
      <w:r>
        <w:t xml:space="preserve">“Life History or Stylistic Variation? A Geometric Morphometric Method for Evaluation of Fishtail Point Variability.”</w:t>
      </w:r>
      <w:r>
        <w:t xml:space="preserve"> </w:t>
      </w:r>
      <w:r>
        <w:rPr>
          <w:iCs/>
          <w:i/>
        </w:rPr>
        <w:t xml:space="preserve">Journal of Archaeological Science: Reports</w:t>
      </w:r>
      <w:r>
        <w:t xml:space="preserve"> </w:t>
      </w:r>
      <w:r>
        <w:t xml:space="preserve">27: 101997.</w:t>
      </w:r>
    </w:p>
    <w:bookmarkEnd w:id="104"/>
    <w:bookmarkStart w:id="105" w:name="ref-thulman2012discriminating"/>
    <w:p>
      <w:pPr>
        <w:pStyle w:val="Bibliography"/>
      </w:pPr>
      <w:r>
        <w:t xml:space="preserve">Thulman, David K. 2012.</w:t>
      </w:r>
      <w:r>
        <w:t xml:space="preserve"> </w:t>
      </w:r>
      <w:r>
        <w:t xml:space="preserve">“Discriminating Paleoindian Point Types from Florida Using Landmark Geometric Morphometrics.”</w:t>
      </w:r>
      <w:r>
        <w:t xml:space="preserve"> </w:t>
      </w:r>
      <w:r>
        <w:rPr>
          <w:iCs/>
          <w:i/>
        </w:rPr>
        <w:t xml:space="preserve">Journal of Archaeological Science</w:t>
      </w:r>
      <w:r>
        <w:t xml:space="preserve"> </w:t>
      </w:r>
      <w:r>
        <w:t xml:space="preserve">39 (5): 1599–1607.</w:t>
      </w:r>
    </w:p>
    <w:bookmarkEnd w:id="105"/>
    <w:bookmarkStart w:id="106" w:name="ref-toebe2018sample"/>
    <w:p>
      <w:pPr>
        <w:pStyle w:val="Bibliography"/>
      </w:pPr>
      <w:r>
        <w:t xml:space="preserve">Toebe, Marcos, Leticia N Machado, Francieli L Tartaglia, JULIANA O CARVALHO, Cirineu T Bandeira, and ALBERTO CARGNELUTTI. 2018.</w:t>
      </w:r>
      <w:r>
        <w:t xml:space="preserve"> </w:t>
      </w:r>
      <w:r>
        <w:t xml:space="preserve">“Sample Size for Estimating Mean and Coefficient of Variation in Species of Crotalarias.”</w:t>
      </w:r>
      <w:r>
        <w:t xml:space="preserve"> </w:t>
      </w:r>
      <w:r>
        <w:rPr>
          <w:iCs/>
          <w:i/>
        </w:rPr>
        <w:t xml:space="preserve">Anais Da Academia Brasileira de Ci</w:t>
      </w:r>
      <w:r>
        <w:rPr>
          <w:iCs/>
          <w:i/>
        </w:rPr>
        <w:t xml:space="preserve">ê</w:t>
      </w:r>
      <w:r>
        <w:rPr>
          <w:iCs/>
          <w:i/>
        </w:rPr>
        <w:t xml:space="preserve">ncias</w:t>
      </w:r>
      <w:r>
        <w:t xml:space="preserve"> </w:t>
      </w:r>
      <w:r>
        <w:t xml:space="preserve">90: 1705–15.</w:t>
      </w:r>
    </w:p>
    <w:bookmarkEnd w:id="106"/>
    <w:bookmarkStart w:id="107" w:name="ref-vangel1996confidence"/>
    <w:p>
      <w:pPr>
        <w:pStyle w:val="Bibliography"/>
      </w:pPr>
      <w:r>
        <w:t xml:space="preserve">Vangel, Mark G. 1996.</w:t>
      </w:r>
      <w:r>
        <w:t xml:space="preserve"> </w:t>
      </w:r>
      <w:r>
        <w:t xml:space="preserve">“Confidence Intervals for a Normal Coefficient of Variation.”</w:t>
      </w:r>
      <w:r>
        <w:t xml:space="preserve"> </w:t>
      </w:r>
      <w:r>
        <w:rPr>
          <w:iCs/>
          <w:i/>
        </w:rPr>
        <w:t xml:space="preserve">The American Statistician</w:t>
      </w:r>
      <w:r>
        <w:t xml:space="preserve"> </w:t>
      </w:r>
      <w:r>
        <w:t xml:space="preserve">50 (1): 21–26.</w:t>
      </w:r>
    </w:p>
    <w:bookmarkEnd w:id="107"/>
    <w:bookmarkStart w:id="108" w:name="ref-vanpool2011quantitative"/>
    <w:p>
      <w:pPr>
        <w:pStyle w:val="Bibliography"/>
      </w:pPr>
      <w:r>
        <w:t xml:space="preserve">VanPool, Todd L, and Robert D Leonard. 2011.</w:t>
      </w:r>
      <w:r>
        <w:t xml:space="preserve"> </w:t>
      </w:r>
      <w:r>
        <w:rPr>
          <w:iCs/>
          <w:i/>
        </w:rPr>
        <w:t xml:space="preserve">Quantitative Analysis in Archaeology</w:t>
      </w:r>
      <w:r>
        <w:t xml:space="preserve">. John Wiley &amp; Sons.</w:t>
      </w:r>
    </w:p>
    <w:bookmarkEnd w:id="108"/>
    <w:bookmarkStart w:id="109" w:name="ref-wierer2013variability"/>
    <w:p>
      <w:pPr>
        <w:pStyle w:val="Bibliography"/>
      </w:pPr>
      <w:r>
        <w:t xml:space="preserve">Wierer, Ursula. 2013.</w:t>
      </w:r>
      <w:r>
        <w:t xml:space="preserve"> </w:t>
      </w:r>
      <w:r>
        <w:t xml:space="preserve">“Variability and Standardization: The Early Gravettian Lithic Complex of Grotta Paglicci, Southern Italy.”</w:t>
      </w:r>
      <w:r>
        <w:t xml:space="preserve"> </w:t>
      </w:r>
      <w:r>
        <w:rPr>
          <w:iCs/>
          <w:i/>
        </w:rPr>
        <w:t xml:space="preserve">Quaternary International</w:t>
      </w:r>
      <w:r>
        <w:t xml:space="preserve"> </w:t>
      </w:r>
      <w:r>
        <w:t xml:space="preserve">288: 215–38.</w:t>
      </w:r>
    </w:p>
    <w:bookmarkEnd w:id="109"/>
    <w:bookmarkEnd w:id="110"/>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2022-08-22T04:39:29Z</dcterms:created>
  <dcterms:modified xsi:type="dcterms:W3CDTF">2022-08-22T04:39:29Z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