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25.png" ContentType="image/png"/>
  <Override PartName="/word/media/rId34.png" ContentType="image/png"/>
  <Override PartName="/word/media/rId38.png" ContentType="image/png"/>
  <Override PartName="/word/media/rId46.png" ContentType="image/png"/>
  <Override PartName="/word/media/rId58.png" ContentType="image/png"/>
  <Override PartName="/word/media/rId54.png" ContentType="image/png"/>
  <Override PartName="/word/media/rId42.png" ContentType="image/png"/>
  <Override PartName="/word/media/rId5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bookmarkStart w:id="20" w:name="keywords"/>
    <w:p>
      <w:pPr>
        <w:pStyle w:val="Heading1"/>
      </w:pPr>
      <w:r>
        <w:t xml:space="preserve">Keywords</w:t>
      </w:r>
    </w:p>
    <w:p>
      <w:pPr>
        <w:pStyle w:val="FirstParagraph"/>
      </w:pPr>
      <w:r>
        <w:t xml:space="preserve">Stemmed points; Korean Paleolithic; Cultural Transmission; Learning process, Transmission Biases</w:t>
      </w:r>
    </w:p>
    <w:bookmarkEnd w:id="20"/>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(Dunnell 1980; Lipo et al. 1997; Bettinger et al. 1997; Bettinger and Eerkens 1999;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(Chuntaek Seong 2009)</w:t>
      </w:r>
      <w:r>
        <w:t xml:space="preserve">. Previous studies mainly focussed on the possible origin locations of stemmed points, to connect Korea with global patterns of modern human dispersal. Questions about the processes of technological change remain largely unanswered</w:t>
      </w:r>
      <w:r>
        <w:t xml:space="preserve"> </w:t>
      </w:r>
      <w:r>
        <w:t xml:space="preserve">(Chuntaek Seong 2008; K. Bae 2010; C. J. Bae, Douka, and Petraglia 2017)</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in Korea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(Chuntaek Seong 2008; G.-K. Lee and Sano 2019)</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(Chang 2013; Bamforth 2009; Chuntaek Seong 2015)</w:t>
      </w:r>
      <w:r>
        <w:t xml:space="preserve">. Currently the earliest stemmed points in Northeast Asia are from Yongho-doing site in Korea dated to 38.5ka and made on elongate flakes</w:t>
      </w:r>
      <w:r>
        <w:t xml:space="preserve"> </w:t>
      </w:r>
      <w:r>
        <w:t xml:space="preserve">(Chuntaek Seong 2009, 2015; C. J. Bae, Douka, and Petraglia 2017)</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(Chuntaek Seong 2009)</w:t>
      </w:r>
      <w:r>
        <w:t xml:space="preserve"> </w:t>
      </w:r>
      <w:r>
        <w:t xml:space="preserve">and heterogenic migration</w:t>
      </w:r>
      <w:r>
        <w:t xml:space="preserve"> </w:t>
      </w:r>
      <w:r>
        <w:t xml:space="preserve">(K. 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(C. Seong 2006; Chuntaek Seong 2008, 2009)</w:t>
      </w:r>
      <w:r>
        <w:t xml:space="preserve">. To support his claim of an</w:t>
      </w:r>
      <w:r>
        <w:t xml:space="preserve"> </w:t>
      </w:r>
      <w:r>
        <w:rPr>
          <w:iCs/>
          <w:i/>
        </w:rPr>
        <w:t xml:space="preserve">in situ</w:t>
      </w:r>
      <w:r>
        <w:t xml:space="preserve"> </w:t>
      </w:r>
      <w:r>
        <w:t xml:space="preserve">development,</w:t>
      </w:r>
      <w:r>
        <w:t xml:space="preserve"> </w:t>
      </w:r>
      <w:r>
        <w:t xml:space="preserve">Chuntaek 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(K. Bae 2010; C. J. Bae and Bae 2012; C. Bae, Bae, and Kim 2013)</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(C. Bae, Bae, and Kim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w:t>
      </w:r>
      <w:r>
        <w:t xml:space="preserve"> </w:t>
      </w:r>
      <w:r>
        <w:rPr>
          <w:iCs/>
          <w:i/>
        </w:rPr>
        <w:t xml:space="preserve">in situ</w:t>
      </w:r>
      <w:r>
        <w:t xml:space="preserve"> </w:t>
      </w:r>
      <w:r>
        <w:t xml:space="preserve">development. He partly agrees with the</w:t>
      </w:r>
      <w:r>
        <w:t xml:space="preserve"> </w:t>
      </w:r>
      <w:r>
        <w:rPr>
          <w:iCs/>
          <w:i/>
        </w:rPr>
        <w:t xml:space="preserve">in situ</w:t>
      </w:r>
      <w:r>
        <w:t xml:space="preserve"> </w:t>
      </w:r>
      <w:r>
        <w:t xml:space="preserve">model that simple flake tools had continuously been used in Korea as the result of ancestor-descendant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w:t>
      </w:r>
      <w:r>
        <w:t xml:space="preserve"> </w:t>
      </w:r>
      <w:r>
        <w:rPr>
          <w:iCs/>
          <w:i/>
        </w:rPr>
        <w:t xml:space="preserve">in situ</w:t>
      </w:r>
      <w:r>
        <w:t xml:space="preserve">,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(Dunnell 1980; Richerson and Boyd 1992; Lipo et al. 1997; Bettinger and Eerkens 1997; Bettinger and Eerkens 1999; Eerkens and Bettinger 2008; Mesoudi and O’Brien 2008)</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Mesoudi, and Lycett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(Heyes 1994; Eerkens and Lipo 2007; Lycett 2015; Creanza, Kolodny, and Feldman 2017; Kendal et al. 2018)</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Richerson and Boyd 1992; O’Brien and Bentley 2017)</w:t>
      </w:r>
      <w:r>
        <w:t xml:space="preserve">.</w:t>
      </w:r>
    </w:p>
    <w:p>
      <w:pPr>
        <w:pStyle w:val="BodyText"/>
      </w:pPr>
      <w:r>
        <w:t xml:space="preserve">Bettinger and Eerkens</w:t>
      </w:r>
      <w:r>
        <w:t xml:space="preserve"> </w:t>
      </w:r>
      <w:r>
        <w:t xml:space="preserve">(1997; 1999;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@seong2015diversity; @Park_2013</w:t>
      </w:r>
    </w:p>
    <w:tbl>
      <w:tblPr>
        <w:tblStyle w:val="Table"/>
        <w:tblW w:type="pct" w:w="5000"/>
        <w:tblLook w:firstRow="1" w:lastRow="0" w:firstColumn="0" w:lastColumn="0" w:noHBand="0" w:noVBand="0" w:val="0020"/>
        <w:tblCaption w:val="Korean Paleolithic Chronology edited based on @seong2015diversity; @Park_2013"/>
      </w:tblPr>
      <w:tblGrid>
        <w:gridCol w:w="307"/>
        <w:gridCol w:w="807"/>
        <w:gridCol w:w="384"/>
        <w:gridCol w:w="538"/>
        <w:gridCol w:w="807"/>
        <w:gridCol w:w="1460"/>
        <w:gridCol w:w="2268"/>
        <w:gridCol w:w="615"/>
        <w:gridCol w:w="730"/>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w:t>
            </w:r>
            <w:r>
              <w:br/>
            </w:r>
            <w:r>
              <w:t xml:space="preserve">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33" w:name="materials-and-methods"/>
    <w:p>
      <w:pPr>
        <w:pStyle w:val="Heading1"/>
      </w:pPr>
      <w:r>
        <w:t xml:space="preserve">Materials and methods</w:t>
      </w:r>
    </w:p>
    <w:p>
      <w:pPr>
        <w:numPr>
          <w:ilvl w:val="0"/>
          <w:numId w:val="1001"/>
        </w:numPr>
        <w:pStyle w:val="Compact"/>
      </w:pPr>
      <w:r>
        <w:t xml:space="preserve">Materials and stemmed points chronology</w:t>
      </w:r>
    </w:p>
    <w:p>
      <w:pPr>
        <w:pStyle w:val="FirstParagraph"/>
      </w:pPr>
      <w:r>
        <w:t xml:space="preserve">After the first discovery in Seokjangri site in the 1960s, around 300 stemmed points have been found in nearly 30 sites across Korea (</w:t>
      </w:r>
      <w:hyperlink w:anchor="fig-map">
        <w:r>
          <w:rPr>
            <w:rStyle w:val="Hyperlink"/>
          </w:rPr>
          <w:t xml:space="preserve">Figure 1</w:t>
        </w:r>
      </w:hyperlink>
      <w:r>
        <w:t xml:space="preserve">).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(Figure 1).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(Chuntaek Seong 2015; Park 2013)</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tbl>
      <w:tblPr>
        <w:tblStyle w:val="Table"/>
        <w:tblW w:type="pct" w:w="5000"/>
        <w:tblLook w:firstRow="0" w:lastRow="0" w:firstColumn="0" w:lastColumn="0" w:noHBand="0" w:noVBand="0" w:val="0000"/>
      </w:tblPr>
      <w:tblGrid>
        <w:gridCol w:w="7920"/>
      </w:tblGrid>
      <w:tr>
        <w:tc>
          <w:tcPr/>
          <w:bookmarkStart w:id="28" w:name="fig-map"/>
          <w:p>
            <w:pPr>
              <w:pStyle w:val="Figure"/>
              <w:jc w:val="center"/>
            </w:pPr>
            <w:r>
              <w:drawing>
                <wp:inline>
                  <wp:extent cx="4543425" cy="4594474"/>
                  <wp:effectExtent b="0" l="0" r="0" t="0"/>
                  <wp:docPr descr="" title="" id="26" name="Picture"/>
                  <a:graphic>
                    <a:graphicData uri="http://schemas.openxmlformats.org/drawingml/2006/picture">
                      <pic:pic>
                        <pic:nvPicPr>
                          <pic:cNvPr descr="images/001-site-map.png" id="27" name="Picture"/>
                          <pic:cNvPicPr>
                            <a:picLocks noChangeArrowheads="1" noChangeAspect="1"/>
                          </pic:cNvPicPr>
                        </pic:nvPicPr>
                        <pic:blipFill>
                          <a:blip r:embed="rId25"/>
                          <a:stretch>
                            <a:fillRect/>
                          </a:stretch>
                        </pic:blipFill>
                        <pic:spPr bwMode="auto">
                          <a:xfrm>
                            <a:off x="0" y="0"/>
                            <a:ext cx="4543425" cy="45944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Korean Paleolithic sites mentioned in this study</w:t>
            </w:r>
          </w:p>
          <w:bookmarkEnd w:id="28"/>
        </w:tc>
      </w:tr>
    </w:tbl>
    <w:p>
      <w:pPr>
        <w:numPr>
          <w:ilvl w:val="0"/>
          <w:numId w:val="1002"/>
        </w:numPr>
        <w:pStyle w:val="Compact"/>
      </w:pPr>
      <w:r>
        <w:t xml:space="preserve">Methods</w:t>
      </w:r>
    </w:p>
    <w:p>
      <w:pPr>
        <w:pStyle w:val="FirstParagraph"/>
      </w:pPr>
      <w:r>
        <w:t xml:space="preserve">In addition to attributes from previous studies of cultural transmission and projectile points, i.e. maximum length and width</w:t>
      </w:r>
      <w:r>
        <w:t xml:space="preserve"> </w:t>
      </w:r>
      <w:r>
        <w:t xml:space="preserve">(Bettinger and Eerkens 1997; Bettinger and Eerkens 1999; Eerkens and Bettinger 2008; Garvey 2018)</w:t>
      </w:r>
      <w:r>
        <w:t xml:space="preserve">, we used additional morphological attributes on the stemmed points to examine variations in shape and the relationship between each attribute (</w:t>
      </w:r>
      <w:hyperlink w:anchor="fig-two">
        <w:r>
          <w:rPr>
            <w:rStyle w:val="Hyperlink"/>
          </w:rPr>
          <w:t xml:space="preserve">Figure 2</w:t>
        </w:r>
      </w:hyperlink>
      <w:r>
        <w:t xml:space="preserve">). We obtained our morphological attribute data from landmark analysis of digitized images of the artifacts. Compared to traditional caliper measurements, morphometric data yields more easily interpretable numerical and visual outcomes</w:t>
      </w:r>
      <w:r>
        <w:t xml:space="preserve"> </w:t>
      </w:r>
      <w:r>
        <w:t xml:space="preserve">(Buchanan and Collard 2010; Thulman 2012; Cardillo, Borrazzo, and Charlin 2016; Petřı́k et al. 2018; MacLeod 2018; Okumura and Araujo 2019; Suárez and Cardillo 2019)</w:t>
      </w:r>
      <w:r>
        <w:t xml:space="preserve">. We did not include weight and thickness as these measurements were not available to us. For the landmark analysis, we put a total of 11 landmarks on the outline of each stemmed point and computed distances between pairs of landmark coordinates to derive attributes for our statistical analyses. The landmarks we recorded were: (1) the tip of the point; (2) the left side of mid-point; (3) the left wing, which can be overlapped with the mid-point; (4) the left side of the mid-point on the tang curve; (5) the left side of 5mm above the basal end; (6) the center of the basal end; (7) the tip of the basal end, which can be overlapped with the center of the basal end ; (8) the right side of 5mm above the basal end ; (9) the right side of the mid-point on the tang curve; (10) the right wing; and (11) the right side of mid-pint, which can be overlapped with the right wing. We used the point tool in ImageJ</w:t>
      </w:r>
      <w:r>
        <w:t xml:space="preserve"> </w:t>
      </w:r>
      <w:r>
        <w:t xml:space="preserve">(Schneider, Rasband, and Eliceiri 2012)</w:t>
      </w:r>
      <w:r>
        <w:t xml:space="preserve"> </w:t>
      </w:r>
      <w:r>
        <w:t xml:space="preserve">to capture the landmarks and export them as XY coordinate data.</w:t>
      </w:r>
    </w:p>
    <w:tbl>
      <w:tblPr>
        <w:tblStyle w:val="Table"/>
        <w:tblW w:type="pct" w:w="5000"/>
        <w:tblLook w:firstRow="0" w:lastRow="0" w:firstColumn="0" w:lastColumn="0" w:noHBand="0" w:noVBand="0" w:val="0000"/>
      </w:tblPr>
      <w:tblGrid>
        <w:gridCol w:w="7920"/>
      </w:tblGrid>
      <w:tr>
        <w:tc>
          <w:tcPr/>
          <w:bookmarkStart w:id="32" w:name="fig-two"/>
          <w:p>
            <w:pPr>
              <w:pStyle w:val="Figure"/>
              <w:jc w:val="center"/>
            </w:pPr>
            <w:r>
              <w:drawing>
                <wp:inline>
                  <wp:extent cx="2105025" cy="3457157"/>
                  <wp:effectExtent b="0" l="0" r="0" t="0"/>
                  <wp:docPr descr="" title="" id="30" name="Picture"/>
                  <a:graphic>
                    <a:graphicData uri="http://schemas.openxmlformats.org/drawingml/2006/picture">
                      <pic:pic>
                        <pic:nvPicPr>
                          <pic:cNvPr descr="images/ISKM%20talk%202021-cut.png" id="31" name="Picture"/>
                          <pic:cNvPicPr>
                            <a:picLocks noChangeArrowheads="1" noChangeAspect="1"/>
                          </pic:cNvPicPr>
                        </pic:nvPicPr>
                        <pic:blipFill>
                          <a:blip r:embed="rId29"/>
                          <a:stretch>
                            <a:fillRect/>
                          </a:stretch>
                        </pic:blipFill>
                        <pic:spPr bwMode="auto">
                          <a:xfrm>
                            <a:off x="0" y="0"/>
                            <a:ext cx="2105025" cy="34571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Stemmed point from Yongsandong site. with landmarks showing the attributes considered in this study and corresponding landmarks:</w:t>
            </w:r>
            <w:r>
              <w:br/>
            </w:r>
            <w:r>
              <w:t xml:space="preserve">ML: Maximum length, tip to bottom, perpendicular to the length axis 1- 7</w:t>
            </w:r>
            <w:r>
              <w:br/>
            </w:r>
            <w:r>
              <w:t xml:space="preserve">BL: Body length, tip to the closest wing, perpendicular to the length axis 1- 3 or 1-10 depending on the artifact</w:t>
            </w:r>
            <w:r>
              <w:br/>
            </w:r>
            <w:r>
              <w:t xml:space="preserve">TL: Tang length, the closest wing from the tip to bottom,perpendicular to the length axis 3 - 7 or 10-7 depending on the artifact</w:t>
            </w:r>
            <w:r>
              <w:br/>
            </w:r>
            <w:r>
              <w:t xml:space="preserve">SL: (Maximum) stem length, perpendicular to the length axis. Closer tang curve’s middle point from the tip to the most distant point of the basal end 9-7 or 4-7 depending on the artifact</w:t>
            </w:r>
            <w:r>
              <w:br/>
            </w:r>
            <w:r>
              <w:t xml:space="preserve">MW: mid width, dimension from margin to margin at the mid-point of the length 2 - 11 axis, perpendicular to the width axis.</w:t>
            </w:r>
            <w:r>
              <w:br/>
            </w:r>
            <w:r>
              <w:t xml:space="preserve">TW: tang width, dimension between each wing, perpendicular to the width axis 3 - 10</w:t>
            </w:r>
            <w:r>
              <w:br/>
            </w:r>
            <w:r>
              <w:t xml:space="preserve">SW: stem width, width of the basal end of the point, 5mm above the end 5 - 8</w:t>
            </w:r>
          </w:p>
          <w:bookmarkEnd w:id="32"/>
        </w:tc>
      </w:tr>
    </w:tbl>
    <w:p>
      <w:pPr>
        <w:pStyle w:val="BodyText"/>
      </w:pPr>
      <w:r>
        <w:t xml:space="preserve">To measure the variations between stemmed points, we used Coefficients of Variation (CV) with confidence intervals. CV is the ratio of the standard deviation to the mean. It has been used as a robust statistical method to calculate the degree of standardization, precision, equality, homogeneity, etc. in various disciplines</w:t>
      </w:r>
      <w:r>
        <w:t xml:space="preserve"> </w:t>
      </w:r>
      <w:r>
        <w:t xml:space="preserve">(Ng 2006; Panichkitkosolkul 2009, 2013)</w:t>
      </w:r>
      <w:r>
        <w:t xml:space="preserve">. In archaeological studies, CV has been applied to measure the variation between artifacts and test hypotheses about cultural evolutionary processes including distinguishing different types of learning biases affecting cultural transmission</w:t>
      </w:r>
      <w:r>
        <w:t xml:space="preserve"> </w:t>
      </w:r>
      <w:r>
        <w:t xml:space="preserve">(Eerkens and Bettinger 2001; Eerkens and Lipo 2005; Schillinger, Mesoudi, and Lycett 2014; Garvey 2018)</w:t>
      </w:r>
      <w:r>
        <w:t xml:space="preserve">. Eerkens and Bettinger</w:t>
      </w:r>
      <w:r>
        <w:t xml:space="preserve"> </w:t>
      </w:r>
      <w:r>
        <w:t xml:space="preserve">(2001)</w:t>
      </w:r>
      <w:r>
        <w:t xml:space="preserve"> </w:t>
      </w:r>
      <w:r>
        <w:t xml:space="preserve">summarize CV values for artifacts made from various materials and find that the range of CV values for most archaeological datasets is between 2% (i.e. CV for planned production = 1.7 %) and about 60% (i.e. CV for random production = 57.7%) and the values over the upper limit likely reflect intended attempts to differentiate the products. Among the Great Basin Projectiles examined by Eerkens and Bettinger, the average CV was 22 and the range in CV values was 6-55. Considering the lower quality of raw materials in Korea, we sat roughly 25 as the threshold to decide the type of transmission biases.</w:t>
      </w:r>
    </w:p>
    <w:p>
      <w:pPr>
        <w:pStyle w:val="BodyText"/>
      </w:pPr>
      <w:r>
        <w:t xml:space="preserve">Sample size can impact on accuracy of estimated CV that reflects the corresponding population size.</w:t>
      </w:r>
      <w:r>
        <w:t xml:space="preserve"> </w:t>
      </w:r>
      <w:r>
        <w:t xml:space="preserve">(Toebe et al. 2018; Kelley 2007; VanPool and Leonard 2011)</w:t>
      </w:r>
      <w:r>
        <w:t xml:space="preserve">. In archeological research, sample size for CV values varies from n=5 to more than a thousand artifacts</w:t>
      </w:r>
      <w:r>
        <w:t xml:space="preserve"> </w:t>
      </w:r>
      <w:r>
        <w:t xml:space="preserve">(Bettinger and Eerkens 1999; Garvey 2018; Costin and Hagstrum 1995; Wierer 2013; Kvamme, Stark, and Longacre 1996; Rivals, Schulz, and Kaiser 2009)</w:t>
      </w:r>
      <w:r>
        <w:t xml:space="preserve">. A variety of methods are available for improving the reliability of CV measurements on small samples.</w:t>
      </w:r>
      <w:r>
        <w:t xml:space="preserve"> </w:t>
      </w:r>
      <w:r>
        <w:t xml:space="preserve">VanPool and Leonard (2011)</w:t>
      </w:r>
      <w:r>
        <w:t xml:space="preserve"> </w:t>
      </w:r>
      <w:r>
        <w:t xml:space="preserve">proposed a</w:t>
      </w:r>
      <w:r>
        <w:t xml:space="preserve"> </w:t>
      </w:r>
      <w:r>
        <w:t xml:space="preserve">“</w:t>
      </w:r>
      <w:r>
        <w:t xml:space="preserve">corrected CV</w:t>
      </w:r>
      <w:r>
        <w:t xml:space="preserve">”</w:t>
      </w:r>
      <w:r>
        <w:t xml:space="preserve">, for a smaller sample (i.e. n&lt;25). Statistical research has results in several methods for computing confidence intervals on CVs to show uncertainty</w:t>
      </w:r>
      <w:r>
        <w:t xml:space="preserve"> </w:t>
      </w:r>
      <w:r>
        <w:t xml:space="preserve">(Koopmans, Owen, and Rosenblatt 1964; Miller 1991; Sharma and Krishna 1994; McKay 1932; Vangel 1996; Curto and Pinto 2009; Banik and Kibria 2011; Panichkitkosolkul 2013; Mahmoudvand and Hassani 2009; Gulhar et al. 2012)</w:t>
      </w:r>
      <w:r>
        <w:t xml:space="preserve">. Since our sample size is 152 artifacts, we used the standard CV formula rather than that of</w:t>
      </w:r>
      <w:r>
        <w:t xml:space="preserve"> </w:t>
      </w:r>
      <w:r>
        <w:t xml:space="preserve">VanPool and Leonard (2011)</w:t>
      </w:r>
      <w:r>
        <w:t xml:space="preserve">, and we computed confidence intervals using the Sharma and Krishna model to show uncertainty around our CV estimates</w:t>
      </w:r>
      <w:r>
        <w:t xml:space="preserve"> </w:t>
      </w:r>
      <w:r>
        <w:t xml:space="preserve">(Kelley 2007; Albatineh et al. 2014)</w:t>
      </w:r>
      <w:r>
        <w:t xml:space="preserve">.</w:t>
      </w:r>
    </w:p>
    <w:p>
      <w:pPr>
        <w:pStyle w:val="BodyText"/>
      </w:pPr>
      <w:r>
        <w:t xml:space="preserve">We chose Principal Component Analysis (PCA) to compute Pearson’s r correlations between the attributes as previous studies used</w:t>
      </w:r>
      <w:r>
        <w:t xml:space="preserve"> </w:t>
      </w:r>
      <w:r>
        <w:t xml:space="preserve">(Bettinger and Eerkens 1999; Eerkens and Bettinger 2008; Garvey 2018)</w:t>
      </w:r>
      <w:r>
        <w:t xml:space="preserve"> </w:t>
      </w:r>
      <w:r>
        <w:t xml:space="preserve">and to investigate the relationship between attributes as well as the impact of each attribute on the overall shape of stemmed points. PCA is often used to detect relevant information from dataset, indicate relationships between variables as well as cases, extract general patterns in data, and identify which variables most influence these patterns</w:t>
      </w:r>
      <w:r>
        <w:t xml:space="preserve"> </w:t>
      </w:r>
      <w:r>
        <w:t xml:space="preserve">(Cascalheira and Bicho 2018; Suárez and Cardillo 2019)</w:t>
      </w:r>
      <w:r>
        <w:t xml:space="preserve">. PCA is widely used for geometric morphometric analysis of artifacts to extract general patterns of shape variation</w:t>
      </w:r>
      <w:r>
        <w:t xml:space="preserve"> </w:t>
      </w:r>
      <w:r>
        <w:t xml:space="preserve">(Selden, Perttula, and O’Brien 2014; Suárez and Cardillo 2019; Leplongeon et al. 2020; Ivanovaitė et al. 2020)</w:t>
      </w:r>
      <w:r>
        <w:t xml:space="preserve">.</w:t>
      </w:r>
    </w:p>
    <w:p>
      <w:pPr>
        <w:pStyle w:val="BodyText"/>
      </w:pPr>
      <w:r>
        <w:t xml:space="preserve">All data treatment, analyses and visualization were performed in the R environment</w:t>
      </w:r>
      <w:r>
        <w:t xml:space="preserve">(Core 2021)</w:t>
      </w:r>
      <w:r>
        <w:t xml:space="preserve">. Our R code and data including the raw images are openly available online: https://github.com/parkgayoung/CTtps as well at DOI to enable full reproducibility</w:t>
      </w:r>
      <w:r>
        <w:t xml:space="preserve"> </w:t>
      </w:r>
      <w:r>
        <w:t xml:space="preserve">(Marwick 2017)</w:t>
      </w:r>
      <w:r>
        <w:t xml:space="preserve">.</w:t>
      </w:r>
    </w:p>
    <w:bookmarkEnd w:id="33"/>
    <w:bookmarkStart w:id="66" w:name="results"/>
    <w:p>
      <w:pPr>
        <w:pStyle w:val="Heading1"/>
      </w:pPr>
      <w:r>
        <w:t xml:space="preserve">Results</w:t>
      </w:r>
    </w:p>
    <w:p>
      <w:pPr>
        <w:numPr>
          <w:ilvl w:val="0"/>
          <w:numId w:val="1003"/>
        </w:numPr>
        <w:pStyle w:val="Compact"/>
      </w:pPr>
      <w:r>
        <w:t xml:space="preserve">Distribution of attributes</w:t>
      </w:r>
    </w:p>
    <w:p>
      <w:pPr>
        <w:pStyle w:val="FirstParagraph"/>
      </w:pPr>
      <w:hyperlink w:anchor="fig-three">
        <w:r>
          <w:rPr>
            <w:rStyle w:val="Hyperlink"/>
          </w:rPr>
          <w:t xml:space="preserve">Figure 3</w:t>
        </w:r>
      </w:hyperlink>
      <w:r>
        <w:t xml:space="preserve"> </w:t>
      </w:r>
      <w:r>
        <w:t xml:space="preserve">shows a relatively wide distribution of body length (BL) and maximum length (ML) while the other attributes are more similar and shorter (under 2.5 cm). Among these attributes, stem width (SW) is the smallest and most highly standardized, regardless of overall size of the stemmed points. This result implies a similar thickness of a wooden shaft that is attached to the stem.</w:t>
      </w:r>
    </w:p>
    <w:tbl>
      <w:tblPr>
        <w:tblStyle w:val="Table"/>
        <w:tblW w:type="pct" w:w="5000"/>
        <w:tblLook w:firstRow="0" w:lastRow="0" w:firstColumn="0" w:lastColumn="0" w:noHBand="0" w:noVBand="0" w:val="0000"/>
      </w:tblPr>
      <w:tblGrid>
        <w:gridCol w:w="7920"/>
      </w:tblGrid>
      <w:tr>
        <w:tc>
          <w:tcPr/>
          <w:bookmarkStart w:id="37" w:name="fig-three"/>
          <w:p>
            <w:pPr>
              <w:pStyle w:val="Figure"/>
              <w:jc w:val="center"/>
            </w:pPr>
            <w:r>
              <w:drawing>
                <wp:inline>
                  <wp:extent cx="3086100" cy="3120775"/>
                  <wp:effectExtent b="0" l="0" r="0" t="0"/>
                  <wp:docPr descr="" title="" id="35" name="Picture"/>
                  <a:graphic>
                    <a:graphicData uri="http://schemas.openxmlformats.org/drawingml/2006/picture">
                      <pic:pic>
                        <pic:nvPicPr>
                          <pic:cNvPr descr="images/002-attributes-variation-01.png" id="36" name="Picture"/>
                          <pic:cNvPicPr>
                            <a:picLocks noChangeArrowheads="1" noChangeAspect="1"/>
                          </pic:cNvPicPr>
                        </pic:nvPicPr>
                        <pic:blipFill>
                          <a:blip r:embed="rId34"/>
                          <a:stretch>
                            <a:fillRect/>
                          </a:stretch>
                        </pic:blipFill>
                        <pic:spPr bwMode="auto">
                          <a:xfrm>
                            <a:off x="0" y="0"/>
                            <a:ext cx="3086100" cy="3120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 for each attribute measured on the stemmed points. The black bold horizontal lines in the middle of boxes represent the median value. The dots represent individual artefacts.</w:t>
            </w:r>
          </w:p>
          <w:bookmarkEnd w:id="37"/>
        </w:tc>
      </w:tr>
    </w:tbl>
    <w:p>
      <w:pPr>
        <w:numPr>
          <w:ilvl w:val="0"/>
          <w:numId w:val="1004"/>
        </w:numPr>
        <w:pStyle w:val="Compact"/>
      </w:pPr>
      <w:r>
        <w:t xml:space="preserve">Coefficient of variation</w:t>
      </w:r>
    </w:p>
    <w:p>
      <w:pPr>
        <w:pStyle w:val="FirstParagraph"/>
      </w:pPr>
      <w:r>
        <w:t xml:space="preserve">We used CV to measure the variations between stemmed points. If the variation is high, the transmission might happen through guided variation while the low variation represents indirect bias. Our results show that CV values for all attributes are distributed from 23.8 to 36.3 (</w:t>
      </w:r>
      <w:hyperlink w:anchor="fig-four">
        <w:r>
          <w:rPr>
            <w:rStyle w:val="Hyperlink"/>
          </w:rPr>
          <w:t xml:space="preserve">Figure 4</w:t>
        </w:r>
      </w:hyperlink>
      <w:r>
        <w:t xml:space="preserve">). Compared to the CVs of Great Basin projectile points</w:t>
      </w:r>
      <w:r>
        <w:t xml:space="preserve"> </w:t>
      </w:r>
      <w:r>
        <w:t xml:space="preserve">(Eerkens and Bettinger 2001)</w:t>
      </w:r>
      <w:r>
        <w:t xml:space="preserve">, the average CV is higher. Unlike the distribution of actual attributes (</w:t>
      </w:r>
      <w:hyperlink w:anchor="fig-three">
        <w:r>
          <w:rPr>
            <w:rStyle w:val="Hyperlink"/>
          </w:rPr>
          <w:t xml:space="preserve">Figure 3</w:t>
        </w:r>
      </w:hyperlink>
      <w:r>
        <w:t xml:space="preserve">), the CV of body length and maximum length have the lowest values. The lower CV of maximum length indicates highly standardized with narrowest confidence intervals. Tang and stem related attributes (e.g. SL, SW, TL, TW) are less standardized with higher CV values and wider confidence intervals than other attributes on the artifacts. Among all the attributes, only maximum length has the CV values lower than 25, which could be the result of indirect bias.</w:t>
      </w:r>
    </w:p>
    <w:tbl>
      <w:tblPr>
        <w:tblStyle w:val="Table"/>
        <w:tblW w:type="pct" w:w="5000"/>
        <w:tblLook w:firstRow="0" w:lastRow="0" w:firstColumn="0" w:lastColumn="0" w:noHBand="0" w:noVBand="0" w:val="0000"/>
      </w:tblPr>
      <w:tblGrid>
        <w:gridCol w:w="7920"/>
      </w:tblGrid>
      <w:tr>
        <w:tc>
          <w:tcPr/>
          <w:bookmarkStart w:id="41" w:name="fig-four"/>
          <w:p>
            <w:pPr>
              <w:pStyle w:val="Figure"/>
              <w:jc w:val="center"/>
            </w:pPr>
            <w:r>
              <w:drawing>
                <wp:inline>
                  <wp:extent cx="3228975" cy="3027164"/>
                  <wp:effectExtent b="0" l="0" r="0" t="0"/>
                  <wp:docPr descr="" title="" id="39" name="Picture"/>
                  <a:graphic>
                    <a:graphicData uri="http://schemas.openxmlformats.org/drawingml/2006/picture">
                      <pic:pic>
                        <pic:nvPicPr>
                          <pic:cNvPr descr="images/003-cv-sharma-01.png" id="40" name="Picture"/>
                          <pic:cNvPicPr>
                            <a:picLocks noChangeArrowheads="1" noChangeAspect="1"/>
                          </pic:cNvPicPr>
                        </pic:nvPicPr>
                        <pic:blipFill>
                          <a:blip r:embed="rId38"/>
                          <a:stretch>
                            <a:fillRect/>
                          </a:stretch>
                        </pic:blipFill>
                        <pic:spPr bwMode="auto">
                          <a:xfrm>
                            <a:off x="0" y="0"/>
                            <a:ext cx="3228975" cy="30271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points and blue colored numbers represent CV values for each attribute measured on the stemmed points. 95% confidence intervals for the CVs were computed using Sharma &amp; Krishna’s method. The vertical lines indicate the range of confidence intervals.</w:t>
            </w:r>
          </w:p>
          <w:bookmarkEnd w:id="41"/>
        </w:tc>
      </w:tr>
    </w:tbl>
    <w:p>
      <w:pPr>
        <w:numPr>
          <w:ilvl w:val="0"/>
          <w:numId w:val="1005"/>
        </w:numPr>
        <w:pStyle w:val="Compact"/>
      </w:pPr>
      <w:r>
        <w:t xml:space="preserve">Principal Component Analysis</w:t>
      </w:r>
    </w:p>
    <w:p>
      <w:pPr>
        <w:pStyle w:val="FirstParagraph"/>
      </w:pPr>
      <w:r>
        <w:t xml:space="preserve">PCA serves to examine correlation of attributes for determining the dominant mode of cultural transmission.</w:t>
      </w:r>
      <w:r>
        <w:t xml:space="preserve"> </w:t>
      </w:r>
      <w:hyperlink w:anchor="fig-five">
        <w:r>
          <w:rPr>
            <w:rStyle w:val="Hyperlink"/>
          </w:rPr>
          <w:t xml:space="preserve">Figure 5</w:t>
        </w:r>
      </w:hyperlink>
      <w:r>
        <w:t xml:space="preserve"> </w:t>
      </w:r>
      <w:r>
        <w:t xml:space="preserve">shows positive relationship between attributes. Especially, there are strong relationships between body length and maximum length, tang width and mid width, and tang length and stem length. Body length and maximum length contribute the most to the shape of stemmed points and they are most correlated to each other. Other width and tang related attributes are close to each other but a bit far from body length and maximum length. Stem width contributes the least to the overall shape. We can assume that the body length and maximum length were prioritized when the stemmed points were transmitted.</w:t>
      </w:r>
    </w:p>
    <w:tbl>
      <w:tblPr>
        <w:tblStyle w:val="Table"/>
        <w:tblW w:type="pct" w:w="5000"/>
        <w:tblLook w:firstRow="0" w:lastRow="0" w:firstColumn="0" w:lastColumn="0" w:noHBand="0" w:noVBand="0" w:val="0000"/>
      </w:tblPr>
      <w:tblGrid>
        <w:gridCol w:w="7920"/>
      </w:tblGrid>
      <w:tr>
        <w:tc>
          <w:tcPr/>
          <w:bookmarkStart w:id="45" w:name="fig-five"/>
          <w:p>
            <w:pPr>
              <w:pStyle w:val="Figure"/>
              <w:jc w:val="center"/>
            </w:pPr>
            <w:r>
              <w:drawing>
                <wp:inline>
                  <wp:extent cx="2705100" cy="2705100"/>
                  <wp:effectExtent b="0" l="0" r="0" t="0"/>
                  <wp:docPr descr="" title="" id="43" name="Picture"/>
                  <a:graphic>
                    <a:graphicData uri="http://schemas.openxmlformats.org/drawingml/2006/picture">
                      <pic:pic>
                        <pic:nvPicPr>
                          <pic:cNvPr descr="images/007-PCA-1.png" id="44" name="Picture"/>
                          <pic:cNvPicPr>
                            <a:picLocks noChangeArrowheads="1" noChangeAspect="1"/>
                          </pic:cNvPicPr>
                        </pic:nvPicPr>
                        <pic:blipFill>
                          <a:blip r:embed="rId42"/>
                          <a:stretch>
                            <a:fillRect/>
                          </a:stretch>
                        </pic:blipFill>
                        <pic:spPr bwMode="auto">
                          <a:xfrm>
                            <a:off x="0" y="0"/>
                            <a:ext cx="2705100" cy="2705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PCA analysis for stemmed points. The direction of the arrow shows the relationship between attributes. The length and color of the arrow indicate the strength of contribution to the stemmed point shape.</w:t>
            </w:r>
          </w:p>
          <w:bookmarkEnd w:id="45"/>
        </w:tc>
      </w:tr>
    </w:tbl>
    <w:p>
      <w:pPr>
        <w:numPr>
          <w:ilvl w:val="0"/>
          <w:numId w:val="1006"/>
        </w:numPr>
        <w:pStyle w:val="Compact"/>
      </w:pPr>
      <w:r>
        <w:t xml:space="preserve">Variation Over Time</w:t>
      </w:r>
    </w:p>
    <w:p>
      <w:pPr>
        <w:pStyle w:val="FirstParagraph"/>
      </w:pPr>
      <w:r>
        <w:t xml:space="preserve">To understand the temporal patterns in the modes of cultural transmission, we applied Korea Late Paleolithic chronological phases into our samples and computed CV and PCA. Among the three phases of the chronology, we excluded Phase 1 for the analysis because there are only two stemmed points from Yonghodong and Sachang sites to compute. However, this does not mean that there were only two stemmed points for the Phase 1 because we excluded broken pieces from our sample to conduct the morphological analysis.</w:t>
      </w:r>
    </w:p>
    <w:p>
      <w:pPr>
        <w:pStyle w:val="BodyText"/>
      </w:pPr>
      <w:r>
        <w:t xml:space="preserve">After excluding the Phase 1 stemmed points, overall CV values become lower (</w:t>
      </w:r>
      <w:hyperlink w:anchor="fig-six">
        <w:r>
          <w:rPr>
            <w:rStyle w:val="Hyperlink"/>
          </w:rPr>
          <w:t xml:space="preserve">Figure 6</w:t>
        </w:r>
      </w:hyperlink>
      <w:r>
        <w:t xml:space="preserve">). Body length of Phase 2, maximum length, mid width, and tang width are under 25, which indicates as a result of indirect bias, while only maximum length are under 25 in Figure 4. On the other hand, Body length of Phase 3, stem length, stem width, and tang length are relatively higher then 25 and mostly over 30 indicating guided variation.</w:t>
      </w:r>
    </w:p>
    <w:p>
      <w:pPr>
        <w:pStyle w:val="BodyText"/>
      </w:pPr>
      <w:r>
        <w:t xml:space="preserve">Compared to Phase 2, except for maximum width and tang width, the other CV values of Phase 3 tend to be higher. In addition, Phase 3 tends to have wider confidence intervals. Stem width and tang length values are relatively steady over time. Our results show that stemmed points from Phase 2 are less varied than Phase 3 as well as Phase 1.</w:t>
      </w:r>
    </w:p>
    <w:tbl>
      <w:tblPr>
        <w:tblStyle w:val="Table"/>
        <w:tblW w:type="pct" w:w="5000"/>
        <w:tblLook w:firstRow="0" w:lastRow="0" w:firstColumn="0" w:lastColumn="0" w:noHBand="0" w:noVBand="0" w:val="0000"/>
      </w:tblPr>
      <w:tblGrid>
        <w:gridCol w:w="7920"/>
      </w:tblGrid>
      <w:tr>
        <w:tc>
          <w:tcPr/>
          <w:bookmarkStart w:id="49" w:name="fig-six"/>
          <w:p>
            <w:pPr>
              <w:pStyle w:val="Figure"/>
              <w:jc w:val="center"/>
            </w:pPr>
            <w:r>
              <w:drawing>
                <wp:inline>
                  <wp:extent cx="3295650" cy="3295650"/>
                  <wp:effectExtent b="0" l="0" r="0" t="0"/>
                  <wp:docPr descr="" title="" id="47" name="Picture"/>
                  <a:graphic>
                    <a:graphicData uri="http://schemas.openxmlformats.org/drawingml/2006/picture">
                      <pic:pic>
                        <pic:nvPicPr>
                          <pic:cNvPr descr="images/004-cv-phases-01.png" id="48" name="Picture"/>
                          <pic:cNvPicPr>
                            <a:picLocks noChangeArrowheads="1" noChangeAspect="1"/>
                          </pic:cNvPicPr>
                        </pic:nvPicPr>
                        <pic:blipFill>
                          <a:blip r:embed="rId46"/>
                          <a:stretch>
                            <a:fillRect/>
                          </a:stretch>
                        </pic:blipFill>
                        <pic:spPr bwMode="auto">
                          <a:xfrm>
                            <a:off x="0" y="0"/>
                            <a:ext cx="3295650" cy="3295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CV values for the second and third chronological phases in the Korean Late Paleolithic period. The points represent CV values for each attribute. The vertical lines indicate the range of confidence intervals.</w:t>
            </w:r>
          </w:p>
          <w:bookmarkEnd w:id="49"/>
        </w:tc>
      </w:tr>
    </w:tbl>
    <w:p>
      <w:pPr>
        <w:pStyle w:val="BodyText"/>
      </w:pPr>
      <w:r>
        <w:t xml:space="preserve">Compared to Phase 2, the influence of tang length and stem length of Phase 3 becomes more pronounced and while stem width is less effective (</w:t>
      </w:r>
      <w:hyperlink w:anchor="fig-seven">
        <w:r>
          <w:rPr>
            <w:rStyle w:val="Hyperlink"/>
          </w:rPr>
          <w:t xml:space="preserve">Figure 7</w:t>
        </w:r>
      </w:hyperlink>
      <w:r>
        <w:t xml:space="preserve">). However, there are no notable changes in correlations over time.</w:t>
      </w:r>
    </w:p>
    <w:tbl>
      <w:tblPr>
        <w:tblStyle w:val="Table"/>
        <w:tblW w:type="pct" w:w="5000"/>
        <w:tblLook w:firstRow="0" w:lastRow="0" w:firstColumn="0" w:lastColumn="0" w:noHBand="0" w:noVBand="0" w:val="0000"/>
      </w:tblPr>
      <w:tblGrid>
        <w:gridCol w:w="7920"/>
      </w:tblGrid>
      <w:tr>
        <w:tc>
          <w:tcPr/>
          <w:bookmarkStart w:id="53" w:name="fig-seven"/>
          <w:p>
            <w:pPr>
              <w:pStyle w:val="Figure"/>
              <w:jc w:val="center"/>
            </w:pPr>
            <w:r>
              <w:drawing>
                <wp:inline>
                  <wp:extent cx="5086350" cy="2179864"/>
                  <wp:effectExtent b="0" l="0" r="0" t="0"/>
                  <wp:docPr descr="" title="" id="51" name="Picture"/>
                  <a:graphic>
                    <a:graphicData uri="http://schemas.openxmlformats.org/drawingml/2006/picture">
                      <pic:pic>
                        <pic:nvPicPr>
                          <pic:cNvPr descr="images/007-PCA.png" id="52" name="Picture"/>
                          <pic:cNvPicPr>
                            <a:picLocks noChangeArrowheads="1" noChangeAspect="1"/>
                          </pic:cNvPicPr>
                        </pic:nvPicPr>
                        <pic:blipFill>
                          <a:blip r:embed="rId50"/>
                          <a:stretch>
                            <a:fillRect/>
                          </a:stretch>
                        </pic:blipFill>
                        <pic:spPr bwMode="auto">
                          <a:xfrm>
                            <a:off x="0" y="0"/>
                            <a:ext cx="5086350" cy="21798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PCA analysis for the second and third chronological phases in the Korean Late Paleolithic period. The direction of the arrow shows the relationship between attributes. The length and color of the arrow indicate the strength of contribution to the stemmed point shape.</w:t>
            </w:r>
          </w:p>
          <w:bookmarkEnd w:id="53"/>
        </w:tc>
      </w:tr>
    </w:tbl>
    <w:p>
      <w:pPr>
        <w:pStyle w:val="BodyText"/>
      </w:pPr>
      <w:r>
        <w:t xml:space="preserve">We explored assemblages that contain multiple stemmed points to examine the temporal patterns with the premise that stemmed points from one assemblage were made by the same group of people. There are four assemblages, three assemblages from the Suyanggae site (SYG) and one from the Yongsandong site (YS) that contain seven or more stemmed points. SYG1_2 and SYG6_2 are from Phase 2 and SYG1_3 and YS_3 are from Phase 3. Following the previous studies of</w:t>
      </w:r>
      <w:r>
        <w:t xml:space="preserve"> </w:t>
      </w:r>
      <w:r>
        <w:t xml:space="preserve">(Bettinger and Eerkens 1997; Bettinger and Eerkens 1999; Eerkens and Bettinger 2008; Mesoudi and O’Brien 2008; Garvey 2018)</w:t>
      </w:r>
      <w:r>
        <w:t xml:space="preserve">, we only compared CV values of attributes, body length, maximum length, mid width, and tang width.</w:t>
      </w:r>
      <w:r>
        <w:t xml:space="preserve"> </w:t>
      </w:r>
      <w:hyperlink w:anchor="fig-eight">
        <w:r>
          <w:rPr>
            <w:rStyle w:val="Hyperlink"/>
          </w:rPr>
          <w:t xml:space="preserve">Figure 8</w:t>
        </w:r>
      </w:hyperlink>
      <w:r>
        <w:t xml:space="preserve"> </w:t>
      </w:r>
      <w:r>
        <w:t xml:space="preserve">shows that CV values for the four assemblages are mostly below 25, which represent transmissions through indirect bias. Among the assemblages, SYG1_2 (n=7) has higher CV values as well as the widest range of confidence intervals. Compared to the Phase 2, CV values of Phase 3 are lower, which is different from</w:t>
      </w:r>
      <w:r>
        <w:t xml:space="preserve"> </w:t>
      </w:r>
      <w:hyperlink w:anchor="fig-six">
        <w:r>
          <w:rPr>
            <w:rStyle w:val="Hyperlink"/>
          </w:rPr>
          <w:t xml:space="preserve">Figure 6</w:t>
        </w:r>
      </w:hyperlink>
      <w:r>
        <w:t xml:space="preserve"> </w:t>
      </w:r>
      <w:r>
        <w:t xml:space="preserve">results of body length and maximum length from all assemblages. It is assumed that those attributes became more standardized within the same assemblages. Compared to Suyanggae assemblages, Yongsandong has smaller CV values.</w:t>
      </w:r>
    </w:p>
    <w:tbl>
      <w:tblPr>
        <w:tblStyle w:val="Table"/>
        <w:tblW w:type="pct" w:w="5000"/>
        <w:tblLook w:firstRow="0" w:lastRow="0" w:firstColumn="0" w:lastColumn="0" w:noHBand="0" w:noVBand="0" w:val="0000"/>
      </w:tblPr>
      <w:tblGrid>
        <w:gridCol w:w="7920"/>
      </w:tblGrid>
      <w:tr>
        <w:tc>
          <w:tcPr/>
          <w:bookmarkStart w:id="57" w:name="fig-eight"/>
          <w:p>
            <w:pPr>
              <w:pStyle w:val="Figure"/>
              <w:jc w:val="center"/>
            </w:pPr>
            <w:r>
              <w:drawing>
                <wp:inline>
                  <wp:extent cx="3676650" cy="2941320"/>
                  <wp:effectExtent b="0" l="0" r="0" t="0"/>
                  <wp:docPr descr="" title="" id="55" name="Picture"/>
                  <a:graphic>
                    <a:graphicData uri="http://schemas.openxmlformats.org/drawingml/2006/picture">
                      <pic:pic>
                        <pic:nvPicPr>
                          <pic:cNvPr descr="images/006-cv-four-assemblage.png" id="56" name="Picture"/>
                          <pic:cNvPicPr>
                            <a:picLocks noChangeArrowheads="1" noChangeAspect="1"/>
                          </pic:cNvPicPr>
                        </pic:nvPicPr>
                        <pic:blipFill>
                          <a:blip r:embed="rId54"/>
                          <a:stretch>
                            <a:fillRect/>
                          </a:stretch>
                        </pic:blipFill>
                        <pic:spPr bwMode="auto">
                          <a:xfrm>
                            <a:off x="0" y="0"/>
                            <a:ext cx="3676650" cy="2941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CV values of four attributes from assemblages that have 7 or more stemmed points. Among the four assemblages, SYG1_2 and SYG6_2 are from Phase 2 of the Korean Late Paleolithic chronology and SYG1_3 and YS_3 are from Phase 3.</w:t>
            </w:r>
          </w:p>
          <w:bookmarkEnd w:id="57"/>
        </w:tc>
      </w:tr>
    </w:tbl>
    <w:p>
      <w:pPr>
        <w:numPr>
          <w:ilvl w:val="0"/>
          <w:numId w:val="1007"/>
        </w:numPr>
        <w:pStyle w:val="Compact"/>
      </w:pPr>
      <w:r>
        <w:t xml:space="preserve">Variation Between sites</w:t>
      </w:r>
    </w:p>
    <w:p>
      <w:pPr>
        <w:pStyle w:val="FirstParagraph"/>
      </w:pPr>
      <w:r>
        <w:t xml:space="preserve">We examined the CV values per site to address our research question about the cultural transmission over space. We excluded assemblages that contain a single point.</w:t>
      </w:r>
      <w:r>
        <w:t xml:space="preserve"> </w:t>
      </w:r>
      <w:hyperlink w:anchor="fig-nine">
        <w:r>
          <w:rPr>
            <w:rStyle w:val="Hyperlink"/>
          </w:rPr>
          <w:t xml:space="preserve">Figure 9</w:t>
        </w:r>
      </w:hyperlink>
      <w:r>
        <w:t xml:space="preserve"> </w:t>
      </w:r>
      <w:r>
        <w:t xml:space="preserve">shows that Sachang site has the highest CV values with the widest confidence level. Sachang is part of Phase 1 and its CV values explain why the CV of all time is higher than Phase 2. We excluded sites that have only one stemmed point for the analysis. Two assemblages from the Suyanggae site have relatively stable CV for attributes, which indicate highly standardized shapes of stemmed points. CV values of body length is the lowest while stem width the highest among all assemblages. Overall, there are no clear patterns between the sites.</w:t>
      </w:r>
    </w:p>
    <w:tbl>
      <w:tblPr>
        <w:tblStyle w:val="Table"/>
        <w:tblW w:type="pct" w:w="5000"/>
        <w:tblLook w:firstRow="0" w:lastRow="0" w:firstColumn="0" w:lastColumn="0" w:noHBand="0" w:noVBand="0" w:val="0000"/>
      </w:tblPr>
      <w:tblGrid>
        <w:gridCol w:w="7920"/>
      </w:tblGrid>
      <w:tr>
        <w:tc>
          <w:tcPr/>
          <w:bookmarkStart w:id="61" w:name="fig-nine"/>
          <w:p>
            <w:pPr>
              <w:pStyle w:val="Figure"/>
              <w:jc w:val="center"/>
            </w:pPr>
            <w:r>
              <w:drawing>
                <wp:inline>
                  <wp:extent cx="4943475" cy="2617133"/>
                  <wp:effectExtent b="0" l="0" r="0" t="0"/>
                  <wp:docPr descr="" title="" id="59" name="Picture"/>
                  <a:graphic>
                    <a:graphicData uri="http://schemas.openxmlformats.org/drawingml/2006/picture">
                      <pic:pic>
                        <pic:nvPicPr>
                          <pic:cNvPr descr="images/004-cv-sites-01.png" id="60" name="Picture"/>
                          <pic:cNvPicPr>
                            <a:picLocks noChangeArrowheads="1" noChangeAspect="1"/>
                          </pic:cNvPicPr>
                        </pic:nvPicPr>
                        <pic:blipFill>
                          <a:blip r:embed="rId58"/>
                          <a:stretch>
                            <a:fillRect/>
                          </a:stretch>
                        </pic:blipFill>
                        <pic:spPr bwMode="auto">
                          <a:xfrm>
                            <a:off x="0" y="0"/>
                            <a:ext cx="4943475" cy="2617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CV values per site that has more than one stemmed point. The points represent CV values for each attribute. The vertical lines indicate the range of confidence intervals.</w:t>
            </w:r>
          </w:p>
          <w:bookmarkEnd w:id="61"/>
        </w:tc>
      </w:tr>
    </w:tbl>
    <w:p>
      <w:pPr>
        <w:numPr>
          <w:ilvl w:val="0"/>
          <w:numId w:val="1008"/>
        </w:numPr>
        <w:pStyle w:val="Compact"/>
      </w:pPr>
      <w:r>
        <w:t xml:space="preserve">Variation Between Raw Materials</w:t>
      </w:r>
    </w:p>
    <w:p>
      <w:pPr>
        <w:pStyle w:val="FirstParagraph"/>
      </w:pPr>
      <w:r>
        <w:t xml:space="preserve">We examined the relationship between CV values and raw materials with a premise that the shape of stemmed points are highly dependent on raw materials. We exclude raw materials that were used for single point.</w:t>
      </w:r>
      <w:r>
        <w:t xml:space="preserve"> </w:t>
      </w:r>
      <w:hyperlink w:anchor="fig-ten">
        <w:r>
          <w:rPr>
            <w:rStyle w:val="Hyperlink"/>
          </w:rPr>
          <w:t xml:space="preserve">Figure 10</w:t>
        </w:r>
      </w:hyperlink>
      <w:r>
        <w:t xml:space="preserve"> </w:t>
      </w:r>
      <w:r>
        <w:t xml:space="preserve">shows that quartzite, the raw materials for Sachang stemmed points, has the highest CV value with a wide range of conference intervals. Quartz has high variations of CV among the attributes. On the other hand, shale has the lower CV, which is very stable throughout the attributes.</w:t>
      </w:r>
    </w:p>
    <w:tbl>
      <w:tblPr>
        <w:tblStyle w:val="Table"/>
        <w:tblW w:type="pct" w:w="5000"/>
        <w:tblLook w:firstRow="0" w:lastRow="0" w:firstColumn="0" w:lastColumn="0" w:noHBand="0" w:noVBand="0" w:val="0000"/>
      </w:tblPr>
      <w:tblGrid>
        <w:gridCol w:w="7920"/>
      </w:tblGrid>
      <w:tr>
        <w:tc>
          <w:tcPr/>
          <w:bookmarkStart w:id="65" w:name="fig-ten"/>
          <w:p>
            <w:pPr>
              <w:pStyle w:val="Figure"/>
              <w:jc w:val="center"/>
            </w:pPr>
            <w:r>
              <w:drawing>
                <wp:inline>
                  <wp:extent cx="5010150" cy="2652432"/>
                  <wp:effectExtent b="0" l="0" r="0" t="0"/>
                  <wp:docPr descr="" title="" id="63" name="Picture"/>
                  <a:graphic>
                    <a:graphicData uri="http://schemas.openxmlformats.org/drawingml/2006/picture">
                      <pic:pic>
                        <pic:nvPicPr>
                          <pic:cNvPr descr="images/00000-cv-raw-materials.png" id="64" name="Picture"/>
                          <pic:cNvPicPr>
                            <a:picLocks noChangeArrowheads="1" noChangeAspect="1"/>
                          </pic:cNvPicPr>
                        </pic:nvPicPr>
                        <pic:blipFill>
                          <a:blip r:embed="rId62"/>
                          <a:stretch>
                            <a:fillRect/>
                          </a:stretch>
                        </pic:blipFill>
                        <pic:spPr bwMode="auto">
                          <a:xfrm>
                            <a:off x="0" y="0"/>
                            <a:ext cx="5010150" cy="2652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CV values for raw materials that were used for making more than one stemmed point. The points represent CV values for each attribute. The vertical lines indicate the range of confidence intervals.</w:t>
            </w:r>
          </w:p>
          <w:bookmarkEnd w:id="65"/>
        </w:tc>
      </w:tr>
    </w:tbl>
    <w:bookmarkEnd w:id="66"/>
    <w:bookmarkStart w:id="67" w:name="discussion"/>
    <w:p>
      <w:pPr>
        <w:pStyle w:val="Heading1"/>
      </w:pPr>
      <w:r>
        <w:t xml:space="preserve">Discussion</w:t>
      </w:r>
    </w:p>
    <w:bookmarkEnd w:id="67"/>
    <w:bookmarkStart w:id="138" w:name="references"/>
    <w:p>
      <w:pPr>
        <w:pStyle w:val="Heading1"/>
      </w:pPr>
      <w:r>
        <w:t xml:space="preserve">References</w:t>
      </w:r>
    </w:p>
    <w:bookmarkStart w:id="137" w:name="refs"/>
    <w:bookmarkStart w:id="68" w:name="ref-albatineh2014confidence"/>
    <w:p>
      <w:pPr>
        <w:pStyle w:val="Bibliography"/>
      </w:pPr>
      <w:r>
        <w:t xml:space="preserve">Albatineh, Ahmed N, BM Golam Kibria, Meredith L Wilcox, and Bashar Zogheib. 2014.</w:t>
      </w:r>
      <w:r>
        <w:t xml:space="preserve"> </w:t>
      </w:r>
      <w:r>
        <w:t xml:space="preserve">“Confidence Interval Estimation for the Population Coefficient of Variation Using Ranked Set Sampling: A Simulation Study.”</w:t>
      </w:r>
      <w:r>
        <w:t xml:space="preserve"> </w:t>
      </w:r>
      <w:r>
        <w:rPr>
          <w:iCs/>
          <w:i/>
        </w:rPr>
        <w:t xml:space="preserve">Journal of Applied Statistics</w:t>
      </w:r>
      <w:r>
        <w:t xml:space="preserve"> </w:t>
      </w:r>
      <w:r>
        <w:t xml:space="preserve">41 (4): 733–51.</w:t>
      </w:r>
    </w:p>
    <w:bookmarkEnd w:id="68"/>
    <w:bookmarkStart w:id="69" w:name="ref-bae2012nature"/>
    <w:p>
      <w:pPr>
        <w:pStyle w:val="Bibliography"/>
      </w:pPr>
      <w:r>
        <w:t xml:space="preserve">Bae, Christopher J, and Kidong Bae. 2012.</w:t>
      </w:r>
      <w:r>
        <w:t xml:space="preserve"> </w:t>
      </w:r>
      <w:r>
        <w:t xml:space="preserve">“The Nature of the Early to Late Paleolithic Transition in Korea: Current Perspectives.”</w:t>
      </w:r>
      <w:r>
        <w:t xml:space="preserve"> </w:t>
      </w:r>
      <w:r>
        <w:rPr>
          <w:iCs/>
          <w:i/>
        </w:rPr>
        <w:t xml:space="preserve">Quaternary International</w:t>
      </w:r>
      <w:r>
        <w:t xml:space="preserve"> </w:t>
      </w:r>
      <w:r>
        <w:t xml:space="preserve">281: 26–35.</w:t>
      </w:r>
    </w:p>
    <w:bookmarkEnd w:id="69"/>
    <w:bookmarkStart w:id="70" w:name="ref-bae2017origin"/>
    <w:p>
      <w:pPr>
        <w:pStyle w:val="Bibliography"/>
      </w:pPr>
      <w:r>
        <w:t xml:space="preserve">Bae, Christopher J, Katerina Douka, and Michael D Petraglia. 2017.</w:t>
      </w:r>
      <w:r>
        <w:t xml:space="preserve"> </w:t>
      </w:r>
      <w:r>
        <w:t xml:space="preserve">“On the Origin of Modern Humans: Asian Perspectives.”</w:t>
      </w:r>
      <w:r>
        <w:t xml:space="preserve"> </w:t>
      </w:r>
      <w:r>
        <w:rPr>
          <w:iCs/>
          <w:i/>
        </w:rPr>
        <w:t xml:space="preserve">Science</w:t>
      </w:r>
      <w:r>
        <w:t xml:space="preserve"> </w:t>
      </w:r>
      <w:r>
        <w:t xml:space="preserve">358 (6368): eaai9067.</w:t>
      </w:r>
    </w:p>
    <w:bookmarkEnd w:id="70"/>
    <w:bookmarkStart w:id="71" w:name="ref-bae2013early"/>
    <w:p>
      <w:pPr>
        <w:pStyle w:val="Bibliography"/>
      </w:pPr>
      <w:r>
        <w:t xml:space="preserve">Bae, Christopher, Kidong Bae, and Jong Chan Kim. 2013.</w:t>
      </w:r>
      <w:r>
        <w:t xml:space="preserve"> </w:t>
      </w:r>
      <w:r>
        <w:t xml:space="preserve">“The Early to Late Paleolithic Transition in Korea: A Closer Look.”</w:t>
      </w:r>
      <w:r>
        <w:t xml:space="preserve"> </w:t>
      </w:r>
      <w:r>
        <w:rPr>
          <w:iCs/>
          <w:i/>
        </w:rPr>
        <w:t xml:space="preserve">Radiocarbon</w:t>
      </w:r>
      <w:r>
        <w:t xml:space="preserve"> </w:t>
      </w:r>
      <w:r>
        <w:t xml:space="preserve">55 (2–3): 1341–49.</w:t>
      </w:r>
    </w:p>
    <w:bookmarkEnd w:id="71"/>
    <w:bookmarkStart w:id="72" w:name="ref-bae2010origin"/>
    <w:p>
      <w:pPr>
        <w:pStyle w:val="Bibliography"/>
      </w:pPr>
      <w:r>
        <w:t xml:space="preserve">Bae, Kidong. 2010.</w:t>
      </w:r>
      <w:r>
        <w:t xml:space="preserve"> </w:t>
      </w:r>
      <w:r>
        <w:t xml:space="preserve">“Origin and Patterns of the Upper Paleolithic Industries in the Korean Peninsula and Movement of Modern Humans in East Asia.”</w:t>
      </w:r>
      <w:r>
        <w:t xml:space="preserve"> </w:t>
      </w:r>
      <w:r>
        <w:rPr>
          <w:iCs/>
          <w:i/>
        </w:rPr>
        <w:t xml:space="preserve">Quaternary International</w:t>
      </w:r>
      <w:r>
        <w:t xml:space="preserve"> </w:t>
      </w:r>
      <w:r>
        <w:t xml:space="preserve">211 (1-2): 103–12.</w:t>
      </w:r>
    </w:p>
    <w:bookmarkEnd w:id="72"/>
    <w:bookmarkStart w:id="73" w:name="ref-bamforth2009projectile"/>
    <w:p>
      <w:pPr>
        <w:pStyle w:val="Bibliography"/>
      </w:pPr>
      <w:r>
        <w:t xml:space="preserve">Bamforth, Douglas B. 2009.</w:t>
      </w:r>
      <w:r>
        <w:t xml:space="preserve"> </w:t>
      </w:r>
      <w:r>
        <w:t xml:space="preserve">“Projectile Points, People, and Plains Paleoindian Perambulations.”</w:t>
      </w:r>
      <w:r>
        <w:t xml:space="preserve"> </w:t>
      </w:r>
      <w:r>
        <w:rPr>
          <w:iCs/>
          <w:i/>
        </w:rPr>
        <w:t xml:space="preserve">Journal of Anthropological Archaeology</w:t>
      </w:r>
      <w:r>
        <w:t xml:space="preserve"> </w:t>
      </w:r>
      <w:r>
        <w:t xml:space="preserve">28 (2): 142–57.</w:t>
      </w:r>
    </w:p>
    <w:bookmarkEnd w:id="73"/>
    <w:bookmarkStart w:id="74" w:name="ref-banik2011estimating"/>
    <w:p>
      <w:pPr>
        <w:pStyle w:val="Bibliography"/>
      </w:pPr>
      <w:r>
        <w:t xml:space="preserve">Banik, Shipra, and BM Golam Kibria. 2011.</w:t>
      </w:r>
      <w:r>
        <w:t xml:space="preserve"> </w:t>
      </w:r>
      <w:r>
        <w:t xml:space="preserve">“Estimating the Population Coefficient of Variation by Confidence Intervals.”</w:t>
      </w:r>
      <w:r>
        <w:t xml:space="preserve"> </w:t>
      </w:r>
      <w:r>
        <w:rPr>
          <w:iCs/>
          <w:i/>
        </w:rPr>
        <w:t xml:space="preserve">Communications in Statistics-Simulation and Computation</w:t>
      </w:r>
      <w:r>
        <w:t xml:space="preserve"> </w:t>
      </w:r>
      <w:r>
        <w:t xml:space="preserve">40 (8): 1236–61.</w:t>
      </w:r>
    </w:p>
    <w:bookmarkEnd w:id="74"/>
    <w:bookmarkStart w:id="75" w:name="ref-bettinger1999point"/>
    <w:p>
      <w:pPr>
        <w:pStyle w:val="Bibliography"/>
      </w:pPr>
      <w:r>
        <w:t xml:space="preserve">Bettinger, Robert L, and Jelmer Eerkens. 1999.</w:t>
      </w:r>
      <w:r>
        <w:t xml:space="preserve"> </w:t>
      </w:r>
      <w:r>
        <w:t xml:space="preserve">“Point Typologies, Cultural Transmission, and the Spread of Bow-and-Arrow Technology in the Prehistoric Great Basin.”</w:t>
      </w:r>
      <w:r>
        <w:t xml:space="preserve"> </w:t>
      </w:r>
      <w:r>
        <w:rPr>
          <w:iCs/>
          <w:i/>
        </w:rPr>
        <w:t xml:space="preserve">American Antiquity</w:t>
      </w:r>
      <w:r>
        <w:t xml:space="preserve">, 231–42.</w:t>
      </w:r>
    </w:p>
    <w:bookmarkEnd w:id="75"/>
    <w:bookmarkStart w:id="76" w:name="ref-bettinger1997rediscovering"/>
    <w:p>
      <w:pPr>
        <w:pStyle w:val="Bibliography"/>
      </w:pPr>
      <w:r>
        <w:t xml:space="preserve">Bettinger, Robert L, Jelmer W Eerkens, CM Barton, and GA Clark. 1997.</w:t>
      </w:r>
      <w:r>
        <w:t xml:space="preserve"> </w:t>
      </w:r>
      <w:r>
        <w:t xml:space="preserve">“Rediscovering Darwin: Evolutionary Theory and Archaeological Explanation.”</w:t>
      </w:r>
    </w:p>
    <w:bookmarkEnd w:id="76"/>
    <w:bookmarkStart w:id="77" w:name="ref-bettinger1997evolutionary"/>
    <w:p>
      <w:pPr>
        <w:pStyle w:val="Bibliography"/>
      </w:pPr>
      <w:r>
        <w:t xml:space="preserve">Bettinger, Robert L, and Jeltner Eerkens. 1997.</w:t>
      </w:r>
      <w:r>
        <w:t xml:space="preserve"> </w:t>
      </w:r>
      <w:r>
        <w:t xml:space="preserve">“Evolutionary Implications of Metrical Variation in Great Basin Projectile Points.”</w:t>
      </w:r>
      <w:r>
        <w:t xml:space="preserve"> </w:t>
      </w:r>
      <w:r>
        <w:rPr>
          <w:iCs/>
          <w:i/>
        </w:rPr>
        <w:t xml:space="preserve">Archeological Papers of the American Anthropological Association</w:t>
      </w:r>
      <w:r>
        <w:t xml:space="preserve"> </w:t>
      </w:r>
      <w:r>
        <w:t xml:space="preserve">7 (1): 177–91.</w:t>
      </w:r>
    </w:p>
    <w:bookmarkEnd w:id="77"/>
    <w:bookmarkStart w:id="78" w:name="ref-boyd1988culture"/>
    <w:p>
      <w:pPr>
        <w:pStyle w:val="Bibliography"/>
      </w:pPr>
      <w:r>
        <w:t xml:space="preserve">Boyd, Robert, and Peter J Richerson. 1988.</w:t>
      </w:r>
      <w:r>
        <w:t xml:space="preserve"> </w:t>
      </w:r>
      <w:r>
        <w:rPr>
          <w:iCs/>
          <w:i/>
        </w:rPr>
        <w:t xml:space="preserve">Culture and the Evolutionary Process</w:t>
      </w:r>
      <w:r>
        <w:t xml:space="preserve">. University of Chicago press.</w:t>
      </w:r>
    </w:p>
    <w:bookmarkEnd w:id="78"/>
    <w:bookmarkStart w:id="79" w:name="ref-buchanan2010geometric"/>
    <w:p>
      <w:pPr>
        <w:pStyle w:val="Bibliography"/>
      </w:pPr>
      <w:r>
        <w:t xml:space="preserve">Buchanan, Briggs, and Mark Collard. 2010.</w:t>
      </w:r>
      <w:r>
        <w:t xml:space="preserve"> </w:t>
      </w:r>
      <w:r>
        <w:t xml:space="preserve">“A Geometric Morphometrics-Based Assessment of Blade Shape Differences Among Paleoindian Projectile Point Types from Western North America.”</w:t>
      </w:r>
      <w:r>
        <w:t xml:space="preserve"> </w:t>
      </w:r>
      <w:r>
        <w:rPr>
          <w:iCs/>
          <w:i/>
        </w:rPr>
        <w:t xml:space="preserve">Journal of Archaeological Science</w:t>
      </w:r>
      <w:r>
        <w:t xml:space="preserve"> </w:t>
      </w:r>
      <w:r>
        <w:t xml:space="preserve">37 (2): 350–59.</w:t>
      </w:r>
    </w:p>
    <w:bookmarkEnd w:id="79"/>
    <w:bookmarkStart w:id="80" w:name="ref-cardillo2016environment"/>
    <w:p>
      <w:pPr>
        <w:pStyle w:val="Bibliography"/>
      </w:pPr>
      <w:r>
        <w:t xml:space="preserve">Cardillo, Marcelo, Karen Borrazzo, and Judith Charlin. 2016.</w:t>
      </w:r>
      <w:r>
        <w:t xml:space="preserve"> </w:t>
      </w:r>
      <w:r>
        <w:t xml:space="preserve">“Environment, Space, and Morphological Variation of Projectile Points in Patagonia (Southern South America).”</w:t>
      </w:r>
      <w:r>
        <w:t xml:space="preserve"> </w:t>
      </w:r>
      <w:r>
        <w:rPr>
          <w:iCs/>
          <w:i/>
        </w:rPr>
        <w:t xml:space="preserve">Quaternary International</w:t>
      </w:r>
      <w:r>
        <w:t xml:space="preserve"> </w:t>
      </w:r>
      <w:r>
        <w:t xml:space="preserve">422: 44–56.</w:t>
      </w:r>
    </w:p>
    <w:bookmarkEnd w:id="80"/>
    <w:bookmarkStart w:id="81" w:name="ref-cascalheira2018use"/>
    <w:p>
      <w:pPr>
        <w:pStyle w:val="Bibliography"/>
      </w:pPr>
      <w:r>
        <w:t xml:space="preserve">Cascalheira, João, and Nuno Bicho. 2018.</w:t>
      </w:r>
      <w:r>
        <w:t xml:space="preserve"> </w:t>
      </w:r>
      <w:r>
        <w:t xml:space="preserve">“The Use of Lithic Assemblages for the Definition of Short-Term Occupations in Hunter-Gatherer Prehistory.”</w:t>
      </w:r>
    </w:p>
    <w:bookmarkEnd w:id="81"/>
    <w:bookmarkStart w:id="82" w:name="ref-chang2013human"/>
    <w:p>
      <w:pPr>
        <w:pStyle w:val="Bibliography"/>
      </w:pPr>
      <w:r>
        <w:t xml:space="preserve">Chang, Yongjoon. 2013.</w:t>
      </w:r>
      <w:r>
        <w:t xml:space="preserve"> </w:t>
      </w:r>
      <w:r>
        <w:t xml:space="preserve">“Human Activity and Lithic Technology Between Korea and Japan from MIS 3 to MIS 2 in the Late Paleolithic Period.”</w:t>
      </w:r>
      <w:r>
        <w:t xml:space="preserve"> </w:t>
      </w:r>
      <w:r>
        <w:rPr>
          <w:iCs/>
          <w:i/>
        </w:rPr>
        <w:t xml:space="preserve">Quaternary International</w:t>
      </w:r>
      <w:r>
        <w:t xml:space="preserve"> </w:t>
      </w:r>
      <w:r>
        <w:t xml:space="preserve">308: 13–26.</w:t>
      </w:r>
    </w:p>
    <w:bookmarkEnd w:id="82"/>
    <w:bookmarkStart w:id="83" w:name="ref-core2021team"/>
    <w:p>
      <w:pPr>
        <w:pStyle w:val="Bibliography"/>
      </w:pPr>
      <w:r>
        <w:t xml:space="preserve">Core, R. 2021.</w:t>
      </w:r>
      <w:r>
        <w:t xml:space="preserve"> </w:t>
      </w:r>
      <w:r>
        <w:t xml:space="preserve">“Team. R: A Language and Environment for Statistical Computing, 2015.”</w:t>
      </w:r>
    </w:p>
    <w:bookmarkEnd w:id="83"/>
    <w:bookmarkStart w:id="84" w:name="ref-costin1995standardization"/>
    <w:p>
      <w:pPr>
        <w:pStyle w:val="Bibliography"/>
      </w:pPr>
      <w:r>
        <w:t xml:space="preserve">Costin, Cathy L, and Melissa B Hagstrum. 1995.</w:t>
      </w:r>
      <w:r>
        <w:t xml:space="preserve"> </w:t>
      </w:r>
      <w:r>
        <w:t xml:space="preserve">“Standardization, Labor Investment, Skill, and the Organization of Ceramic Production in Late Prehispanic Highland Peru.”</w:t>
      </w:r>
      <w:r>
        <w:t xml:space="preserve"> </w:t>
      </w:r>
      <w:r>
        <w:rPr>
          <w:iCs/>
          <w:i/>
        </w:rPr>
        <w:t xml:space="preserve">American Antiquity</w:t>
      </w:r>
      <w:r>
        <w:t xml:space="preserve"> </w:t>
      </w:r>
      <w:r>
        <w:t xml:space="preserve">60 (4): 619–39.</w:t>
      </w:r>
    </w:p>
    <w:bookmarkEnd w:id="84"/>
    <w:bookmarkStart w:id="85" w:name="ref-creanza2017cultural"/>
    <w:p>
      <w:pPr>
        <w:pStyle w:val="Bibliography"/>
      </w:pPr>
      <w:r>
        <w:t xml:space="preserve">Creanza, Nicole, Oren Kolodny, and Marcus W Feldman. 2017.</w:t>
      </w:r>
      <w:r>
        <w:t xml:space="preserve"> </w:t>
      </w:r>
      <w:r>
        <w:t xml:space="preserve">“Cultural Evolutionary Theory: How Culture Evolves and Why It Matters.”</w:t>
      </w:r>
      <w:r>
        <w:t xml:space="preserve"> </w:t>
      </w:r>
      <w:r>
        <w:rPr>
          <w:iCs/>
          <w:i/>
        </w:rPr>
        <w:t xml:space="preserve">Proceedings of the National Academy of Sciences</w:t>
      </w:r>
      <w:r>
        <w:t xml:space="preserve"> </w:t>
      </w:r>
      <w:r>
        <w:t xml:space="preserve">114 (30): 7782–89.</w:t>
      </w:r>
    </w:p>
    <w:bookmarkEnd w:id="85"/>
    <w:bookmarkStart w:id="86" w:name="ref-curto2009coefficient"/>
    <w:p>
      <w:pPr>
        <w:pStyle w:val="Bibliography"/>
      </w:pPr>
      <w:r>
        <w:t xml:space="preserve">Curto, José Dias, and José Castro Pinto. 2009.</w:t>
      </w:r>
      <w:r>
        <w:t xml:space="preserve"> </w:t>
      </w:r>
      <w:r>
        <w:t xml:space="preserve">“The Coefficient of Variation Asymptotic Distribution in the Case of Non-Iid Random Variables.”</w:t>
      </w:r>
      <w:r>
        <w:t xml:space="preserve"> </w:t>
      </w:r>
      <w:r>
        <w:rPr>
          <w:iCs/>
          <w:i/>
        </w:rPr>
        <w:t xml:space="preserve">Journal of Applied Statistics</w:t>
      </w:r>
      <w:r>
        <w:t xml:space="preserve"> </w:t>
      </w:r>
      <w:r>
        <w:t xml:space="preserve">36 (1): 21–32.</w:t>
      </w:r>
    </w:p>
    <w:bookmarkEnd w:id="86"/>
    <w:bookmarkStart w:id="87" w:name="ref-dunnell1980evolutionary"/>
    <w:p>
      <w:pPr>
        <w:pStyle w:val="Bibliography"/>
      </w:pPr>
      <w:r>
        <w:t xml:space="preserve">Dunnell, Robert C. 1980.</w:t>
      </w:r>
      <w:r>
        <w:t xml:space="preserve"> </w:t>
      </w:r>
      <w:r>
        <w:t xml:space="preserve">“Evolutionary Theory and Archaeology.”</w:t>
      </w:r>
      <w:r>
        <w:t xml:space="preserve"> </w:t>
      </w:r>
      <w:r>
        <w:t xml:space="preserve">In</w:t>
      </w:r>
      <w:r>
        <w:t xml:space="preserve"> </w:t>
      </w:r>
      <w:r>
        <w:rPr>
          <w:iCs/>
          <w:i/>
        </w:rPr>
        <w:t xml:space="preserve">Advances in Archaeological Method and Theory</w:t>
      </w:r>
      <w:r>
        <w:t xml:space="preserve">, 35–99. Elsevier.</w:t>
      </w:r>
    </w:p>
    <w:bookmarkEnd w:id="87"/>
    <w:bookmarkStart w:id="88" w:name="ref-eerkens2001techniques"/>
    <w:p>
      <w:pPr>
        <w:pStyle w:val="Bibliography"/>
      </w:pPr>
      <w:r>
        <w:t xml:space="preserve">Eerkens, Jelmer W, and Robert L Bettinger. 2001.</w:t>
      </w:r>
      <w:r>
        <w:t xml:space="preserve"> </w:t>
      </w:r>
      <w:r>
        <w:t xml:space="preserve">“Techniques for Assessing Standardization in Artifact Assemblages: Can We Scale Material Variability?”</w:t>
      </w:r>
      <w:r>
        <w:t xml:space="preserve"> </w:t>
      </w:r>
      <w:r>
        <w:rPr>
          <w:iCs/>
          <w:i/>
        </w:rPr>
        <w:t xml:space="preserve">American Antiquity</w:t>
      </w:r>
      <w:r>
        <w:t xml:space="preserve">, 493–504.</w:t>
      </w:r>
    </w:p>
    <w:bookmarkEnd w:id="88"/>
    <w:bookmarkStart w:id="89" w:name="ref-eerkens2008cultural"/>
    <w:p>
      <w:pPr>
        <w:pStyle w:val="Bibliography"/>
      </w:pPr>
      <w:r>
        <w:t xml:space="preserve">———. 2008.</w:t>
      </w:r>
      <w:r>
        <w:t xml:space="preserve"> </w:t>
      </w:r>
      <w:r>
        <w:t xml:space="preserve">“Cultural Transmission and the Analysis of Stylistic and Functional Variation.”</w:t>
      </w:r>
      <w:r>
        <w:t xml:space="preserve"> </w:t>
      </w:r>
      <w:r>
        <w:rPr>
          <w:iCs/>
          <w:i/>
        </w:rPr>
        <w:t xml:space="preserve">Transmission and Archaeology: Issues and Case-Studies</w:t>
      </w:r>
      <w:r>
        <w:t xml:space="preserve">, 21–38.</w:t>
      </w:r>
    </w:p>
    <w:bookmarkEnd w:id="89"/>
    <w:bookmarkStart w:id="90" w:name="ref-eerkens2005cultural"/>
    <w:p>
      <w:pPr>
        <w:pStyle w:val="Bibliography"/>
      </w:pPr>
      <w:r>
        <w:t xml:space="preserve">Eerkens, Jelmer W, and Carl P Lipo. 2005.</w:t>
      </w:r>
      <w:r>
        <w:t xml:space="preserve"> </w:t>
      </w:r>
      <w:r>
        <w:t xml:space="preserve">“Cultural Transmission, Copying Errors, and the Generation of Variation in Material Culture and the Archaeological Record.”</w:t>
      </w:r>
      <w:r>
        <w:t xml:space="preserve"> </w:t>
      </w:r>
      <w:r>
        <w:rPr>
          <w:iCs/>
          <w:i/>
        </w:rPr>
        <w:t xml:space="preserve">Journal of Anthropological Archaeology</w:t>
      </w:r>
      <w:r>
        <w:t xml:space="preserve"> </w:t>
      </w:r>
      <w:r>
        <w:t xml:space="preserve">24 (4): 316–34.</w:t>
      </w:r>
    </w:p>
    <w:bookmarkEnd w:id="90"/>
    <w:bookmarkStart w:id="91" w:name="ref-eerkens2007cultural"/>
    <w:p>
      <w:pPr>
        <w:pStyle w:val="Bibliography"/>
      </w:pPr>
      <w:r>
        <w:t xml:space="preserve">———. 2007.</w:t>
      </w:r>
      <w:r>
        <w:t xml:space="preserve"> </w:t>
      </w:r>
      <w:r>
        <w:t xml:space="preserve">“Cultural Transmission Theory and the Archaeological Record: Providing Context to Understanding Variation and Temporal Changes in Material Culture.”</w:t>
      </w:r>
      <w:r>
        <w:t xml:space="preserve"> </w:t>
      </w:r>
      <w:r>
        <w:rPr>
          <w:iCs/>
          <w:i/>
        </w:rPr>
        <w:t xml:space="preserve">Journal of Archaeological Research</w:t>
      </w:r>
      <w:r>
        <w:t xml:space="preserve"> </w:t>
      </w:r>
      <w:r>
        <w:t xml:space="preserve">15 (3): 239–74.</w:t>
      </w:r>
    </w:p>
    <w:bookmarkEnd w:id="91"/>
    <w:bookmarkStart w:id="92" w:name="ref-garvey2018current"/>
    <w:p>
      <w:pPr>
        <w:pStyle w:val="Bibliography"/>
      </w:pPr>
      <w:r>
        <w:t xml:space="preserve">Garvey, Raven. 2018.</w:t>
      </w:r>
      <w:r>
        <w:t xml:space="preserve"> </w:t>
      </w:r>
      <w:r>
        <w:t xml:space="preserve">“Current and Potential Roles of Archaeology in the Development of Cultural Evolutionary Theory.”</w:t>
      </w:r>
      <w:r>
        <w:t xml:space="preserve"> </w:t>
      </w:r>
      <w:r>
        <w:rPr>
          <w:iCs/>
          <w:i/>
        </w:rPr>
        <w:t xml:space="preserve">Philosophical Transactions of the Royal Society B: Biological Sciences</w:t>
      </w:r>
      <w:r>
        <w:t xml:space="preserve"> </w:t>
      </w:r>
      <w:r>
        <w:t xml:space="preserve">373 (1743): 20170057.</w:t>
      </w:r>
    </w:p>
    <w:bookmarkEnd w:id="92"/>
    <w:bookmarkStart w:id="93" w:name="ref-gulhar2012comparison"/>
    <w:p>
      <w:pPr>
        <w:pStyle w:val="Bibliography"/>
      </w:pPr>
      <w:r>
        <w:t xml:space="preserve">Gulhar, Monika, BM Golam Kibria, Ahmed N Albatineh, and Nasar U Ahmed. 2012.</w:t>
      </w:r>
      <w:r>
        <w:t xml:space="preserve"> </w:t>
      </w:r>
      <w:r>
        <w:t xml:space="preserve">“A Comparison of Some Confidence Intervals for Estimating the Population Coefficient of Variation: A Simulation Study.”</w:t>
      </w:r>
      <w:r>
        <w:t xml:space="preserve"> </w:t>
      </w:r>
      <w:r>
        <w:rPr>
          <w:iCs/>
          <w:i/>
        </w:rPr>
        <w:t xml:space="preserve">SORT-Statistics and Operations Research Transactions</w:t>
      </w:r>
      <w:r>
        <w:t xml:space="preserve">, 45–68.</w:t>
      </w:r>
    </w:p>
    <w:bookmarkEnd w:id="93"/>
    <w:bookmarkStart w:id="94" w:name="ref-heyes1994social"/>
    <w:p>
      <w:pPr>
        <w:pStyle w:val="Bibliography"/>
      </w:pPr>
      <w:r>
        <w:t xml:space="preserve">Heyes, Cecilia M. 1994.</w:t>
      </w:r>
      <w:r>
        <w:t xml:space="preserve"> </w:t>
      </w:r>
      <w:r>
        <w:t xml:space="preserve">“Social Learning in Animals: Categories and Mechanisms.”</w:t>
      </w:r>
      <w:r>
        <w:t xml:space="preserve"> </w:t>
      </w:r>
      <w:r>
        <w:rPr>
          <w:iCs/>
          <w:i/>
        </w:rPr>
        <w:t xml:space="preserve">Biological Reviews</w:t>
      </w:r>
      <w:r>
        <w:t xml:space="preserve"> </w:t>
      </w:r>
      <w:r>
        <w:t xml:space="preserve">69 (2): 207–31.</w:t>
      </w:r>
    </w:p>
    <w:bookmarkEnd w:id="94"/>
    <w:bookmarkStart w:id="95" w:name="ref-ivanovaite2020all"/>
    <w:p>
      <w:pPr>
        <w:pStyle w:val="Bibliography"/>
      </w:pPr>
      <w:r>
        <w:t xml:space="preserve">Ivanovaitė, Livija, Kamil Serwatka, Christian Steven Hoggard, Florian Sauer, and Felix Riede. 2020.</w:t>
      </w:r>
      <w:r>
        <w:t xml:space="preserve"> </w:t>
      </w:r>
      <w:r>
        <w:t xml:space="preserve">“All These Fantastic Cultures? Research History and Regionalization in the Late Palaeolithic Tanged Point Cultures of Eastern Europe.”</w:t>
      </w:r>
      <w:r>
        <w:t xml:space="preserve"> </w:t>
      </w:r>
      <w:r>
        <w:rPr>
          <w:iCs/>
          <w:i/>
        </w:rPr>
        <w:t xml:space="preserve">European Journal of Archaeology</w:t>
      </w:r>
      <w:r>
        <w:t xml:space="preserve"> </w:t>
      </w:r>
      <w:r>
        <w:t xml:space="preserve">23 (2): 162–85.</w:t>
      </w:r>
    </w:p>
    <w:bookmarkEnd w:id="95"/>
    <w:bookmarkStart w:id="96" w:name="ref-kelley2007sample"/>
    <w:p>
      <w:pPr>
        <w:pStyle w:val="Bibliography"/>
      </w:pPr>
      <w:r>
        <w:t xml:space="preserve">Kelley, Ken. 2007.</w:t>
      </w:r>
      <w:r>
        <w:t xml:space="preserve"> </w:t>
      </w:r>
      <w:r>
        <w:t xml:space="preserve">“Sample Size Planning for the Coefficient of Variation from the Accuracy in Parameter Estimation Approach.”</w:t>
      </w:r>
      <w:r>
        <w:t xml:space="preserve"> </w:t>
      </w:r>
      <w:r>
        <w:rPr>
          <w:iCs/>
          <w:i/>
        </w:rPr>
        <w:t xml:space="preserve">Behavior Research Methods</w:t>
      </w:r>
      <w:r>
        <w:t xml:space="preserve"> </w:t>
      </w:r>
      <w:r>
        <w:t xml:space="preserve">39 (4): 755–66.</w:t>
      </w:r>
    </w:p>
    <w:bookmarkEnd w:id="96"/>
    <w:bookmarkStart w:id="97" w:name="ref-kendal2018social"/>
    <w:p>
      <w:pPr>
        <w:pStyle w:val="Bibliography"/>
      </w:pPr>
      <w:r>
        <w:t xml:space="preserve">Kendal, Rachel L, Neeltje J Boogert, Luke Rendell, Kevin N Laland, Mike Webster, and Patricia L Jones. 2018.</w:t>
      </w:r>
      <w:r>
        <w:t xml:space="preserve"> </w:t>
      </w:r>
      <w:r>
        <w:t xml:space="preserve">“Social Learning Strategies: Bridge-Building Between Fields.”</w:t>
      </w:r>
      <w:r>
        <w:t xml:space="preserve"> </w:t>
      </w:r>
      <w:r>
        <w:rPr>
          <w:iCs/>
          <w:i/>
        </w:rPr>
        <w:t xml:space="preserve">Trends in Cognitive Sciences</w:t>
      </w:r>
      <w:r>
        <w:t xml:space="preserve"> </w:t>
      </w:r>
      <w:r>
        <w:t xml:space="preserve">22 (7): 651–65.</w:t>
      </w:r>
    </w:p>
    <w:bookmarkEnd w:id="97"/>
    <w:bookmarkStart w:id="98" w:name="ref-Kim_2017"/>
    <w:p>
      <w:pPr>
        <w:pStyle w:val="Bibliography"/>
      </w:pPr>
      <w:r>
        <w:t xml:space="preserve">Kim, Eun-jeong. 2017.</w:t>
      </w:r>
      <w:r>
        <w:t xml:space="preserve"> </w:t>
      </w:r>
      <w:r>
        <w:t xml:space="preserve">“Morphological Diversity and Functional Differentiation of Tanged-Point: Focused on Suyanggae, Jingeuneul and Yongsandong Site.”</w:t>
      </w:r>
      <w:r>
        <w:t xml:space="preserve"> </w:t>
      </w:r>
      <w:r>
        <w:rPr>
          <w:iCs/>
          <w:i/>
        </w:rPr>
        <w:t xml:space="preserve">Journal of Korean Paleolithic Society</w:t>
      </w:r>
      <w:r>
        <w:t xml:space="preserve">, no. 36 (December): 29–47.</w:t>
      </w:r>
    </w:p>
    <w:bookmarkEnd w:id="98"/>
    <w:bookmarkStart w:id="99" w:name="ref-koopmans1964confidence"/>
    <w:p>
      <w:pPr>
        <w:pStyle w:val="Bibliography"/>
      </w:pPr>
      <w:r>
        <w:t xml:space="preserve">Koopmans, Lambert H, Donald B Owen, and Judah I Rosenblatt. 1964.</w:t>
      </w:r>
      <w:r>
        <w:t xml:space="preserve"> </w:t>
      </w:r>
      <w:r>
        <w:t xml:space="preserve">“Confidence Intervals for the Coefficient of Variation for the Normal and Log Normal Distributions.”</w:t>
      </w:r>
      <w:r>
        <w:t xml:space="preserve"> </w:t>
      </w:r>
      <w:r>
        <w:rPr>
          <w:iCs/>
          <w:i/>
        </w:rPr>
        <w:t xml:space="preserve">Biometrika</w:t>
      </w:r>
      <w:r>
        <w:t xml:space="preserve"> </w:t>
      </w:r>
      <w:r>
        <w:t xml:space="preserve">51 (1/2): 25–32.</w:t>
      </w:r>
    </w:p>
    <w:bookmarkEnd w:id="99"/>
    <w:bookmarkStart w:id="100" w:name="ref-kvamme1996alternative"/>
    <w:p>
      <w:pPr>
        <w:pStyle w:val="Bibliography"/>
      </w:pPr>
      <w:r>
        <w:t xml:space="preserve">Kvamme, Kenneth L, Miriam T Stark, and William A Longacre. 1996.</w:t>
      </w:r>
      <w:r>
        <w:t xml:space="preserve"> </w:t>
      </w:r>
      <w:r>
        <w:t xml:space="preserve">“Alternative Procedures for Assessing Standardization in Ceramic Assemblages.”</w:t>
      </w:r>
      <w:r>
        <w:t xml:space="preserve"> </w:t>
      </w:r>
      <w:r>
        <w:rPr>
          <w:iCs/>
          <w:i/>
        </w:rPr>
        <w:t xml:space="preserve">American Antiquity</w:t>
      </w:r>
      <w:r>
        <w:t xml:space="preserve"> </w:t>
      </w:r>
      <w:r>
        <w:t xml:space="preserve">61 (1): 116–26.</w:t>
      </w:r>
    </w:p>
    <w:bookmarkEnd w:id="100"/>
    <w:bookmarkStart w:id="101" w:name="ref-lee2019were"/>
    <w:p>
      <w:pPr>
        <w:pStyle w:val="Bibliography"/>
      </w:pPr>
      <w:r>
        <w:t xml:space="preserve">Lee, Gi-Kil, and Katsuhiro Sano. 2019.</w:t>
      </w:r>
      <w:r>
        <w:t xml:space="preserve"> </w:t>
      </w:r>
      <w:r>
        <w:t xml:space="preserve">“Were Tanged Points Mechanically Delivered Armatures? Functional and Morphometric Analyses of Tanged Points from an Upper Paleolithic Site at Jingeuneul, Korea.”</w:t>
      </w:r>
      <w:r>
        <w:t xml:space="preserve"> </w:t>
      </w:r>
      <w:r>
        <w:rPr>
          <w:iCs/>
          <w:i/>
        </w:rPr>
        <w:t xml:space="preserve">Archaeological and Anthropological Sciences</w:t>
      </w:r>
      <w:r>
        <w:t xml:space="preserve"> </w:t>
      </w:r>
      <w:r>
        <w:t xml:space="preserve">11 (6): 2453–65.</w:t>
      </w:r>
    </w:p>
    <w:bookmarkEnd w:id="101"/>
    <w:bookmarkStart w:id="102" w:name="ref-lee2013current"/>
    <w:p>
      <w:pPr>
        <w:pStyle w:val="Bibliography"/>
      </w:pPr>
      <w:r>
        <w:t xml:space="preserve">Lee, Hyeong Woo. 2013.</w:t>
      </w:r>
      <w:r>
        <w:t xml:space="preserve"> </w:t>
      </w:r>
      <w:r>
        <w:t xml:space="preserve">“Current Observations of the Early Late Paleolithic in Korea.”</w:t>
      </w:r>
      <w:r>
        <w:t xml:space="preserve"> </w:t>
      </w:r>
      <w:r>
        <w:rPr>
          <w:iCs/>
          <w:i/>
        </w:rPr>
        <w:t xml:space="preserve">Quaternary International</w:t>
      </w:r>
      <w:r>
        <w:t xml:space="preserve"> </w:t>
      </w:r>
      <w:r>
        <w:t xml:space="preserve">316: 45–58.</w:t>
      </w:r>
    </w:p>
    <w:bookmarkEnd w:id="102"/>
    <w:bookmarkStart w:id="103" w:name="ref-leplongeon2020backed"/>
    <w:p>
      <w:pPr>
        <w:pStyle w:val="Bibliography"/>
      </w:pPr>
      <w:r>
        <w:t xml:space="preserve">Leplongeon, Alice, Clément Ménard, Vincent Bonhomme, and Eugenio Bortolini. 2020.</w:t>
      </w:r>
      <w:r>
        <w:t xml:space="preserve"> </w:t>
      </w:r>
      <w:r>
        <w:t xml:space="preserve">“Backed Pieces and Their Variability in the Later Stone Age of the Horn of Africa.”</w:t>
      </w:r>
      <w:r>
        <w:t xml:space="preserve"> </w:t>
      </w:r>
      <w:r>
        <w:rPr>
          <w:iCs/>
          <w:i/>
        </w:rPr>
        <w:t xml:space="preserve">African Archaeological Review</w:t>
      </w:r>
      <w:r>
        <w:t xml:space="preserve"> </w:t>
      </w:r>
      <w:r>
        <w:t xml:space="preserve">37 (3): 437–68.</w:t>
      </w:r>
    </w:p>
    <w:bookmarkEnd w:id="103"/>
    <w:bookmarkStart w:id="104" w:name="ref-lipo1997population"/>
    <w:p>
      <w:pPr>
        <w:pStyle w:val="Bibliography"/>
      </w:pPr>
      <w:r>
        <w:t xml:space="preserve">Lipo, Carl P, Mark E Madsen, Robert C Dunnell, and Tim Hunt. 1997.</w:t>
      </w:r>
      <w:r>
        <w:t xml:space="preserve"> </w:t>
      </w:r>
      <w:r>
        <w:t xml:space="preserve">“Population Structure, Cultural Transmission, and Frequency Seriation.”</w:t>
      </w:r>
      <w:r>
        <w:t xml:space="preserve"> </w:t>
      </w:r>
      <w:r>
        <w:rPr>
          <w:iCs/>
          <w:i/>
        </w:rPr>
        <w:t xml:space="preserve">Journal of Anthropological Archaeology</w:t>
      </w:r>
      <w:r>
        <w:t xml:space="preserve"> </w:t>
      </w:r>
      <w:r>
        <w:t xml:space="preserve">16 (4): 301–33.</w:t>
      </w:r>
    </w:p>
    <w:bookmarkEnd w:id="104"/>
    <w:bookmarkStart w:id="105" w:name="ref-lycett2015cultural"/>
    <w:p>
      <w:pPr>
        <w:pStyle w:val="Bibliography"/>
      </w:pPr>
      <w:r>
        <w:t xml:space="preserve">Lycett, Stephen J. 2015.</w:t>
      </w:r>
      <w:r>
        <w:t xml:space="preserve"> </w:t>
      </w:r>
      <w:r>
        <w:t xml:space="preserve">“Cultural Evolutionary Approaches to Artifact Variation over Time and Space: Basis, Progress, and Prospects.”</w:t>
      </w:r>
      <w:r>
        <w:t xml:space="preserve"> </w:t>
      </w:r>
      <w:r>
        <w:rPr>
          <w:iCs/>
          <w:i/>
        </w:rPr>
        <w:t xml:space="preserve">Journal of Archaeological Science</w:t>
      </w:r>
      <w:r>
        <w:t xml:space="preserve"> </w:t>
      </w:r>
      <w:r>
        <w:t xml:space="preserve">56: 21–31.</w:t>
      </w:r>
    </w:p>
    <w:bookmarkEnd w:id="105"/>
    <w:bookmarkStart w:id="106" w:name="ref-macleod2018quantitative"/>
    <w:p>
      <w:pPr>
        <w:pStyle w:val="Bibliography"/>
      </w:pPr>
      <w:r>
        <w:t xml:space="preserve">MacLeod, Norman. 2018.</w:t>
      </w:r>
      <w:r>
        <w:t xml:space="preserve"> </w:t>
      </w:r>
      <w:r>
        <w:t xml:space="preserve">“The Quantitative Assessment of Archaeological Artifact Groups: Beyond Geometric Morphometrics.”</w:t>
      </w:r>
      <w:r>
        <w:t xml:space="preserve"> </w:t>
      </w:r>
      <w:r>
        <w:rPr>
          <w:iCs/>
          <w:i/>
        </w:rPr>
        <w:t xml:space="preserve">Quaternary Science Reviews</w:t>
      </w:r>
      <w:r>
        <w:t xml:space="preserve"> </w:t>
      </w:r>
      <w:r>
        <w:t xml:space="preserve">201: 319–48.</w:t>
      </w:r>
    </w:p>
    <w:bookmarkEnd w:id="106"/>
    <w:bookmarkStart w:id="107" w:name="ref-mahmoudvand2009two"/>
    <w:p>
      <w:pPr>
        <w:pStyle w:val="Bibliography"/>
      </w:pPr>
      <w:r>
        <w:t xml:space="preserve">Mahmoudvand, Rahim, and Hossein Hassani. 2009.</w:t>
      </w:r>
      <w:r>
        <w:t xml:space="preserve"> </w:t>
      </w:r>
      <w:r>
        <w:t xml:space="preserve">“Two New Confidence Intervals for the Coefficient of Variation in a Normal Distribution.”</w:t>
      </w:r>
      <w:r>
        <w:t xml:space="preserve"> </w:t>
      </w:r>
      <w:r>
        <w:rPr>
          <w:iCs/>
          <w:i/>
        </w:rPr>
        <w:t xml:space="preserve">Journal of Applied Statistics</w:t>
      </w:r>
      <w:r>
        <w:t xml:space="preserve"> </w:t>
      </w:r>
      <w:r>
        <w:t xml:space="preserve">36 (4): 429–42.</w:t>
      </w:r>
    </w:p>
    <w:bookmarkEnd w:id="107"/>
    <w:bookmarkStart w:id="108" w:name="ref-marwick2017computational"/>
    <w:p>
      <w:pPr>
        <w:pStyle w:val="Bibliography"/>
      </w:pPr>
      <w:r>
        <w:t xml:space="preserve">Marwick, Ben. 2017.</w:t>
      </w:r>
      <w:r>
        <w:t xml:space="preserve"> </w:t>
      </w:r>
      <w:r>
        <w:t xml:space="preserve">“Computational Reproducibility in Archaeological Research: Basic Principles and a Case Study of Their Implementation.”</w:t>
      </w:r>
      <w:r>
        <w:t xml:space="preserve"> </w:t>
      </w:r>
      <w:r>
        <w:rPr>
          <w:iCs/>
          <w:i/>
        </w:rPr>
        <w:t xml:space="preserve">Journal of Archaeological Method and Theory</w:t>
      </w:r>
      <w:r>
        <w:t xml:space="preserve"> </w:t>
      </w:r>
      <w:r>
        <w:t xml:space="preserve">24 (2): 424–50.</w:t>
      </w:r>
    </w:p>
    <w:bookmarkEnd w:id="108"/>
    <w:bookmarkStart w:id="109" w:name="ref-mckay1932distribution"/>
    <w:p>
      <w:pPr>
        <w:pStyle w:val="Bibliography"/>
      </w:pPr>
      <w:r>
        <w:t xml:space="preserve">McKay, AT. 1932.</w:t>
      </w:r>
      <w:r>
        <w:t xml:space="preserve"> </w:t>
      </w:r>
      <w:r>
        <w:t xml:space="preserve">“Distribution of the Coefficient of Variation and the Extended" t" Distribution.”</w:t>
      </w:r>
      <w:r>
        <w:t xml:space="preserve"> </w:t>
      </w:r>
      <w:r>
        <w:rPr>
          <w:iCs/>
          <w:i/>
        </w:rPr>
        <w:t xml:space="preserve">Journal of the Royal Statistical Society</w:t>
      </w:r>
      <w:r>
        <w:t xml:space="preserve"> </w:t>
      </w:r>
      <w:r>
        <w:t xml:space="preserve">95 (4): 695–98.</w:t>
      </w:r>
    </w:p>
    <w:bookmarkEnd w:id="109"/>
    <w:bookmarkStart w:id="110" w:name="ref-mesoudi2008cultural"/>
    <w:p>
      <w:pPr>
        <w:pStyle w:val="Bibliography"/>
      </w:pPr>
      <w:r>
        <w:t xml:space="preserve">Mesoudi, Alex, and Michael J O’Brien. 2008.</w:t>
      </w:r>
      <w:r>
        <w:t xml:space="preserve"> </w:t>
      </w:r>
      <w:r>
        <w:t xml:space="preserve">“The Cultural Transmission of Great Basin Projectile-Point Technology i: An Experimental Simulation.”</w:t>
      </w:r>
      <w:r>
        <w:t xml:space="preserve"> </w:t>
      </w:r>
      <w:r>
        <w:rPr>
          <w:iCs/>
          <w:i/>
        </w:rPr>
        <w:t xml:space="preserve">American Antiquity</w:t>
      </w:r>
      <w:r>
        <w:t xml:space="preserve">, 3–28.</w:t>
      </w:r>
    </w:p>
    <w:bookmarkEnd w:id="110"/>
    <w:bookmarkStart w:id="111" w:name="ref-miller1991asymptomatic"/>
    <w:p>
      <w:pPr>
        <w:pStyle w:val="Bibliography"/>
      </w:pPr>
      <w:r>
        <w:t xml:space="preserve">Miller, RG. 1991.</w:t>
      </w:r>
      <w:r>
        <w:t xml:space="preserve"> </w:t>
      </w:r>
      <w:r>
        <w:t xml:space="preserve">“Asymptomatic Test Statistics for Coefficients of Variation.”</w:t>
      </w:r>
      <w:r>
        <w:t xml:space="preserve"> </w:t>
      </w:r>
      <w:r>
        <w:rPr>
          <w:iCs/>
          <w:i/>
        </w:rPr>
        <w:t xml:space="preserve">Theor Meth</w:t>
      </w:r>
      <w:r>
        <w:t xml:space="preserve"> </w:t>
      </w:r>
      <w:r>
        <w:t xml:space="preserve">20: 2251–62.</w:t>
      </w:r>
    </w:p>
    <w:bookmarkEnd w:id="111"/>
    <w:bookmarkStart w:id="112" w:name="ref-ng2006performance"/>
    <w:p>
      <w:pPr>
        <w:pStyle w:val="Bibliography"/>
      </w:pPr>
      <w:r>
        <w:t xml:space="preserve">Ng, CK. 2006.</w:t>
      </w:r>
      <w:r>
        <w:t xml:space="preserve"> </w:t>
      </w:r>
      <w:r>
        <w:t xml:space="preserve">“Performance of Three Methods of Interval Estimation of the Coefficient of Variation.”</w:t>
      </w:r>
      <w:r>
        <w:t xml:space="preserve"> </w:t>
      </w:r>
      <w:r>
        <w:rPr>
          <w:iCs/>
          <w:i/>
        </w:rPr>
        <w:t xml:space="preserve">InterStat</w:t>
      </w:r>
      <w:r>
        <w:t xml:space="preserve">.</w:t>
      </w:r>
    </w:p>
    <w:bookmarkEnd w:id="112"/>
    <w:bookmarkStart w:id="113" w:name="ref-o2017dual"/>
    <w:p>
      <w:pPr>
        <w:pStyle w:val="Bibliography"/>
      </w:pPr>
      <w:r>
        <w:t xml:space="preserve">O’Brien, Michael J, and R Alexander Bentley. 2017.</w:t>
      </w:r>
      <w:r>
        <w:t xml:space="preserve"> </w:t>
      </w:r>
      <w:r>
        <w:t xml:space="preserve">“Dual Inheritance, Cultural Transmission, and Niche Construction.”</w:t>
      </w:r>
      <w:r>
        <w:t xml:space="preserve"> </w:t>
      </w:r>
      <w:r>
        <w:rPr>
          <w:iCs/>
          <w:i/>
        </w:rPr>
        <w:t xml:space="preserve">The Handbook of Culture and Biology</w:t>
      </w:r>
      <w:r>
        <w:t xml:space="preserve">.</w:t>
      </w:r>
    </w:p>
    <w:bookmarkEnd w:id="113"/>
    <w:bookmarkStart w:id="114" w:name="ref-o2000applying"/>
    <w:p>
      <w:pPr>
        <w:pStyle w:val="Bibliography"/>
      </w:pPr>
      <w:r>
        <w:t xml:space="preserve">O’brien, Michael J, and R Lee Lyman. 2000.</w:t>
      </w:r>
      <w:r>
        <w:t xml:space="preserve"> </w:t>
      </w:r>
      <w:r>
        <w:rPr>
          <w:iCs/>
          <w:i/>
        </w:rPr>
        <w:t xml:space="preserve">Applying Evolutionary Archaeology: A Systematic Approach</w:t>
      </w:r>
      <w:r>
        <w:t xml:space="preserve">. Springer Science &amp; Business Media.</w:t>
      </w:r>
    </w:p>
    <w:bookmarkEnd w:id="114"/>
    <w:bookmarkStart w:id="115" w:name="ref-okumura2019archaeology"/>
    <w:p>
      <w:pPr>
        <w:pStyle w:val="Bibliography"/>
      </w:pPr>
      <w:r>
        <w:t xml:space="preserve">Okumura, Mercedes, and Astolfo GM Araujo. 2019.</w:t>
      </w:r>
      <w:r>
        <w:t xml:space="preserve"> </w:t>
      </w:r>
      <w:r>
        <w:t xml:space="preserve">“Archaeology, Biology, and Borrowing: A Critical Examination of Geometric Morphometrics in Archaeology.”</w:t>
      </w:r>
      <w:r>
        <w:t xml:space="preserve"> </w:t>
      </w:r>
      <w:r>
        <w:rPr>
          <w:iCs/>
          <w:i/>
        </w:rPr>
        <w:t xml:space="preserve">Journal of Archaeological Science</w:t>
      </w:r>
      <w:r>
        <w:t xml:space="preserve"> </w:t>
      </w:r>
      <w:r>
        <w:t xml:space="preserve">101: 149–58.</w:t>
      </w:r>
    </w:p>
    <w:bookmarkEnd w:id="115"/>
    <w:bookmarkStart w:id="116" w:name="ref-panichkitkosolkul2009improved"/>
    <w:p>
      <w:pPr>
        <w:pStyle w:val="Bibliography"/>
      </w:pPr>
      <w:r>
        <w:t xml:space="preserve">Panichkitkosolkul, Wararit. 2009.</w:t>
      </w:r>
      <w:r>
        <w:t xml:space="preserve"> </w:t>
      </w:r>
      <w:r>
        <w:t xml:space="preserve">“Improved Confidence Intervals for a Coefficient of Variation of a Normal Distribution.”</w:t>
      </w:r>
      <w:r>
        <w:t xml:space="preserve"> </w:t>
      </w:r>
      <w:r>
        <w:rPr>
          <w:iCs/>
          <w:i/>
        </w:rPr>
        <w:t xml:space="preserve">Thailand Statistician</w:t>
      </w:r>
      <w:r>
        <w:t xml:space="preserve"> </w:t>
      </w:r>
      <w:r>
        <w:t xml:space="preserve">7 (2): 193–99.</w:t>
      </w:r>
    </w:p>
    <w:bookmarkEnd w:id="116"/>
    <w:bookmarkStart w:id="117" w:name="ref-panichkitkosolkul2013confidence"/>
    <w:p>
      <w:pPr>
        <w:pStyle w:val="Bibliography"/>
      </w:pPr>
      <w:r>
        <w:t xml:space="preserve">———. 2013.</w:t>
      </w:r>
      <w:r>
        <w:t xml:space="preserve"> </w:t>
      </w:r>
      <w:r>
        <w:t xml:space="preserve">“Confidence Intervals for the Coefficient of Variation in a Normal Distribution with a Known Population Mean.”</w:t>
      </w:r>
      <w:r>
        <w:t xml:space="preserve"> </w:t>
      </w:r>
      <w:r>
        <w:rPr>
          <w:iCs/>
          <w:i/>
        </w:rPr>
        <w:t xml:space="preserve">Journal of Probability and Statistics</w:t>
      </w:r>
      <w:r>
        <w:t xml:space="preserve"> </w:t>
      </w:r>
      <w:r>
        <w:t xml:space="preserve">2013.</w:t>
      </w:r>
    </w:p>
    <w:bookmarkEnd w:id="117"/>
    <w:bookmarkStart w:id="118" w:name="ref-Park_2013"/>
    <w:p>
      <w:pPr>
        <w:pStyle w:val="Bibliography"/>
      </w:pPr>
      <w:r>
        <w:t xml:space="preserve">Park, Gayoung. 2013.</w:t>
      </w:r>
      <w:r>
        <w:t xml:space="preserve"> </w:t>
      </w:r>
      <w:r>
        <w:t xml:space="preserve">“A Study on the Stemmed Points of the Late Paleolithic in the Korean Peninsula.”</w:t>
      </w:r>
      <w:r>
        <w:t xml:space="preserve"> </w:t>
      </w:r>
      <w:r>
        <w:rPr>
          <w:iCs/>
          <w:i/>
        </w:rPr>
        <w:t xml:space="preserve">Yeongnam Archaeological Review</w:t>
      </w:r>
      <w:r>
        <w:t xml:space="preserve"> </w:t>
      </w:r>
      <w:r>
        <w:t xml:space="preserve">64: 39–69.</w:t>
      </w:r>
    </w:p>
    <w:bookmarkEnd w:id="118"/>
    <w:bookmarkStart w:id="119" w:name="ref-petvrik2018shape"/>
    <w:p>
      <w:pPr>
        <w:pStyle w:val="Bibliography"/>
      </w:pPr>
      <w:r>
        <w:t xml:space="preserve">Petřı́k, Jan, Daniel Sosna, Lubomı́r Prokeš, Denis Štefanisko, and Patrik Galeta. 2018.</w:t>
      </w:r>
      <w:r>
        <w:t xml:space="preserve"> </w:t>
      </w:r>
      <w:r>
        <w:t xml:space="preserve">“Shape Matters: Assessing Regional Variation of Bell Beaker Projectile Points in Central Europe Using Geometric Morphometrics.”</w:t>
      </w:r>
      <w:r>
        <w:t xml:space="preserve"> </w:t>
      </w:r>
      <w:r>
        <w:rPr>
          <w:iCs/>
          <w:i/>
        </w:rPr>
        <w:t xml:space="preserve">Archaeological and Anthropological Sciences</w:t>
      </w:r>
      <w:r>
        <w:t xml:space="preserve"> </w:t>
      </w:r>
      <w:r>
        <w:t xml:space="preserve">10 (4): 893–904.</w:t>
      </w:r>
    </w:p>
    <w:bookmarkEnd w:id="119"/>
    <w:bookmarkStart w:id="120" w:name="ref-richerson1992cultural"/>
    <w:p>
      <w:pPr>
        <w:pStyle w:val="Bibliography"/>
      </w:pPr>
      <w:r>
        <w:t xml:space="preserve">Richerson, Peter J, and Robert Boyd. 1992.</w:t>
      </w:r>
      <w:r>
        <w:t xml:space="preserve"> </w:t>
      </w:r>
      <w:r>
        <w:t xml:space="preserve">“Cultural Inheritance and Evolutionary Ecology.”</w:t>
      </w:r>
      <w:r>
        <w:t xml:space="preserve"> </w:t>
      </w:r>
      <w:r>
        <w:rPr>
          <w:iCs/>
          <w:i/>
        </w:rPr>
        <w:t xml:space="preserve">Evolutionary Ecology and Human Behavior</w:t>
      </w:r>
      <w:r>
        <w:t xml:space="preserve">, 61–92.</w:t>
      </w:r>
    </w:p>
    <w:bookmarkEnd w:id="120"/>
    <w:bookmarkStart w:id="121" w:name="ref-rivals2009new"/>
    <w:p>
      <w:pPr>
        <w:pStyle w:val="Bibliography"/>
      </w:pPr>
      <w:r>
        <w:t xml:space="preserve">Rivals, Florent, Ellen Schulz, and Thomas M Kaiser. 2009.</w:t>
      </w:r>
      <w:r>
        <w:t xml:space="preserve"> </w:t>
      </w:r>
      <w:r>
        <w:t xml:space="preserve">“A New Application of Dental Wear Analyses: Estimation of Duration of Hominid Occupations in Archaeological Localities.”</w:t>
      </w:r>
      <w:r>
        <w:t xml:space="preserve"> </w:t>
      </w:r>
      <w:r>
        <w:rPr>
          <w:iCs/>
          <w:i/>
        </w:rPr>
        <w:t xml:space="preserve">Journal of Human Evolution</w:t>
      </w:r>
      <w:r>
        <w:t xml:space="preserve"> </w:t>
      </w:r>
      <w:r>
        <w:t xml:space="preserve">56 (4): 329–39.</w:t>
      </w:r>
    </w:p>
    <w:bookmarkEnd w:id="121"/>
    <w:bookmarkStart w:id="122" w:name="ref-schillinger2014copying"/>
    <w:p>
      <w:pPr>
        <w:pStyle w:val="Bibliography"/>
      </w:pPr>
      <w:r>
        <w:t xml:space="preserve">Schillinger, Kerstin, Alex Mesoudi, and Stephen J Lycett. 2014.</w:t>
      </w:r>
      <w:r>
        <w:t xml:space="preserve"> </w:t>
      </w:r>
      <w:r>
        <w:t xml:space="preserve">“Copying Error and the Cultural Evolution of" Additive" Vs." Reductive" Material Traditions: An Experimental Assessment.”</w:t>
      </w:r>
      <w:r>
        <w:t xml:space="preserve"> </w:t>
      </w:r>
      <w:r>
        <w:rPr>
          <w:iCs/>
          <w:i/>
        </w:rPr>
        <w:t xml:space="preserve">American Antiquity</w:t>
      </w:r>
      <w:r>
        <w:t xml:space="preserve">, 128–43.</w:t>
      </w:r>
    </w:p>
    <w:bookmarkEnd w:id="122"/>
    <w:bookmarkStart w:id="123" w:name="ref-schneider2012nih"/>
    <w:p>
      <w:pPr>
        <w:pStyle w:val="Bibliography"/>
      </w:pPr>
      <w:r>
        <w:t xml:space="preserve">Schneider, Caroline A, Wayne S Rasband, and Kevin W Eliceiri. 2012.</w:t>
      </w:r>
      <w:r>
        <w:t xml:space="preserve"> </w:t>
      </w:r>
      <w:r>
        <w:t xml:space="preserve">“NIH Image to ImageJ: 25 Years of Image Analysis.”</w:t>
      </w:r>
      <w:r>
        <w:t xml:space="preserve"> </w:t>
      </w:r>
      <w:r>
        <w:rPr>
          <w:iCs/>
          <w:i/>
        </w:rPr>
        <w:t xml:space="preserve">Nature Methods</w:t>
      </w:r>
      <w:r>
        <w:t xml:space="preserve"> </w:t>
      </w:r>
      <w:r>
        <w:t xml:space="preserve">9 (7): 671–75.</w:t>
      </w:r>
    </w:p>
    <w:bookmarkEnd w:id="123"/>
    <w:bookmarkStart w:id="124" w:name="ref-selden2014advances"/>
    <w:p>
      <w:pPr>
        <w:pStyle w:val="Bibliography"/>
      </w:pPr>
      <w:r>
        <w:t xml:space="preserve">Selden, Robert Z, Timothy K Perttula, and Michael J O’Brien. 2014.</w:t>
      </w:r>
      <w:r>
        <w:t xml:space="preserve"> </w:t>
      </w:r>
      <w:r>
        <w:t xml:space="preserve">“Advances in Documentation, Digital Curation, Virtual Exhibition, and a Test of 3d Geometric Morphometrics: A Case Study of the Vanderpool Vessels from the Ancestral Caddo Territory.”</w:t>
      </w:r>
      <w:r>
        <w:t xml:space="preserve"> </w:t>
      </w:r>
      <w:r>
        <w:rPr>
          <w:iCs/>
          <w:i/>
        </w:rPr>
        <w:t xml:space="preserve">Advances in Archaeological Practice</w:t>
      </w:r>
      <w:r>
        <w:t xml:space="preserve"> </w:t>
      </w:r>
      <w:r>
        <w:t xml:space="preserve">2 (2): 64–79.</w:t>
      </w:r>
    </w:p>
    <w:bookmarkEnd w:id="124"/>
    <w:bookmarkStart w:id="125" w:name="ref-seong2006structure"/>
    <w:p>
      <w:pPr>
        <w:pStyle w:val="Bibliography"/>
      </w:pPr>
      <w:r>
        <w:t xml:space="preserve">Seong, C. 2006.</w:t>
      </w:r>
      <w:r>
        <w:t xml:space="preserve"> </w:t>
      </w:r>
      <w:r>
        <w:t xml:space="preserve">“Structure and Evolution of Late Paleolithic Assemblages in Korea.”</w:t>
      </w:r>
      <w:r>
        <w:t xml:space="preserve"> </w:t>
      </w:r>
      <w:r>
        <w:rPr>
          <w:iCs/>
          <w:i/>
        </w:rPr>
        <w:t xml:space="preserve">Journal of the Korean Archaeological Society</w:t>
      </w:r>
      <w:r>
        <w:t xml:space="preserve"> </w:t>
      </w:r>
      <w:r>
        <w:t xml:space="preserve">59: 4–39.</w:t>
      </w:r>
    </w:p>
    <w:bookmarkEnd w:id="125"/>
    <w:bookmarkStart w:id="126" w:name="ref-seong2008tanged"/>
    <w:p>
      <w:pPr>
        <w:pStyle w:val="Bibliography"/>
      </w:pPr>
      <w:r>
        <w:t xml:space="preserve">Seong, Chuntaek. 2008.</w:t>
      </w:r>
      <w:r>
        <w:t xml:space="preserve"> </w:t>
      </w:r>
      <w:r>
        <w:t xml:space="preserve">“Tanged Points, Microblades and Late Palaeolithic Hunting in Korea.”</w:t>
      </w:r>
      <w:r>
        <w:t xml:space="preserve"> </w:t>
      </w:r>
      <w:r>
        <w:rPr>
          <w:iCs/>
          <w:i/>
        </w:rPr>
        <w:t xml:space="preserve">Antiquity</w:t>
      </w:r>
      <w:r>
        <w:t xml:space="preserve"> </w:t>
      </w:r>
      <w:r>
        <w:t xml:space="preserve">82 (318): 871–83.</w:t>
      </w:r>
    </w:p>
    <w:bookmarkEnd w:id="126"/>
    <w:bookmarkStart w:id="127" w:name="ref-seong2009emergence"/>
    <w:p>
      <w:pPr>
        <w:pStyle w:val="Bibliography"/>
      </w:pPr>
      <w:r>
        <w:t xml:space="preserve">———. 2009.</w:t>
      </w:r>
      <w:r>
        <w:t xml:space="preserve"> </w:t>
      </w:r>
      <w:r>
        <w:t xml:space="preserve">“Emergence of a Blade Industry and Evolution of Late Paleolithic Technology in the Republic of Korea.”</w:t>
      </w:r>
      <w:r>
        <w:t xml:space="preserve"> </w:t>
      </w:r>
      <w:r>
        <w:rPr>
          <w:iCs/>
          <w:i/>
        </w:rPr>
        <w:t xml:space="preserve">Journal of Anthropological Research</w:t>
      </w:r>
      <w:r>
        <w:t xml:space="preserve"> </w:t>
      </w:r>
      <w:r>
        <w:t xml:space="preserve">65 (3): 417–51.</w:t>
      </w:r>
    </w:p>
    <w:bookmarkEnd w:id="127"/>
    <w:bookmarkStart w:id="128" w:name="ref-seong2015diversity"/>
    <w:p>
      <w:pPr>
        <w:pStyle w:val="Bibliography"/>
      </w:pPr>
      <w:r>
        <w:t xml:space="preserve">———. 2015.</w:t>
      </w:r>
      <w:r>
        <w:t xml:space="preserve"> </w:t>
      </w:r>
      <w:r>
        <w:t xml:space="preserve">“Diversity of Lithic Assemblages and Evolution of Late Palaeolithic Culture in Korea.”</w:t>
      </w:r>
      <w:r>
        <w:t xml:space="preserve"> </w:t>
      </w:r>
      <w:r>
        <w:rPr>
          <w:iCs/>
          <w:i/>
        </w:rPr>
        <w:t xml:space="preserve">Asian Perspectives</w:t>
      </w:r>
      <w:r>
        <w:t xml:space="preserve">, 91–112.</w:t>
      </w:r>
    </w:p>
    <w:bookmarkEnd w:id="128"/>
    <w:bookmarkStart w:id="129" w:name="ref-sharma1994asymptotic"/>
    <w:p>
      <w:pPr>
        <w:pStyle w:val="Bibliography"/>
      </w:pPr>
      <w:r>
        <w:t xml:space="preserve">Sharma, KK, and Hare Krishna. 1994.</w:t>
      </w:r>
      <w:r>
        <w:t xml:space="preserve"> </w:t>
      </w:r>
      <w:r>
        <w:t xml:space="preserve">“Asymptotic Sampling Distribution of Inverse Coefficient-of-Variation and Its Applications.”</w:t>
      </w:r>
      <w:r>
        <w:t xml:space="preserve"> </w:t>
      </w:r>
      <w:r>
        <w:rPr>
          <w:iCs/>
          <w:i/>
        </w:rPr>
        <w:t xml:space="preserve">IEEE Transactions on Reliability</w:t>
      </w:r>
      <w:r>
        <w:t xml:space="preserve"> </w:t>
      </w:r>
      <w:r>
        <w:t xml:space="preserve">43 (4): 630–33.</w:t>
      </w:r>
    </w:p>
    <w:bookmarkEnd w:id="129"/>
    <w:bookmarkStart w:id="130" w:name="ref-shi2005chromosome"/>
    <w:p>
      <w:pPr>
        <w:pStyle w:val="Bibliography"/>
      </w:pPr>
      <w:r>
        <w:t xml:space="preserve">Shi, Hong, Yong-li Dong, Bo Wen, Chun-Jie Xiao, Peter A Underhill, Pei-dong Shen, Ranajit Chakraborty, Li Jin, and Bing Su. 2005.</w:t>
      </w:r>
      <w:r>
        <w:t xml:space="preserve"> </w:t>
      </w:r>
      <w:r>
        <w:t xml:space="preserve">“Y-Chromosome Evidence of Southern Origin of the East Asian–Specific Haplogroup O3-M122.”</w:t>
      </w:r>
      <w:r>
        <w:t xml:space="preserve"> </w:t>
      </w:r>
      <w:r>
        <w:rPr>
          <w:iCs/>
          <w:i/>
        </w:rPr>
        <w:t xml:space="preserve">The American Journal of Human Genetics</w:t>
      </w:r>
      <w:r>
        <w:t xml:space="preserve"> </w:t>
      </w:r>
      <w:r>
        <w:t xml:space="preserve">77 (3): 408–19.</w:t>
      </w:r>
    </w:p>
    <w:bookmarkEnd w:id="130"/>
    <w:bookmarkStart w:id="131" w:name="ref-suarez2019life"/>
    <w:p>
      <w:pPr>
        <w:pStyle w:val="Bibliography"/>
      </w:pPr>
      <w:r>
        <w:t xml:space="preserve">Suárez, Rafael, and Marcelo Cardillo. 2019.</w:t>
      </w:r>
      <w:r>
        <w:t xml:space="preserve"> </w:t>
      </w:r>
      <w:r>
        <w:t xml:space="preserve">“Life History or Stylistic Variation? A Geometric Morphometric Method for Evaluation of Fishtail Point Variability.”</w:t>
      </w:r>
      <w:r>
        <w:t xml:space="preserve"> </w:t>
      </w:r>
      <w:r>
        <w:rPr>
          <w:iCs/>
          <w:i/>
        </w:rPr>
        <w:t xml:space="preserve">Journal of Archaeological Science: Reports</w:t>
      </w:r>
      <w:r>
        <w:t xml:space="preserve"> </w:t>
      </w:r>
      <w:r>
        <w:t xml:space="preserve">27: 101997.</w:t>
      </w:r>
    </w:p>
    <w:bookmarkEnd w:id="131"/>
    <w:bookmarkStart w:id="132" w:name="ref-thulman2012discriminating"/>
    <w:p>
      <w:pPr>
        <w:pStyle w:val="Bibliography"/>
      </w:pPr>
      <w:r>
        <w:t xml:space="preserve">Thulman, David K. 2012.</w:t>
      </w:r>
      <w:r>
        <w:t xml:space="preserve"> </w:t>
      </w:r>
      <w:r>
        <w:t xml:space="preserve">“Discriminating Paleoindian Point Types from Florida Using Landmark Geometric Morphometrics.”</w:t>
      </w:r>
      <w:r>
        <w:t xml:space="preserve"> </w:t>
      </w:r>
      <w:r>
        <w:rPr>
          <w:iCs/>
          <w:i/>
        </w:rPr>
        <w:t xml:space="preserve">Journal of Archaeological Science</w:t>
      </w:r>
      <w:r>
        <w:t xml:space="preserve"> </w:t>
      </w:r>
      <w:r>
        <w:t xml:space="preserve">39 (5): 1599–1607.</w:t>
      </w:r>
    </w:p>
    <w:bookmarkEnd w:id="132"/>
    <w:bookmarkStart w:id="133" w:name="ref-toebe2018sample"/>
    <w:p>
      <w:pPr>
        <w:pStyle w:val="Bibliography"/>
      </w:pPr>
      <w:r>
        <w:t xml:space="preserve">Toebe, Marcos, Leticia N Machado, Francieli L Tartaglia, JULIANA O CARVALHO, Cirineu T Bandeira, and ALBERTO CARGNELUTTI. 2018.</w:t>
      </w:r>
      <w:r>
        <w:t xml:space="preserve"> </w:t>
      </w:r>
      <w:r>
        <w:t xml:space="preserve">“Sample Size for Estimating Mean and Coefficient of Variation in Species of Crotalarias.”</w:t>
      </w:r>
      <w:r>
        <w:t xml:space="preserve"> </w:t>
      </w:r>
      <w:r>
        <w:rPr>
          <w:iCs/>
          <w:i/>
        </w:rPr>
        <w:t xml:space="preserve">Anais Da Academia Brasileira de Ci</w:t>
      </w:r>
      <w:r>
        <w:rPr>
          <w:iCs/>
          <w:i/>
        </w:rPr>
        <w:t xml:space="preserve">ê</w:t>
      </w:r>
      <w:r>
        <w:rPr>
          <w:iCs/>
          <w:i/>
        </w:rPr>
        <w:t xml:space="preserve">ncias</w:t>
      </w:r>
      <w:r>
        <w:t xml:space="preserve"> </w:t>
      </w:r>
      <w:r>
        <w:t xml:space="preserve">90: 1705–15.</w:t>
      </w:r>
    </w:p>
    <w:bookmarkEnd w:id="133"/>
    <w:bookmarkStart w:id="134" w:name="ref-vangel1996confidence"/>
    <w:p>
      <w:pPr>
        <w:pStyle w:val="Bibliography"/>
      </w:pPr>
      <w:r>
        <w:t xml:space="preserve">Vangel, Mark G. 1996.</w:t>
      </w:r>
      <w:r>
        <w:t xml:space="preserve"> </w:t>
      </w:r>
      <w:r>
        <w:t xml:space="preserve">“Confidence Intervals for a Normal Coefficient of Variation.”</w:t>
      </w:r>
      <w:r>
        <w:t xml:space="preserve"> </w:t>
      </w:r>
      <w:r>
        <w:rPr>
          <w:iCs/>
          <w:i/>
        </w:rPr>
        <w:t xml:space="preserve">The American Statistician</w:t>
      </w:r>
      <w:r>
        <w:t xml:space="preserve"> </w:t>
      </w:r>
      <w:r>
        <w:t xml:space="preserve">50 (1): 21–26.</w:t>
      </w:r>
    </w:p>
    <w:bookmarkEnd w:id="134"/>
    <w:bookmarkStart w:id="135" w:name="ref-vanpool2011quantitative"/>
    <w:p>
      <w:pPr>
        <w:pStyle w:val="Bibliography"/>
      </w:pPr>
      <w:r>
        <w:t xml:space="preserve">VanPool, Todd L, and Robert D Leonard. 2011.</w:t>
      </w:r>
      <w:r>
        <w:t xml:space="preserve"> </w:t>
      </w:r>
      <w:r>
        <w:rPr>
          <w:iCs/>
          <w:i/>
        </w:rPr>
        <w:t xml:space="preserve">Quantitative Analysis in Archaeology</w:t>
      </w:r>
      <w:r>
        <w:t xml:space="preserve">. John Wiley &amp; Sons.</w:t>
      </w:r>
    </w:p>
    <w:bookmarkEnd w:id="135"/>
    <w:bookmarkStart w:id="136" w:name="ref-wierer2013variability"/>
    <w:p>
      <w:pPr>
        <w:pStyle w:val="Bibliography"/>
      </w:pPr>
      <w:r>
        <w:t xml:space="preserve">Wierer, Ursula. 2013.</w:t>
      </w:r>
      <w:r>
        <w:t xml:space="preserve"> </w:t>
      </w:r>
      <w:r>
        <w:t xml:space="preserve">“Variability and Standardization: The Early Gravettian Lithic Complex of Grotta Paglicci, Southern Italy.”</w:t>
      </w:r>
      <w:r>
        <w:t xml:space="preserve"> </w:t>
      </w:r>
      <w:r>
        <w:rPr>
          <w:iCs/>
          <w:i/>
        </w:rPr>
        <w:t xml:space="preserve">Quaternary International</w:t>
      </w:r>
      <w:r>
        <w:t xml:space="preserve"> </w:t>
      </w:r>
      <w:r>
        <w:t xml:space="preserve">288: 215–38.</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 Ben Marwick</dc:creator>
  <cp:keywords/>
  <dcterms:created xsi:type="dcterms:W3CDTF">2022-08-22T21:59:40Z</dcterms:created>
  <dcterms:modified xsi:type="dcterms:W3CDTF">2022-08-22T21:59:40Z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ffiliations">
    <vt:lpwstr/>
  </property>
  <property fmtid="{D5CDD505-2E9C-101B-9397-08002B2CF9AE}" pid="4" name="authors">
    <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