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png" ContentType="image/png"/>
  <Override PartName="/word/media/rId31.png" ContentType="image/png"/>
  <Override PartName="/word/media/rId33.png" ContentType="image/png"/>
  <Override PartName="/word/media/rId35.png" ContentType="image/png"/>
  <Override PartName="/word/media/rId37.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Author</w:t>
      </w:r>
      <w:r>
        <w:t xml:space="preserve"> </w:t>
      </w:r>
      <w:r>
        <w:t xml:space="preserve">Gayoung</w:t>
      </w:r>
      <w:r>
        <w:t xml:space="preserve"> </w:t>
      </w:r>
      <w:r>
        <w:t xml:space="preserve">Park</w:t>
      </w:r>
    </w:p>
    <w:p>
      <w:pPr>
        <w:pStyle w:val="Author"/>
      </w:pPr>
      <w:r>
        <w:t xml:space="preserve">Author</w:t>
      </w:r>
      <w:r>
        <w:t xml:space="preserve"> </w:t>
      </w:r>
      <w:r>
        <w:t xml:space="preserve">Ben</w:t>
      </w:r>
      <w:r>
        <w:t xml:space="preserve"> </w:t>
      </w:r>
      <w:r>
        <w:t xml:space="preserve">Marwick</w:t>
      </w:r>
    </w:p>
    <w:p>
      <w:pPr>
        <w:pStyle w:val="Date"/>
      </w:pPr>
      <w:r>
        <w:t xml:space="preserve">14</w:t>
      </w:r>
      <w:r>
        <w:t xml:space="preserve"> </w:t>
      </w:r>
      <w:r>
        <w:t xml:space="preserve">December,</w:t>
      </w:r>
      <w:r>
        <w:t xml:space="preserve"> </w:t>
      </w:r>
      <w:r>
        <w:t xml:space="preserve">2020</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0" w:name="introduction"/>
    <w:p>
      <w:pPr>
        <w:pStyle w:val="Heading1"/>
      </w:pPr>
      <w:r>
        <w:rPr>
          <w:rStyle w:val="SectionNumber"/>
        </w:rPr>
        <w:t xml:space="preserve">1</w:t>
      </w:r>
      <w:r>
        <w:tab/>
      </w:r>
      <w:r>
        <w:t xml:space="preserve">Introduction</w:t>
      </w:r>
    </w:p>
    <w:p>
      <w:pPr>
        <w:pStyle w:val="FirstParagraph"/>
      </w:pPr>
      <w:r>
        <w:t xml:space="preserve">The appearance of stemmed points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0"/>
    <w:bookmarkStart w:id="22" w:name="background"/>
    <w:p>
      <w:pPr>
        <w:pStyle w:val="Heading1"/>
      </w:pPr>
      <w:r>
        <w:rPr>
          <w:rStyle w:val="SectionNumber"/>
        </w:rPr>
        <w:t xml:space="preserve">2</w:t>
      </w:r>
      <w:r>
        <w:tab/>
      </w: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1" w:name="X466a40c571c7147fc9a065ae6dbce54ce9da78e"/>
    <w:p>
      <w:pPr>
        <w:pStyle w:val="Heading2"/>
      </w:pPr>
      <w:r>
        <w:rPr>
          <w:rStyle w:val="SectionNumber"/>
        </w:rPr>
        <w:t xml:space="preserve">2.1</w:t>
      </w:r>
      <w:r>
        <w:tab/>
      </w: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1"/>
    <w:bookmarkEnd w:id="22"/>
    <w:bookmarkStart w:id="29" w:name="methods"/>
    <w:p>
      <w:pPr>
        <w:pStyle w:val="Heading1"/>
      </w:pPr>
      <w:r>
        <w:rPr>
          <w:rStyle w:val="SectionNumber"/>
        </w:rPr>
        <w:t xml:space="preserve">3</w:t>
      </w:r>
      <w:r>
        <w:tab/>
      </w:r>
      <w:r>
        <w:t xml:space="preserve">Methods</w:t>
      </w:r>
    </w:p>
    <w:bookmarkStart w:id="24" w:name="sites-and-dates"/>
    <w:p>
      <w:pPr>
        <w:pStyle w:val="Heading2"/>
      </w:pPr>
      <w:r>
        <w:rPr>
          <w:rStyle w:val="SectionNumber"/>
        </w:rPr>
        <w:t xml:space="preserve">3.1</w:t>
      </w:r>
      <w:r>
        <w:tab/>
      </w:r>
      <w:r>
        <w:t xml:space="preserve">Sites and dates</w:t>
      </w:r>
    </w:p>
    <w:p>
      <w:pPr>
        <w:pStyle w:val="FirstParagraph"/>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3.1</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p>
      <w:pPr>
        <w:pStyle w:val="CaptionedFigure"/>
      </w:pPr>
      <w:r>
        <w:drawing>
          <wp:inline>
            <wp:extent cx="5943600" cy="4750917"/>
            <wp:effectExtent b="0" l="0" r="0" t="0"/>
            <wp:docPr descr="Figure 3.1: Korean Paleolithic sites mentioned in the text." title="" id="1" name="Picture"/>
            <a:graphic>
              <a:graphicData uri="http://schemas.openxmlformats.org/drawingml/2006/picture">
                <pic:pic>
                  <pic:nvPicPr>
                    <pic:cNvPr descr="/Users/bmarwick/Desktop/koreapaleolithicmobilityoccupation/analysis/figures/001-site-map.png" id="0" name="Picture"/>
                    <pic:cNvPicPr>
                      <a:picLocks noChangeArrowheads="1" noChangeAspect="1"/>
                    </pic:cNvPicPr>
                  </pic:nvPicPr>
                  <pic:blipFill>
                    <a:blip r:embed="rId23"/>
                    <a:stretch>
                      <a:fillRect/>
                    </a:stretch>
                  </pic:blipFill>
                  <pic:spPr bwMode="auto">
                    <a:xfrm>
                      <a:off x="0" y="0"/>
                      <a:ext cx="5943600" cy="4750917"/>
                    </a:xfrm>
                    <a:prstGeom prst="rect">
                      <a:avLst/>
                    </a:prstGeom>
                    <a:noFill/>
                    <a:ln w="9525">
                      <a:noFill/>
                      <a:headEnd/>
                      <a:tailEnd/>
                    </a:ln>
                  </pic:spPr>
                </pic:pic>
              </a:graphicData>
            </a:graphic>
          </wp:inline>
        </w:drawing>
      </w:r>
    </w:p>
    <w:p>
      <w:pPr>
        <w:pStyle w:val="ImageCaption"/>
      </w:pPr>
      <w:r>
        <w:t xml:space="preserve">Figure 3.1: Korean Paleolithic sites mentioned in the text.</w:t>
      </w:r>
    </w:p>
    <w:bookmarkEnd w:id="24"/>
    <w:bookmarkStart w:id="25" w:name="assemblages"/>
    <w:p>
      <w:pPr>
        <w:pStyle w:val="Heading2"/>
      </w:pPr>
      <w:r>
        <w:rPr>
          <w:rStyle w:val="SectionNumber"/>
        </w:rPr>
        <w:t xml:space="preserve">3.2</w:t>
      </w:r>
      <w:r>
        <w:tab/>
      </w: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5"/>
    <w:bookmarkStart w:id="28" w:name="statistical-methods"/>
    <w:p>
      <w:pPr>
        <w:pStyle w:val="Heading2"/>
      </w:pPr>
      <w:r>
        <w:rPr>
          <w:rStyle w:val="SectionNumber"/>
        </w:rPr>
        <w:t xml:space="preserve">3.3</w:t>
      </w:r>
      <w:r>
        <w:tab/>
      </w: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6">
        <w:r>
          <w:rPr>
            <w:rStyle w:val="Hyperlink"/>
          </w:rPr>
          <w:t xml:space="preserve">https://github.com/parkgayoung/koreapaleolithicmobilityoccupation</w:t>
        </w:r>
      </w:hyperlink>
      <w:r>
        <w:t xml:space="preserve"> </w:t>
      </w:r>
      <w:r>
        <w:t xml:space="preserve">as well as on the Open Science Framework:</w:t>
      </w:r>
      <w:r>
        <w:t xml:space="preserve"> </w:t>
      </w:r>
      <w:hyperlink r:id="rId27">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8"/>
    <w:bookmarkEnd w:id="29"/>
    <w:bookmarkStart w:id="42" w:name="results"/>
    <w:p>
      <w:pPr>
        <w:pStyle w:val="Heading1"/>
      </w:pPr>
      <w:r>
        <w:rPr>
          <w:rStyle w:val="SectionNumber"/>
        </w:rPr>
        <w:t xml:space="preserve">4</w:t>
      </w:r>
      <w:r>
        <w:tab/>
      </w:r>
      <w:r>
        <w:t xml:space="preserve">Results</w:t>
      </w:r>
    </w:p>
    <w:bookmarkStart w:id="32" w:name="Xceca0c73981668586c5d5bbc5be80d7ee214b34"/>
    <w:p>
      <w:pPr>
        <w:pStyle w:val="Heading2"/>
      </w:pPr>
      <w:r>
        <w:rPr>
          <w:rStyle w:val="SectionNumber"/>
        </w:rPr>
        <w:t xml:space="preserve">4.1</w:t>
      </w:r>
      <w:r>
        <w:tab/>
      </w:r>
      <w:r>
        <w:t xml:space="preserve">Artefact volumetric density and retouch frequency</w:t>
      </w:r>
    </w:p>
    <w:p>
      <w:pPr>
        <w:pStyle w:val="FirstParagraph"/>
      </w:pPr>
      <w:r>
        <w:t xml:space="preserve">Figure</w:t>
      </w:r>
      <w:r>
        <w:t xml:space="preserve"> </w:t>
      </w:r>
      <w:r>
        <w:t xml:space="preserve">4.1</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4750917"/>
            <wp:effectExtent b="0" l="0" r="0" t="0"/>
            <wp:docPr descr="Figure 4.1: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bmarwick/Desktop/koreapaleolithicmobilityoccupation/analysis/figures/002-age-by-density.png" id="0" name="Picture"/>
                    <pic:cNvPicPr>
                      <a:picLocks noChangeArrowheads="1" noChangeAspect="1"/>
                    </pic:cNvPicPr>
                  </pic:nvPicPr>
                  <pic:blipFill>
                    <a:blip r:embed="rId30"/>
                    <a:stretch>
                      <a:fillRect/>
                    </a:stretch>
                  </pic:blipFill>
                  <pic:spPr bwMode="auto">
                    <a:xfrm>
                      <a:off x="0" y="0"/>
                      <a:ext cx="5943600" cy="4750917"/>
                    </a:xfrm>
                    <a:prstGeom prst="rect">
                      <a:avLst/>
                    </a:prstGeom>
                    <a:noFill/>
                    <a:ln w="9525">
                      <a:noFill/>
                      <a:headEnd/>
                      <a:tailEnd/>
                    </a:ln>
                  </pic:spPr>
                </pic:pic>
              </a:graphicData>
            </a:graphic>
          </wp:inline>
        </w:drawing>
      </w:r>
    </w:p>
    <w:p>
      <w:pPr>
        <w:pStyle w:val="ImageCaption"/>
      </w:pPr>
      <w:r>
        <w:t xml:space="preserve">Figure 4.1: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4.2</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4750917"/>
            <wp:effectExtent b="0" l="0" r="0" t="0"/>
            <wp:docPr descr="Figure 4.2: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bmarwick/Desktop/koreapaleolithicmobilityoccupation/analysis/figures/003-retouch-by-density.png" id="0" name="Picture"/>
                    <pic:cNvPicPr>
                      <a:picLocks noChangeArrowheads="1" noChangeAspect="1"/>
                    </pic:cNvPicPr>
                  </pic:nvPicPr>
                  <pic:blipFill>
                    <a:blip r:embed="rId31"/>
                    <a:stretch>
                      <a:fillRect/>
                    </a:stretch>
                  </pic:blipFill>
                  <pic:spPr bwMode="auto">
                    <a:xfrm>
                      <a:off x="0" y="0"/>
                      <a:ext cx="5943600" cy="4750917"/>
                    </a:xfrm>
                    <a:prstGeom prst="rect">
                      <a:avLst/>
                    </a:prstGeom>
                    <a:noFill/>
                    <a:ln w="9525">
                      <a:noFill/>
                      <a:headEnd/>
                      <a:tailEnd/>
                    </a:ln>
                  </pic:spPr>
                </pic:pic>
              </a:graphicData>
            </a:graphic>
          </wp:inline>
        </w:drawing>
      </w:r>
    </w:p>
    <w:p>
      <w:pPr>
        <w:pStyle w:val="ImageCaption"/>
      </w:pPr>
      <w:r>
        <w:t xml:space="preserve">Figure 4.2: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2"/>
    <w:bookmarkStart w:id="34" w:name="composition-of-toolkit"/>
    <w:p>
      <w:pPr>
        <w:pStyle w:val="Heading2"/>
      </w:pPr>
      <w:r>
        <w:rPr>
          <w:rStyle w:val="SectionNumber"/>
        </w:rPr>
        <w:t xml:space="preserve">4.2</w:t>
      </w:r>
      <w:r>
        <w:tab/>
      </w:r>
      <w:r>
        <w:t xml:space="preserve">Composition of toolkit</w:t>
      </w:r>
    </w:p>
    <w:p>
      <w:pPr>
        <w:pStyle w:val="FirstParagraph"/>
      </w:pPr>
      <w:r>
        <w:t xml:space="preserve">Figure</w:t>
      </w:r>
      <w:r>
        <w:t xml:space="preserve"> </w:t>
      </w:r>
      <w:r>
        <w:t xml:space="preserve">4.3</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4750917"/>
            <wp:effectExtent b="0" l="0" r="0" t="0"/>
            <wp:docPr descr="Figure 4.3: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bmarwick/Desktop/koreapaleolithicmobilityoccupation/analysis/figures/004-artefact-types.png" id="0" name="Picture"/>
                    <pic:cNvPicPr>
                      <a:picLocks noChangeArrowheads="1" noChangeAspect="1"/>
                    </pic:cNvPicPr>
                  </pic:nvPicPr>
                  <pic:blipFill>
                    <a:blip r:embed="rId33"/>
                    <a:stretch>
                      <a:fillRect/>
                    </a:stretch>
                  </pic:blipFill>
                  <pic:spPr bwMode="auto">
                    <a:xfrm>
                      <a:off x="0" y="0"/>
                      <a:ext cx="5943600" cy="4750917"/>
                    </a:xfrm>
                    <a:prstGeom prst="rect">
                      <a:avLst/>
                    </a:prstGeom>
                    <a:noFill/>
                    <a:ln w="9525">
                      <a:noFill/>
                      <a:headEnd/>
                      <a:tailEnd/>
                    </a:ln>
                  </pic:spPr>
                </pic:pic>
              </a:graphicData>
            </a:graphic>
          </wp:inline>
        </w:drawing>
      </w:r>
    </w:p>
    <w:p>
      <w:pPr>
        <w:pStyle w:val="ImageCaption"/>
      </w:pPr>
      <w:r>
        <w:t xml:space="preserve">Figure 4.3: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bookmarkEnd w:id="34"/>
    <w:bookmarkStart w:id="36" w:name="raw-materials"/>
    <w:p>
      <w:pPr>
        <w:pStyle w:val="Heading2"/>
      </w:pPr>
      <w:r>
        <w:rPr>
          <w:rStyle w:val="SectionNumber"/>
        </w:rPr>
        <w:t xml:space="preserve">4.3</w:t>
      </w:r>
      <w:r>
        <w:tab/>
      </w: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4.4</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4750917"/>
            <wp:effectExtent b="0" l="0" r="0" t="0"/>
            <wp:docPr descr="Figure 4.4: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bmarwick/Desktop/koreapaleolithicmobilityoccupation/analysis/figures/005-raw-materials.png" id="0" name="Picture"/>
                    <pic:cNvPicPr>
                      <a:picLocks noChangeArrowheads="1" noChangeAspect="1"/>
                    </pic:cNvPicPr>
                  </pic:nvPicPr>
                  <pic:blipFill>
                    <a:blip r:embed="rId35"/>
                    <a:stretch>
                      <a:fillRect/>
                    </a:stretch>
                  </pic:blipFill>
                  <pic:spPr bwMode="auto">
                    <a:xfrm>
                      <a:off x="0" y="0"/>
                      <a:ext cx="5943600" cy="4750917"/>
                    </a:xfrm>
                    <a:prstGeom prst="rect">
                      <a:avLst/>
                    </a:prstGeom>
                    <a:noFill/>
                    <a:ln w="9525">
                      <a:noFill/>
                      <a:headEnd/>
                      <a:tailEnd/>
                    </a:ln>
                  </pic:spPr>
                </pic:pic>
              </a:graphicData>
            </a:graphic>
          </wp:inline>
        </w:drawing>
      </w:r>
    </w:p>
    <w:p>
      <w:pPr>
        <w:pStyle w:val="ImageCaption"/>
      </w:pPr>
      <w:r>
        <w:t xml:space="preserve">Figure 4.4: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6"/>
    <w:bookmarkStart w:id="39" w:name="environmental-context"/>
    <w:p>
      <w:pPr>
        <w:pStyle w:val="Heading2"/>
      </w:pPr>
      <w:r>
        <w:rPr>
          <w:rStyle w:val="SectionNumber"/>
        </w:rPr>
        <w:t xml:space="preserve">4.4</w:t>
      </w:r>
      <w:r>
        <w:tab/>
      </w:r>
      <w:r>
        <w:t xml:space="preserve">Environmental context</w:t>
      </w:r>
    </w:p>
    <w:p>
      <w:pPr>
        <w:pStyle w:val="FirstParagraph"/>
      </w:pPr>
      <w:r>
        <w:t xml:space="preserve">Figure</w:t>
      </w:r>
      <w:r>
        <w:t xml:space="preserve"> </w:t>
      </w:r>
      <w:r>
        <w:t xml:space="preserve">4.5</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150m at around 39ka. Sites containing stemmed points reach a maximum elevation of 175 m at 28ka.</w:t>
      </w:r>
    </w:p>
    <w:p>
      <w:pPr>
        <w:pStyle w:val="CaptionedFigure"/>
      </w:pPr>
      <w:r>
        <w:drawing>
          <wp:inline>
            <wp:extent cx="5943600" cy="4750917"/>
            <wp:effectExtent b="0" l="0" r="0" t="0"/>
            <wp:docPr descr="Figure 4.5: The main plot shows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bmarwick/Desktop/koreapaleolithicmobilityoccupation/analysis/figures/006-site-elevation.png" id="0" name="Picture"/>
                    <pic:cNvPicPr>
                      <a:picLocks noChangeArrowheads="1" noChangeAspect="1"/>
                    </pic:cNvPicPr>
                  </pic:nvPicPr>
                  <pic:blipFill>
                    <a:blip r:embed="rId37"/>
                    <a:stretch>
                      <a:fillRect/>
                    </a:stretch>
                  </pic:blipFill>
                  <pic:spPr bwMode="auto">
                    <a:xfrm>
                      <a:off x="0" y="0"/>
                      <a:ext cx="5943600" cy="4750917"/>
                    </a:xfrm>
                    <a:prstGeom prst="rect">
                      <a:avLst/>
                    </a:prstGeom>
                    <a:noFill/>
                    <a:ln w="9525">
                      <a:noFill/>
                      <a:headEnd/>
                      <a:tailEnd/>
                    </a:ln>
                  </pic:spPr>
                </pic:pic>
              </a:graphicData>
            </a:graphic>
          </wp:inline>
        </w:drawing>
      </w:r>
    </w:p>
    <w:p>
      <w:pPr>
        <w:pStyle w:val="ImageCaption"/>
      </w:pPr>
      <w:r>
        <w:t xml:space="preserve">Figure 4.5: The main plot shows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4.6</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4457700"/>
            <wp:effectExtent b="0" l="0" r="0" t="0"/>
            <wp:docPr descr="Figure 4.6: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t." title="" id="1" name="Picture"/>
            <a:graphic>
              <a:graphicData uri="http://schemas.openxmlformats.org/drawingml/2006/picture">
                <pic:pic>
                  <pic:nvPicPr>
                    <pic:cNvPr descr="/Users/bmarwick/Desktop/koreapaleolithicmobilityoccupation/analysis/figures/007-climate-model-sites-panel-plot.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4.6: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interval.t.</w:t>
      </w:r>
    </w:p>
    <w:bookmarkEnd w:id="39"/>
    <w:bookmarkStart w:id="41" w:name="demographic-context"/>
    <w:p>
      <w:pPr>
        <w:pStyle w:val="Heading2"/>
      </w:pPr>
      <w:r>
        <w:rPr>
          <w:rStyle w:val="SectionNumber"/>
        </w:rPr>
        <w:t xml:space="preserve">4.5</w:t>
      </w:r>
      <w:r>
        <w:tab/>
      </w:r>
      <w:r>
        <w:t xml:space="preserve">Demographic context</w:t>
      </w:r>
    </w:p>
    <w:p>
      <w:pPr>
        <w:pStyle w:val="FirstParagraph"/>
      </w:pPr>
      <w:r>
        <w:t xml:space="preserve">Figure</w:t>
      </w:r>
      <w:r>
        <w:t xml:space="preserve"> </w:t>
      </w:r>
      <w:r>
        <w:t xml:space="preserve">4.7</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CaptionedFigure"/>
      </w:pPr>
      <w:r>
        <w:drawing>
          <wp:inline>
            <wp:extent cx="5943600" cy="5943600"/>
            <wp:effectExtent b="0" l="0" r="0" t="0"/>
            <wp:docPr descr="Figure 4.7: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 and Arroyo-Kalin, 2019). We excluded the uniform model because it has no fitted curve or surface to evaluate. The best fit model has the lowest AIC score. In this case, the linear model is the best fit, with the next-best fit (exponential) having a higher AIC score by a minor margin at -48.6." title="" id="1" name="Picture"/>
            <a:graphic>
              <a:graphicData uri="http://schemas.openxmlformats.org/drawingml/2006/picture">
                <pic:pic>
                  <pic:nvPicPr>
                    <pic:cNvPr descr="/Users/bmarwick/Desktop/koreapaleolithicmobilityoccupation/analysis/figures/008-summed-probability-distribution-model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4.7: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w:t>
      </w:r>
      <w:r>
        <w:t xml:space="preserve"> </w:t>
      </w:r>
      <w:r>
        <w:t xml:space="preserve">(Riris and Arroyo-Kalin, 2019)</w:t>
      </w:r>
      <w:r>
        <w:t xml:space="preserve">. We excluded the uniform model because it has no fitted curve or surface to evaluate. The best fit model has the lowest AIC score. In this case, the linear model is the best fit, with the next-best fit (exponential) having a higher AIC score by a minor margin at -48.6.</w:t>
      </w:r>
    </w:p>
    <w:bookmarkEnd w:id="41"/>
    <w:bookmarkEnd w:id="42"/>
    <w:bookmarkStart w:id="46" w:name="discussion"/>
    <w:p>
      <w:pPr>
        <w:pStyle w:val="Heading1"/>
      </w:pPr>
      <w:r>
        <w:rPr>
          <w:rStyle w:val="SectionNumber"/>
        </w:rPr>
        <w:t xml:space="preserve">5</w:t>
      </w:r>
      <w:r>
        <w:tab/>
      </w:r>
      <w:r>
        <w:t xml:space="preserve">Discussion</w:t>
      </w:r>
    </w:p>
    <w:p>
      <w:pPr>
        <w:pStyle w:val="FirstParagraph"/>
      </w:pPr>
      <w:r>
        <w:t xml:space="preserve">Our study focussed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3" w:name="X19f6e6975e9634ba1bf11745cf6d8ab754f557c"/>
    <w:p>
      <w:pPr>
        <w:pStyle w:val="Heading2"/>
      </w:pPr>
      <w:r>
        <w:rPr>
          <w:rStyle w:val="SectionNumber"/>
        </w:rPr>
        <w:t xml:space="preserve">5.1</w:t>
      </w:r>
      <w:r>
        <w:tab/>
      </w: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3"/>
    <w:bookmarkStart w:id="44" w:name="Xa4733915f6dd37960f454432da39616ab67e5b0"/>
    <w:p>
      <w:pPr>
        <w:pStyle w:val="Heading2"/>
      </w:pPr>
      <w:r>
        <w:rPr>
          <w:rStyle w:val="SectionNumber"/>
        </w:rPr>
        <w:t xml:space="preserve">5.2</w:t>
      </w:r>
      <w:r>
        <w:tab/>
      </w:r>
      <w:r>
        <w:t xml:space="preserve">Composition of toolkits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4"/>
    <w:bookmarkStart w:id="45" w:name="environmental-and-demographic-context"/>
    <w:p>
      <w:pPr>
        <w:pStyle w:val="Heading2"/>
      </w:pPr>
      <w:r>
        <w:rPr>
          <w:rStyle w:val="SectionNumber"/>
        </w:rPr>
        <w:t xml:space="preserve">5.3</w:t>
      </w:r>
      <w:r>
        <w:tab/>
      </w:r>
      <w:r>
        <w:t xml:space="preserve">Environmental and demographic context</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5"/>
    <w:bookmarkEnd w:id="46"/>
    <w:bookmarkStart w:id="47" w:name="conclusion"/>
    <w:p>
      <w:pPr>
        <w:pStyle w:val="Heading1"/>
      </w:pPr>
      <w:r>
        <w:rPr>
          <w:rStyle w:val="SectionNumber"/>
        </w:rPr>
        <w:t xml:space="preserve">6</w:t>
      </w:r>
      <w:r>
        <w:tab/>
      </w: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7"/>
    <w:bookmarkStart w:id="49" w:name="acknowledgements"/>
    <w:p>
      <w:pPr>
        <w:pStyle w:val="Heading1"/>
      </w:pPr>
      <w:r>
        <w:rPr>
          <w:rStyle w:val="SectionNumber"/>
        </w:rPr>
        <w:t xml:space="preserve">7</w:t>
      </w:r>
      <w:r>
        <w:tab/>
      </w:r>
      <w:r>
        <w:t xml:space="preserve">Acknowledgements</w:t>
      </w:r>
    </w:p>
    <w:bookmarkStart w:id="48" w:name="pagebreak"/>
    <w:p>
      <w:pPr>
        <w:pStyle w:val="Heading5"/>
      </w:pPr>
      <w:r>
        <w:rPr>
          <w:rStyle w:val="SectionNumber"/>
        </w:rPr>
        <w:t xml:space="preserve">7.0.0.0.1</w:t>
      </w:r>
      <w:r>
        <w:tab/>
      </w:r>
      <w:r>
        <w:t xml:space="preserve">pagebreak</w:t>
      </w:r>
    </w:p>
    <w:bookmarkEnd w:id="48"/>
    <w:bookmarkEnd w:id="49"/>
    <w:bookmarkStart w:id="159" w:name="references"/>
    <w:p>
      <w:pPr>
        <w:pStyle w:val="Heading1"/>
      </w:pPr>
      <w:r>
        <w:rPr>
          <w:rStyle w:val="SectionNumber"/>
        </w:rPr>
        <w:t xml:space="preserve">8</w:t>
      </w:r>
      <w:r>
        <w:tab/>
      </w:r>
      <w:r>
        <w:t xml:space="preserve">References</w:t>
      </w:r>
    </w:p>
    <w:bookmarkStart w:id="50" w:name="pagebreak-1"/>
    <w:p>
      <w:pPr>
        <w:pStyle w:val="Heading5"/>
      </w:pPr>
      <w:r>
        <w:rPr>
          <w:rStyle w:val="SectionNumber"/>
        </w:rPr>
        <w:t xml:space="preserve">8.0.0.0.1</w:t>
      </w:r>
      <w:r>
        <w:tab/>
      </w:r>
      <w:r>
        <w:t xml:space="preserve">pagebreak</w:t>
      </w:r>
    </w:p>
    <w:bookmarkEnd w:id="50"/>
    <w:bookmarkStart w:id="158" w:name="colophon"/>
    <w:p>
      <w:pPr>
        <w:pStyle w:val="Heading3"/>
      </w:pPr>
      <w:r>
        <w:rPr>
          <w:rStyle w:val="SectionNumber"/>
        </w:rPr>
        <w:t xml:space="preserve">8.0.1</w:t>
      </w:r>
      <w:r>
        <w:tab/>
      </w:r>
      <w:r>
        <w:t xml:space="preserve">Colophon</w:t>
      </w:r>
    </w:p>
    <w:p>
      <w:pPr>
        <w:pStyle w:val="FirstParagraph"/>
      </w:pPr>
      <w:r>
        <w:t xml:space="preserve">This report was generated on 2020-12-14 23:43:36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2020-12-14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4.0.0)                  </w:t>
      </w:r>
      <w:r>
        <w:br/>
      </w:r>
      <w:r>
        <w:rPr>
          <w:rStyle w:val="VerbatimChar"/>
        </w:rPr>
        <w:t xml:space="preserve">#&gt;  backports        1.1.10  2020-09-15 [1] CRAN (R 4.0.2)                  </w:t>
      </w:r>
      <w:r>
        <w:br/>
      </w:r>
      <w:r>
        <w:rPr>
          <w:rStyle w:val="VerbatimChar"/>
        </w:rPr>
        <w:t xml:space="preserve">#&gt;  bitops           1.0-6   2013-08-17 [1] CRAN (R 4.0.0)                  </w:t>
      </w:r>
      <w:r>
        <w:br/>
      </w:r>
      <w:r>
        <w:rPr>
          <w:rStyle w:val="VerbatimChar"/>
        </w:rPr>
        <w:t xml:space="preserve">#&gt;  blob             1.2.1   2020-01-20 [1] CRAN (R 4.0.0)                  </w:t>
      </w:r>
      <w:r>
        <w:br/>
      </w:r>
      <w:r>
        <w:rPr>
          <w:rStyle w:val="VerbatimChar"/>
        </w:rPr>
        <w:t xml:space="preserve">#&gt;  bookdown         0.21    2020-10-13 [1] CRAN (R 4.0.2)                  </w:t>
      </w:r>
      <w:r>
        <w:br/>
      </w:r>
      <w:r>
        <w:rPr>
          <w:rStyle w:val="VerbatimChar"/>
        </w:rPr>
        <w:t xml:space="preserve">#&gt;  broom            0.7.1   2020-10-02 [1] CRAN (R 4.0.2)                  </w:t>
      </w:r>
      <w:r>
        <w:br/>
      </w:r>
      <w:r>
        <w:rPr>
          <w:rStyle w:val="VerbatimChar"/>
        </w:rPr>
        <w:t xml:space="preserve">#&gt;  callr            3.5.1   2020-10-13 [1] CRAN (R 4.0.2)                  </w:t>
      </w:r>
      <w:r>
        <w:br/>
      </w:r>
      <w:r>
        <w:rPr>
          <w:rStyle w:val="VerbatimChar"/>
        </w:rPr>
        <w:t xml:space="preserve">#&gt;  car              3.0-10  2020-09-29 [1] CRAN (R 4.0.2)                  </w:t>
      </w:r>
      <w:r>
        <w:br/>
      </w:r>
      <w:r>
        <w:rPr>
          <w:rStyle w:val="VerbatimChar"/>
        </w:rPr>
        <w:t xml:space="preserve">#&gt;  carData          3.0-4   2020-05-22 [1] CRAN (R 4.0.0)                  </w:t>
      </w:r>
      <w:r>
        <w:br/>
      </w:r>
      <w:r>
        <w:rPr>
          <w:rStyle w:val="VerbatimChar"/>
        </w:rPr>
        <w:t xml:space="preserve">#&gt;  cellranger       1.1.0   2016-07-27 [1] CRAN (R 4.0.0)                  </w:t>
      </w:r>
      <w:r>
        <w:br/>
      </w:r>
      <w:r>
        <w:rPr>
          <w:rStyle w:val="VerbatimChar"/>
        </w:rPr>
        <w:t xml:space="preserve">#&gt;  cli              2.1.0   2020-10-12 [1] CRAN (R 4.0.2)                  </w:t>
      </w:r>
      <w:r>
        <w:br/>
      </w:r>
      <w:r>
        <w:rPr>
          <w:rStyle w:val="VerbatimChar"/>
        </w:rPr>
        <w:t xml:space="preserve">#&gt;  codetools        0.2-16  2018-12-24 [1] CRAN (R 4.0.3)                  </w:t>
      </w:r>
      <w:r>
        <w:br/>
      </w:r>
      <w:r>
        <w:rPr>
          <w:rStyle w:val="VerbatimChar"/>
        </w:rPr>
        <w:t xml:space="preserve">#&gt;  colorspace       1.4-1   2019-03-18 [1] CRAN (R 4.0.0)                  </w:t>
      </w:r>
      <w:r>
        <w:br/>
      </w:r>
      <w:r>
        <w:rPr>
          <w:rStyle w:val="VerbatimChar"/>
        </w:rPr>
        <w:t xml:space="preserve">#&gt;  cowplot        * 1.1.0   2020-09-08 [1] CRAN (R 4.0.2)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deldir           0.1-29  2020-09-13 [1] CRAN (R 4.0.2)                  </w:t>
      </w:r>
      <w:r>
        <w:br/>
      </w:r>
      <w:r>
        <w:rPr>
          <w:rStyle w:val="VerbatimChar"/>
        </w:rPr>
        <w:t xml:space="preserve">#&gt;  desc             1.2.0   2018-05-01 [1] CRAN (R 4.0.0)                  </w:t>
      </w:r>
      <w:r>
        <w:br/>
      </w:r>
      <w:r>
        <w:rPr>
          <w:rStyle w:val="VerbatimChar"/>
        </w:rPr>
        <w:t xml:space="preserve">#&gt;  devtools         2.3.2   2020-09-18 [1] CRAN (R 4.0.2)                  </w:t>
      </w:r>
      <w:r>
        <w:br/>
      </w:r>
      <w:r>
        <w:rPr>
          <w:rStyle w:val="VerbatimChar"/>
        </w:rPr>
        <w:t xml:space="preserve">#&gt;  digest           0.6.27  2020-10-24 [1] CRAN (R 4.0.2)                  </w:t>
      </w:r>
      <w:r>
        <w:br/>
      </w:r>
      <w:r>
        <w:rPr>
          <w:rStyle w:val="VerbatimChar"/>
        </w:rPr>
        <w:t xml:space="preserve">#&gt;  doSNOW           1.0.18  2019-07-27 [1] CRAN (R 4.0.2)                  </w:t>
      </w:r>
      <w:r>
        <w:br/>
      </w:r>
      <w:r>
        <w:rPr>
          <w:rStyle w:val="VerbatimChar"/>
        </w:rPr>
        <w:t xml:space="preserve">#&gt;  dplyr          * 1.0.2   2020-08-18 [1] CRAN (R 4.0.2)                  </w:t>
      </w:r>
      <w:r>
        <w:br/>
      </w:r>
      <w:r>
        <w:rPr>
          <w:rStyle w:val="VerbatimChar"/>
        </w:rPr>
        <w:t xml:space="preserve">#&gt;  drc            * 3.0-1   2016-08-30 [1] CRAN (R 4.0.2)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forcats        * 0.5.0   2020-03-01 [1] CRAN (R 4.0.0)                  </w:t>
      </w:r>
      <w:r>
        <w:br/>
      </w:r>
      <w:r>
        <w:rPr>
          <w:rStyle w:val="VerbatimChar"/>
        </w:rPr>
        <w:t xml:space="preserve">#&gt;  foreach          1.5.1   2020-10-15 [1] CRAN (R 4.0.2)                  </w:t>
      </w:r>
      <w:r>
        <w:br/>
      </w:r>
      <w:r>
        <w:rPr>
          <w:rStyle w:val="VerbatimChar"/>
        </w:rPr>
        <w:t xml:space="preserve">#&gt;  foreign          0.8-80  2020-05-24 [1] CRAN (R 4.0.3)                  </w:t>
      </w:r>
      <w:r>
        <w:br/>
      </w:r>
      <w:r>
        <w:rPr>
          <w:rStyle w:val="VerbatimChar"/>
        </w:rPr>
        <w:t xml:space="preserve">#&gt;  fs               1.5.0   2020-07-31 [1] CRAN (R 4.0.2)                  </w:t>
      </w:r>
      <w:r>
        <w:br/>
      </w:r>
      <w:r>
        <w:rPr>
          <w:rStyle w:val="VerbatimChar"/>
        </w:rPr>
        <w:t xml:space="preserve">#&gt;  generics         0.0.2   2018-11-29 [1] CRAN (R 4.0.0)                  </w:t>
      </w:r>
      <w:r>
        <w:br/>
      </w:r>
      <w:r>
        <w:rPr>
          <w:rStyle w:val="VerbatimChar"/>
        </w:rPr>
        <w:t xml:space="preserve">#&gt;  ggmap          * 3.0.0   2019-02-05 [1] CRAN (R 4.0.0)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 1.4.2   2020-08-27 [1] CRAN (R 4.0.2)                  </w:t>
      </w:r>
      <w:r>
        <w:br/>
      </w:r>
      <w:r>
        <w:rPr>
          <w:rStyle w:val="VerbatimChar"/>
        </w:rPr>
        <w:t xml:space="preserve">#&gt;  goftest          1.2-2   2019-12-02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iterators        1.0.13  2020-10-15 [1] CRAN (R 4.0.2)                  </w:t>
      </w:r>
      <w:r>
        <w:br/>
      </w:r>
      <w:r>
        <w:rPr>
          <w:rStyle w:val="VerbatimChar"/>
        </w:rPr>
        <w:t xml:space="preserve">#&gt;  jpeg             0.1-8.1 2019-10-24 [1] CRAN (R 4.0.0)                  </w:t>
      </w:r>
      <w:r>
        <w:br/>
      </w:r>
      <w:r>
        <w:rPr>
          <w:rStyle w:val="VerbatimChar"/>
        </w:rPr>
        <w:t xml:space="preserve">#&gt;  jsonlite         1.7.1   2020-09-07 [1] CRAN (R 4.0.2)                  </w:t>
      </w:r>
      <w:r>
        <w:br/>
      </w:r>
      <w:r>
        <w:rPr>
          <w:rStyle w:val="VerbatimChar"/>
        </w:rPr>
        <w:t xml:space="preserve">#&gt;  knitr            1.30    2020-09-22 [1] CRAN (R 4.0.2)                  </w:t>
      </w:r>
      <w:r>
        <w:br/>
      </w:r>
      <w:r>
        <w:rPr>
          <w:rStyle w:val="VerbatimChar"/>
        </w:rPr>
        <w:t xml:space="preserve">#&gt;  labeling         0.4.2   2020-10-20 [1] CRAN (R 4.0.2)                  </w:t>
      </w:r>
      <w:r>
        <w:br/>
      </w:r>
      <w:r>
        <w:rPr>
          <w:rStyle w:val="VerbatimChar"/>
        </w:rPr>
        <w:t xml:space="preserve">#&gt;  lattice        * 0.20-41 2020-04-02 [1] CRAN (R 4.0.3)                  </w:t>
      </w:r>
      <w:r>
        <w:br/>
      </w:r>
      <w:r>
        <w:rPr>
          <w:rStyle w:val="VerbatimChar"/>
        </w:rPr>
        <w:t xml:space="preserve">#&gt;  lifecycle        0.2.0   2020-03-06 [1] CRAN (R 4.0.0)                  </w:t>
      </w:r>
      <w:r>
        <w:br/>
      </w:r>
      <w:r>
        <w:rPr>
          <w:rStyle w:val="VerbatimChar"/>
        </w:rPr>
        <w:t xml:space="preserve">#&gt;  lubridate        1.7.9   2020-06-08 [1] CRAN (R 4.0.1)                  </w:t>
      </w:r>
      <w:r>
        <w:br/>
      </w:r>
      <w:r>
        <w:rPr>
          <w:rStyle w:val="VerbatimChar"/>
        </w:rPr>
        <w:t xml:space="preserve">#&gt;  magrittr         1.5     2014-11-22 [1] CRAN (R 4.0.0)                  </w:t>
      </w:r>
      <w:r>
        <w:br/>
      </w:r>
      <w:r>
        <w:rPr>
          <w:rStyle w:val="VerbatimChar"/>
        </w:rPr>
        <w:t xml:space="preserve">#&gt;  MASS           * 7.3-53  2020-09-09 [1] CRAN (R 4.0.3)                  </w:t>
      </w:r>
      <w:r>
        <w:br/>
      </w:r>
      <w:r>
        <w:rPr>
          <w:rStyle w:val="VerbatimChar"/>
        </w:rPr>
        <w:t xml:space="preserve">#&gt;  Matrix           1.2-18  2019-11-27 [1] CRAN (R 4.0.3)                  </w:t>
      </w:r>
      <w:r>
        <w:br/>
      </w:r>
      <w:r>
        <w:rPr>
          <w:rStyle w:val="VerbatimChar"/>
        </w:rPr>
        <w:t xml:space="preserve">#&gt;  memoise          1.1.0   2017-04-21 [1] CRAN (R 4.0.0)                  </w:t>
      </w:r>
      <w:r>
        <w:br/>
      </w:r>
      <w:r>
        <w:rPr>
          <w:rStyle w:val="VerbatimChar"/>
        </w:rPr>
        <w:t xml:space="preserve">#&gt;  mgcv             1.8-33  2020-08-27 [1] CRAN (R 4.0.3)                  </w:t>
      </w:r>
      <w:r>
        <w:br/>
      </w:r>
      <w:r>
        <w:rPr>
          <w:rStyle w:val="VerbatimChar"/>
        </w:rPr>
        <w:t xml:space="preserve">#&gt;  modelr           0.1.8   2020-05-19 [1] CRAN (R 4.0.0)                  </w:t>
      </w:r>
      <w:r>
        <w:br/>
      </w:r>
      <w:r>
        <w:rPr>
          <w:rStyle w:val="VerbatimChar"/>
        </w:rPr>
        <w:t xml:space="preserve">#&gt;  multcomp         1.4-14  2020-09-23 [1] CRAN (R 4.0.2)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ncdf4          * 1.17    2019-10-23 [1] CRAN (R 4.0.0)                  </w:t>
      </w:r>
      <w:r>
        <w:br/>
      </w:r>
      <w:r>
        <w:rPr>
          <w:rStyle w:val="VerbatimChar"/>
        </w:rPr>
        <w:t xml:space="preserve">#&gt;  nlme             3.1-149 2020-08-23 [1] CRAN (R 4.0.3)                  </w:t>
      </w:r>
      <w:r>
        <w:br/>
      </w:r>
      <w:r>
        <w:rPr>
          <w:rStyle w:val="VerbatimChar"/>
        </w:rPr>
        <w:t xml:space="preserve">#&gt;  openxlsx         4.2.2   2020-09-17 [1] CRAN (R 4.0.2)                  </w:t>
      </w:r>
      <w:r>
        <w:br/>
      </w:r>
      <w:r>
        <w:rPr>
          <w:rStyle w:val="VerbatimChar"/>
        </w:rPr>
        <w:t xml:space="preserve">#&gt;  pillar           1.4.6   2020-07-10 [1] CRAN (R 4.0.0)                  </w:t>
      </w:r>
      <w:r>
        <w:br/>
      </w:r>
      <w:r>
        <w:rPr>
          <w:rStyle w:val="VerbatimChar"/>
        </w:rPr>
        <w:t xml:space="preserve">#&gt;  pkgbuild         1.1.0   2020-07-13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plyr             1.8.6   2020-03-03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polynom          1.4-0   2019-03-22 [1] CRAN (R 4.0.0)                  </w:t>
      </w:r>
      <w:r>
        <w:br/>
      </w:r>
      <w:r>
        <w:rPr>
          <w:rStyle w:val="VerbatimChar"/>
        </w:rPr>
        <w:t xml:space="preserve">#&gt;  prettyunits      1.1.1   2020-01-24 [1] CRAN (R 4.0.0)                  </w:t>
      </w:r>
      <w:r>
        <w:br/>
      </w:r>
      <w:r>
        <w:rPr>
          <w:rStyle w:val="VerbatimChar"/>
        </w:rPr>
        <w:t xml:space="preserve">#&gt;  processx         3.4.4   2020-09-03 [1] CRAN (R 4.0.2)                  </w:t>
      </w:r>
      <w:r>
        <w:br/>
      </w:r>
      <w:r>
        <w:rPr>
          <w:rStyle w:val="VerbatimChar"/>
        </w:rPr>
        <w:t xml:space="preserve">#&gt;  ps               1.4.0   2020-10-07 [1] CRAN (R 4.0.2)                  </w:t>
      </w:r>
      <w:r>
        <w:br/>
      </w:r>
      <w:r>
        <w:rPr>
          <w:rStyle w:val="VerbatimChar"/>
        </w:rPr>
        <w:t xml:space="preserve">#&gt;  purrr          * 0.3.4   2020-04-17 [1] CRAN (R 4.0.0)                  </w:t>
      </w:r>
      <w:r>
        <w:br/>
      </w:r>
      <w:r>
        <w:rPr>
          <w:rStyle w:val="VerbatimChar"/>
        </w:rPr>
        <w:t xml:space="preserve">#&gt;  R6               2.5.0   2020-10-28 [1] CRAN (R 4.0.2)                  </w:t>
      </w:r>
      <w:r>
        <w:br/>
      </w:r>
      <w:r>
        <w:rPr>
          <w:rStyle w:val="VerbatimChar"/>
        </w:rPr>
        <w:t xml:space="preserve">#&gt;  rcarbon        * 1.4.1   2020-10-06 [1] CRAN (R 4.0.2)                  </w:t>
      </w:r>
      <w:r>
        <w:br/>
      </w:r>
      <w:r>
        <w:rPr>
          <w:rStyle w:val="VerbatimChar"/>
        </w:rPr>
        <w:t xml:space="preserve">#&gt;  Rcpp             1.0.5   2020-07-06 [1] CRAN (R 4.0.2)                  </w:t>
      </w:r>
      <w:r>
        <w:br/>
      </w:r>
      <w:r>
        <w:rPr>
          <w:rStyle w:val="VerbatimChar"/>
        </w:rPr>
        <w:t xml:space="preserve">#&gt;  readr          * 1.4.0   2020-10-05 [1] CRAN (R 4.0.2)                  </w:t>
      </w:r>
      <w:r>
        <w:br/>
      </w:r>
      <w:r>
        <w:rPr>
          <w:rStyle w:val="VerbatimChar"/>
        </w:rPr>
        <w:t xml:space="preserve">#&gt;  readxl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RgoogleMaps      1.4.5.3 2020-02-12 [1] CRAN (R 4.0.0)                  </w:t>
      </w:r>
      <w:r>
        <w:br/>
      </w:r>
      <w:r>
        <w:rPr>
          <w:rStyle w:val="VerbatimChar"/>
        </w:rPr>
        <w:t xml:space="preserve">#&gt;  rio              0.5.16  2018-11-26 [1] CRAN (R 4.0.2)                  </w:t>
      </w:r>
      <w:r>
        <w:br/>
      </w:r>
      <w:r>
        <w:rPr>
          <w:rStyle w:val="VerbatimChar"/>
        </w:rPr>
        <w:t xml:space="preserve">#&gt;  rjson            0.2.20  2018-06-08 [1] CRAN (R 4.0.0)                  </w:t>
      </w:r>
      <w:r>
        <w:br/>
      </w:r>
      <w:r>
        <w:rPr>
          <w:rStyle w:val="VerbatimChar"/>
        </w:rPr>
        <w:t xml:space="preserve">#&gt;  rlang            0.4.8   2020-10-08 [1] CRAN (R 4.0.2)                  </w:t>
      </w:r>
      <w:r>
        <w:br/>
      </w:r>
      <w:r>
        <w:rPr>
          <w:rStyle w:val="VerbatimChar"/>
        </w:rPr>
        <w:t xml:space="preserve">#&gt;  rmarkdown        2.5     2020-10-21 [1] CRAN (R 4.0.3)                  </w:t>
      </w:r>
      <w:r>
        <w:br/>
      </w:r>
      <w:r>
        <w:rPr>
          <w:rStyle w:val="VerbatimChar"/>
        </w:rPr>
        <w:t xml:space="preserve">#&gt;  rpart            4.1-15  2019-04-12 [1] CRAN (R 4.0.3)                  </w:t>
      </w:r>
      <w:r>
        <w:br/>
      </w:r>
      <w:r>
        <w:rPr>
          <w:rStyle w:val="VerbatimChar"/>
        </w:rPr>
        <w:t xml:space="preserve">#&gt;  rprojroot        1.3-2   2018-01-03 [1] CRAN (R 4.0.0)                  </w:t>
      </w:r>
      <w:r>
        <w:br/>
      </w:r>
      <w:r>
        <w:rPr>
          <w:rStyle w:val="VerbatimChar"/>
        </w:rPr>
        <w:t xml:space="preserve">#&gt;  rstatix          0.6.0   2020-06-18 [1] CRAN (R 4.0.1)                  </w:t>
      </w:r>
      <w:r>
        <w:br/>
      </w:r>
      <w:r>
        <w:rPr>
          <w:rStyle w:val="VerbatimChar"/>
        </w:rPr>
        <w:t xml:space="preserve">#&gt;  rstudioapi       0.11    2020-02-07 [1] CRAN (R 4.0.0)                  </w:t>
      </w:r>
      <w:r>
        <w:br/>
      </w:r>
      <w:r>
        <w:rPr>
          <w:rStyle w:val="VerbatimChar"/>
        </w:rPr>
        <w:t xml:space="preserve">#&gt;  rvest            0.3.6   2020-07-25 [1] CRAN (R 4.0.2)                  </w:t>
      </w:r>
      <w:r>
        <w:br/>
      </w:r>
      <w:r>
        <w:rPr>
          <w:rStyle w:val="VerbatimChar"/>
        </w:rPr>
        <w:t xml:space="preserve">#&gt;  sandwich         3.0-0   2020-10-02 [1] CRAN (R 4.0.2)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snow             0.4-3   2018-09-14 [1] CRAN (R 4.0.2)                  </w:t>
      </w:r>
      <w:r>
        <w:br/>
      </w:r>
      <w:r>
        <w:rPr>
          <w:rStyle w:val="VerbatimChar"/>
        </w:rPr>
        <w:t xml:space="preserve">#&gt;  sp               1.4-4   2020-10-07 [1] CRAN (R 4.0.2)                  </w:t>
      </w:r>
      <w:r>
        <w:br/>
      </w:r>
      <w:r>
        <w:rPr>
          <w:rStyle w:val="VerbatimChar"/>
        </w:rPr>
        <w:t xml:space="preserve">#&gt;  spatstat         1.64-1  2020-05-12 [1] CRAN (R 4.0.0)                  </w:t>
      </w:r>
      <w:r>
        <w:br/>
      </w:r>
      <w:r>
        <w:rPr>
          <w:rStyle w:val="VerbatimChar"/>
        </w:rPr>
        <w:t xml:space="preserve">#&gt;  spatstat.data    1.4-3   2020-01-26 [1] CRAN (R 4.0.0)                  </w:t>
      </w:r>
      <w:r>
        <w:br/>
      </w:r>
      <w:r>
        <w:rPr>
          <w:rStyle w:val="VerbatimChar"/>
        </w:rPr>
        <w:t xml:space="preserve">#&gt;  spatstat.utils   1.17-0  2020-02-07 [1] CRAN (R 4.0.0)                  </w:t>
      </w:r>
      <w:r>
        <w:br/>
      </w:r>
      <w:r>
        <w:rPr>
          <w:rStyle w:val="VerbatimChar"/>
        </w:rPr>
        <w:t xml:space="preserve">#&gt;  stringi          1.5.3   2020-09-09 [1] CRAN (R 4.0.2)                  </w:t>
      </w:r>
      <w:r>
        <w:br/>
      </w:r>
      <w:r>
        <w:rPr>
          <w:rStyle w:val="VerbatimChar"/>
        </w:rPr>
        <w:t xml:space="preserve">#&gt;  stringr        * 1.4.0   2019-02-10 [1] CRAN (R 4.0.0)                  </w:t>
      </w:r>
      <w:r>
        <w:br/>
      </w:r>
      <w:r>
        <w:rPr>
          <w:rStyle w:val="VerbatimChar"/>
        </w:rPr>
        <w:t xml:space="preserve">#&gt;  survival         3.2-7   2020-09-28 [1] CRAN (R 4.0.3)                  </w:t>
      </w:r>
      <w:r>
        <w:br/>
      </w:r>
      <w:r>
        <w:rPr>
          <w:rStyle w:val="VerbatimChar"/>
        </w:rPr>
        <w:t xml:space="preserve">#&gt;  tensor           1.5     2012-05-05 [1] CRAN (R 4.0.0)                  </w:t>
      </w:r>
      <w:r>
        <w:br/>
      </w:r>
      <w:r>
        <w:rPr>
          <w:rStyle w:val="VerbatimChar"/>
        </w:rPr>
        <w:t xml:space="preserve">#&gt;  testthat         2.3.2   2020-03-02 [1] CRAN (R 4.0.0)                  </w:t>
      </w:r>
      <w:r>
        <w:br/>
      </w:r>
      <w:r>
        <w:rPr>
          <w:rStyle w:val="VerbatimChar"/>
        </w:rPr>
        <w:t xml:space="preserve">#&gt;  TH.data          1.0-10  2019-01-21 [1] CRAN (R 4.0.0)                  </w:t>
      </w:r>
      <w:r>
        <w:br/>
      </w:r>
      <w:r>
        <w:rPr>
          <w:rStyle w:val="VerbatimChar"/>
        </w:rPr>
        <w:t xml:space="preserve">#&gt;  tibble         * 3.0.4   2020-10-12 [1] CRAN (R 4.0.2)                  </w:t>
      </w:r>
      <w:r>
        <w:br/>
      </w:r>
      <w:r>
        <w:rPr>
          <w:rStyle w:val="VerbatimChar"/>
        </w:rPr>
        <w:t xml:space="preserve">#&gt;  tidyr          * 1.1.2   2020-08-27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usethis          1.6.3   2020-09-17 [1] CRAN (R 4.0.2)                  </w:t>
      </w:r>
      <w:r>
        <w:br/>
      </w:r>
      <w:r>
        <w:rPr>
          <w:rStyle w:val="VerbatimChar"/>
        </w:rPr>
        <w:t xml:space="preserve">#&gt;  vctrs            0.3.4   2020-08-29 [1] CRAN (R 4.0.2)                  </w:t>
      </w:r>
      <w:r>
        <w:br/>
      </w:r>
      <w:r>
        <w:rPr>
          <w:rStyle w:val="VerbatimChar"/>
        </w:rPr>
        <w:t xml:space="preserve">#&gt;  viridisLite      0.3.0   2018-02-01 [1] CRAN (R 4.0.0)                  </w:t>
      </w:r>
      <w:r>
        <w:br/>
      </w:r>
      <w:r>
        <w:rPr>
          <w:rStyle w:val="VerbatimChar"/>
        </w:rPr>
        <w:t xml:space="preserve">#&gt;  withr            2.3.0   2020-09-22 [1] CRAN (R 4.0.2)                  </w:t>
      </w:r>
      <w:r>
        <w:br/>
      </w:r>
      <w:r>
        <w:rPr>
          <w:rStyle w:val="VerbatimChar"/>
        </w:rPr>
        <w:t xml:space="preserve">#&gt;  xfun             0.18    2020-09-29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2.1.1   2020-08-27 [1] CRAN (R 4.0.2)                  </w:t>
      </w:r>
      <w:r>
        <w:br/>
      </w:r>
      <w:r>
        <w:rPr>
          <w:rStyle w:val="VerbatimChar"/>
        </w:rPr>
        <w:t xml:space="preserve">#&gt;  zoo              1.8-8   2020-05-02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/Users/bmarwick/Desktop/koreapaleolithicmobilityoccupation</w:t>
      </w:r>
      <w:r>
        <w:br/>
      </w:r>
      <w:r>
        <w:rPr>
          <w:rStyle w:val="VerbatimChar"/>
        </w:rPr>
        <w:t xml:space="preserve">#&gt; Remote:   master @ origin (https://github.com/parkgayoung/koreapaleolithicmobilityoccupation)</w:t>
      </w:r>
      <w:r>
        <w:br/>
      </w:r>
      <w:r>
        <w:rPr>
          <w:rStyle w:val="VerbatimChar"/>
        </w:rPr>
        <w:t xml:space="preserve">#&gt; Head:     [7b19109] 2020-12-14: fixed rmd file</w:t>
      </w:r>
    </w:p>
    <w:bookmarkStart w:id="157" w:name="refs"/>
    <w:bookmarkStart w:id="51" w:name="ref-andrefsky1994raw"/>
    <w:p>
      <w:pPr>
        <w:pStyle w:val="Bibliography"/>
      </w:pPr>
      <w:r>
        <w:t xml:space="preserve">Andrefsky, W., 1994. Raw-material availability and the organization of technology. American Antiquity 59, 21–34.</w:t>
      </w:r>
    </w:p>
    <w:bookmarkEnd w:id="51"/>
    <w:bookmarkStart w:id="52" w:name="ref-bae2012nature"/>
    <w:p>
      <w:pPr>
        <w:pStyle w:val="Bibliography"/>
      </w:pPr>
      <w:r>
        <w:t xml:space="preserve">Bae, C.J., Bae, K., 2012. The nature of the early to late paleolithic transition in korea: Current perspectives. Quaternary International 281, 26–35.</w:t>
      </w:r>
    </w:p>
    <w:bookmarkEnd w:id="52"/>
    <w:bookmarkStart w:id="53" w:name="ref-bae2013early"/>
    <w:p>
      <w:pPr>
        <w:pStyle w:val="Bibliography"/>
      </w:pPr>
      <w:r>
        <w:t xml:space="preserve">Bae, C.J., Bae, K., Kim, J.C., 2013. The early to late paleolithic transition in korea: A closer look. Radiocarbon 55, 1341–1349.</w:t>
      </w:r>
    </w:p>
    <w:bookmarkEnd w:id="53"/>
    <w:bookmarkStart w:id="54" w:name="ref-bae2017origin"/>
    <w:p>
      <w:pPr>
        <w:pStyle w:val="Bibliography"/>
      </w:pPr>
      <w:r>
        <w:t xml:space="preserve">Bae, C.J., Douka, K., Petraglia, M.D., 2017. On the origin of modern humans: Asian perspectives. Science 358, eaai9067.</w:t>
      </w:r>
    </w:p>
    <w:bookmarkEnd w:id="54"/>
    <w:bookmarkStart w:id="55" w:name="ref-bae2010origin"/>
    <w:p>
      <w:pPr>
        <w:pStyle w:val="Bibliography"/>
      </w:pPr>
      <w:r>
        <w:t xml:space="preserve">Bae, K., 2010. Origin and patterns of the upper paleolithic industries in the korean peninsula and movement of modern humans in east asia. Quaternary International 211, 103–112.</w:t>
      </w:r>
    </w:p>
    <w:bookmarkEnd w:id="55"/>
    <w:bookmarkStart w:id="56" w:name="ref-bak2017late"/>
    <w:p>
      <w:pPr>
        <w:pStyle w:val="Bibliography"/>
      </w:pPr>
      <w:r>
        <w:t xml:space="preserve">BAK, Y.-S., LEE, Y.-U., 2017. Late quaternary paleoclimatic change in the ulleung basin, east sea, korea. Acta Geologica Sinica-English Edition 91, 263–269.</w:t>
      </w:r>
    </w:p>
    <w:bookmarkEnd w:id="56"/>
    <w:bookmarkStart w:id="57" w:name="ref-bamforth2009projectile"/>
    <w:p>
      <w:pPr>
        <w:pStyle w:val="Bibliography"/>
      </w:pPr>
      <w:r>
        <w:t xml:space="preserve">Bamforth, D.B., 2009. Projectile points, people, and plains paleoindian perambulations. Journal of Anthropological Archaeology 28, 142–157.</w:t>
      </w:r>
    </w:p>
    <w:bookmarkEnd w:id="57"/>
    <w:bookmarkStart w:id="58"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8"/>
    <w:bookmarkStart w:id="59"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59"/>
    <w:bookmarkStart w:id="60" w:name="ref-Bar-Yosef_2002"/>
    <w:p>
      <w:pPr>
        <w:pStyle w:val="Bibliography"/>
      </w:pPr>
      <w:r>
        <w:t xml:space="preserve">Bar-Yosef, O., 2002. The upper paleolithic revolution. Annual Review of Anthropology 31, 363–393.</w:t>
      </w:r>
    </w:p>
    <w:bookmarkEnd w:id="60"/>
    <w:bookmarkStart w:id="61" w:name="ref-bar1999big"/>
    <w:p>
      <w:pPr>
        <w:pStyle w:val="Bibliography"/>
      </w:pPr>
      <w:r>
        <w:t xml:space="preserve">Bar-Yosef, O., Kuhn, S.L., 1999. The big deal about blades: Laminar technologies and human evolution. American Anthropologist 101, 322–338.</w:t>
      </w:r>
    </w:p>
    <w:bookmarkEnd w:id="61"/>
    <w:bookmarkStart w:id="62"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2"/>
    <w:bookmarkStart w:id="63"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3"/>
    <w:bookmarkStart w:id="64" w:name="ref-beyer2020high"/>
    <w:p>
      <w:pPr>
        <w:pStyle w:val="Bibliography"/>
      </w:pPr>
      <w:r>
        <w:t xml:space="preserve">Beyer, R.M., Krapp, M., Manica, A., 2020. High-resolution terrestrial climate, bioclimate and vegetation for the last 120,000 years. Scientific Data 7, 1–9.</w:t>
      </w:r>
    </w:p>
    <w:bookmarkEnd w:id="64"/>
    <w:bookmarkStart w:id="65" w:name="ref-binford1979organization"/>
    <w:p>
      <w:pPr>
        <w:pStyle w:val="Bibliography"/>
      </w:pPr>
      <w:r>
        <w:t xml:space="preserve">Binford, L.R., 1979. Organization and formation processes: Looking at curated technologies. Journal of anthropological research 35, 255–273.</w:t>
      </w:r>
    </w:p>
    <w:bookmarkEnd w:id="65"/>
    <w:bookmarkStart w:id="66" w:name="ref-brantingham2003neutral"/>
    <w:p>
      <w:pPr>
        <w:pStyle w:val="Bibliography"/>
      </w:pPr>
      <w:r>
        <w:t xml:space="preserve">Brantingham, P.J., 2003. A neutral model of stone raw material procurement. American Antiquity 68, 487–509.</w:t>
      </w:r>
    </w:p>
    <w:bookmarkEnd w:id="66"/>
    <w:bookmarkStart w:id="67" w:name="ref-brantingham2001initial"/>
    <w:p>
      <w:pPr>
        <w:pStyle w:val="Bibliography"/>
      </w:pPr>
      <w:r>
        <w:t xml:space="preserve">Brantingham, P.J., Krivoshapkin, A., Jinzeng, L., Tserendagva, Y., 2001. The initial upper paleolithic in northeast asia. Current Anthropology 42, 735–746.</w:t>
      </w:r>
    </w:p>
    <w:bookmarkEnd w:id="67"/>
    <w:bookmarkStart w:id="68"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8"/>
    <w:bookmarkStart w:id="70"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69">
        <w:r>
          <w:rPr>
            <w:rStyle w:val="Hyperlink"/>
          </w:rPr>
          <w:t xml:space="preserve">https://doi.org/10.1016/j.jas.2010.07.021</w:t>
        </w:r>
      </w:hyperlink>
    </w:p>
    <w:bookmarkEnd w:id="70"/>
    <w:bookmarkStart w:id="71" w:name="ref-browne1940projectile"/>
    <w:p>
      <w:pPr>
        <w:pStyle w:val="Bibliography"/>
      </w:pPr>
      <w:r>
        <w:t xml:space="preserve">Browne, J., 1940. Projectile points. American Antiquity 5, 209–213.</w:t>
      </w:r>
    </w:p>
    <w:bookmarkEnd w:id="71"/>
    <w:bookmarkStart w:id="72"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2"/>
    <w:bookmarkStart w:id="73" w:name="ref-buvit2014late"/>
    <w:p>
      <w:pPr>
        <w:pStyle w:val="Bibliography"/>
      </w:pPr>
      <w:r>
        <w:t xml:space="preserve">Buvit, I., Izuho, M., Terry, K., Shitaoka, Y., Soda, T., Kunikita, D., 2014. Late pleistocene geology and paleolithic archaeology of the shimaki site, hokkaido, japan. Geoarchaeology 29, 221–237.</w:t>
      </w:r>
    </w:p>
    <w:bookmarkEnd w:id="73"/>
    <w:bookmarkStart w:id="74"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4"/>
    <w:bookmarkStart w:id="75"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5"/>
    <w:bookmarkStart w:id="76" w:name="ref-cardillo2010some"/>
    <w:p>
      <w:pPr>
        <w:pStyle w:val="Bibliography"/>
      </w:pPr>
      <w:r>
        <w:t xml:space="preserve">Cardillo, M., 2010. Some applications of geometric morphometrics to archaeology, in: Morphometrics for Nonmorphometricians. Springer, pp. 325–341.</w:t>
      </w:r>
    </w:p>
    <w:bookmarkEnd w:id="76"/>
    <w:bookmarkStart w:id="77"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7"/>
    <w:bookmarkStart w:id="78" w:name="ref-chang2013human"/>
    <w:p>
      <w:pPr>
        <w:pStyle w:val="Bibliography"/>
      </w:pPr>
      <w:r>
        <w:t xml:space="preserve">Chang, Y., 2013. Human activity and lithic technology between korea and japan from MIS 3 to MIS 2 in the late paleolithic period. Quaternary International 308, 13–26.</w:t>
      </w:r>
    </w:p>
    <w:bookmarkEnd w:id="78"/>
    <w:bookmarkStart w:id="79" w:name="ref-Choi_2011"/>
    <w:p>
      <w:pPr>
        <w:pStyle w:val="Bibliography"/>
      </w:pPr>
      <w:r>
        <w:t xml:space="preserve">Choi, S.-Y., 2011. Natural environment of the paleolithic in gangwon region. Journal of Humanity and Science 28.</w:t>
      </w:r>
    </w:p>
    <w:bookmarkEnd w:id="79"/>
    <w:bookmarkStart w:id="80"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80"/>
    <w:bookmarkStart w:id="81" w:name="ref-clark2019landscapes"/>
    <w:p>
      <w:pPr>
        <w:pStyle w:val="Bibliography"/>
      </w:pPr>
      <w:r>
        <w:t xml:space="preserve">Clark, G., Barton, C.M., Straus, L.G., 2019. Landscapes, climate change &amp; forager mobility in the upper paleolithic of northern spain. Quaternary International 515, 176–187.</w:t>
      </w:r>
    </w:p>
    <w:bookmarkEnd w:id="81"/>
    <w:bookmarkStart w:id="82" w:name="ref-clark2009last"/>
    <w:p>
      <w:pPr>
        <w:pStyle w:val="Bibliography"/>
      </w:pPr>
      <w:r>
        <w:t xml:space="preserve">Clark, P.U., Dyke, A.S., Shakun, J.D., Carlson, A.E., Clark, J., Wohlfarth, B., Mitrovica, J.X., Hostetler, S.W., McCabe, A.M., 2009. The last glacial maximum. science 325, 710–714.</w:t>
      </w:r>
    </w:p>
    <w:bookmarkEnd w:id="82"/>
    <w:bookmarkStart w:id="83"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3"/>
    <w:bookmarkStart w:id="84"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4"/>
    <w:bookmarkStart w:id="85" w:name="ref-cremaanalysing"/>
    <w:p>
      <w:pPr>
        <w:pStyle w:val="Bibliography"/>
      </w:pPr>
      <w:r>
        <w:t xml:space="preserve">Crema, E., Bevan, A., n.d. Analysing radiocarbon dates using the rcarbon package.</w:t>
      </w:r>
    </w:p>
    <w:bookmarkEnd w:id="85"/>
    <w:bookmarkStart w:id="86" w:name="ref-davies2018modeling"/>
    <w:p>
      <w:pPr>
        <w:pStyle w:val="Bibliography"/>
      </w:pPr>
      <w:r>
        <w:t xml:space="preserve">Davies, B., Holdaway, S.J., Fanning, P.C., 2018. Modeling relationships between space, movement, and lithic geometric attributes. American Antiquity 83, 444–461.</w:t>
      </w:r>
    </w:p>
    <w:bookmarkEnd w:id="86"/>
    <w:bookmarkStart w:id="87" w:name="ref-gao2014discovery"/>
    <w:p>
      <w:pPr>
        <w:pStyle w:val="Bibliography"/>
      </w:pPr>
      <w:r>
        <w:t xml:space="preserve">Gao, X., Guan, Y., Chen, F., Yi, M., Pei, S., Wang, H., 2014. The discovery of late paleolithic boiling stones at SDG 12, north china. Quaternary international 347, 91–96.</w:t>
      </w:r>
    </w:p>
    <w:bookmarkEnd w:id="87"/>
    <w:bookmarkStart w:id="89"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8">
        <w:r>
          <w:rPr>
            <w:rStyle w:val="Hyperlink"/>
          </w:rPr>
          <w:t xml:space="preserve">https://doi.org/10.1007/s11430-010-4099-4</w:t>
        </w:r>
      </w:hyperlink>
    </w:p>
    <w:bookmarkEnd w:id="89"/>
    <w:bookmarkStart w:id="90"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90"/>
    <w:bookmarkStart w:id="91" w:name="ref-Han_2008"/>
    <w:p>
      <w:pPr>
        <w:pStyle w:val="Bibliography"/>
      </w:pPr>
      <w:r>
        <w:t xml:space="preserve">Han, C., 2008. Natural environment of the upper paleolithic period in korea. Journal of the Korean Archaeological Society 33, 3–46.</w:t>
      </w:r>
    </w:p>
    <w:bookmarkEnd w:id="91"/>
    <w:bookmarkStart w:id="93" w:name="ref-Hiscock_1994"/>
    <w:p>
      <w:pPr>
        <w:pStyle w:val="Bibliography"/>
      </w:pPr>
      <w:r>
        <w:t xml:space="preserve">Hiscock, P., 1994. Technological responses to risk in holocene australia. Journal of World Prehistory 8, 267–292.</w:t>
      </w:r>
      <w:r>
        <w:t xml:space="preserve"> </w:t>
      </w:r>
      <w:hyperlink r:id="rId92">
        <w:r>
          <w:rPr>
            <w:rStyle w:val="Hyperlink"/>
          </w:rPr>
          <w:t xml:space="preserve">https://doi.org/10.1007/BF02221051</w:t>
        </w:r>
      </w:hyperlink>
    </w:p>
    <w:bookmarkEnd w:id="93"/>
    <w:bookmarkStart w:id="95"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4">
        <w:r>
          <w:rPr>
            <w:rStyle w:val="Hyperlink"/>
          </w:rPr>
          <w:t xml:space="preserve">https://doi.org/10.1080/00438243.2011.624755</w:t>
        </w:r>
      </w:hyperlink>
    </w:p>
    <w:bookmarkEnd w:id="95"/>
    <w:bookmarkStart w:id="96" w:name="ref-holdaway2019surface"/>
    <w:p>
      <w:pPr>
        <w:pStyle w:val="Bibliography"/>
      </w:pPr>
      <w:r>
        <w:t xml:space="preserve">Holdaway, S.J., Davies, B., 2019. Surface stone artifact scatters, settlement patterns, and new methods for stone artifact analysis. Journal of Paleolithic Archaeology 1–21.</w:t>
      </w:r>
    </w:p>
    <w:bookmarkEnd w:id="96"/>
    <w:bookmarkStart w:id="97"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7"/>
    <w:bookmarkStart w:id="98"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8"/>
    <w:bookmarkStart w:id="100" w:name="ref-Keeley_1982"/>
    <w:p>
      <w:pPr>
        <w:pStyle w:val="Bibliography"/>
      </w:pPr>
      <w:r>
        <w:t xml:space="preserve">Keeley, L.H., 1982. Hafting and retooling: Effects on the archaeological record. American Antiquity 47, 798–809.</w:t>
      </w:r>
      <w:r>
        <w:t xml:space="preserve"> </w:t>
      </w:r>
      <w:hyperlink r:id="rId99">
        <w:r>
          <w:rPr>
            <w:rStyle w:val="Hyperlink"/>
          </w:rPr>
          <w:t xml:space="preserve">https://doi.org/10.2307/280285</w:t>
        </w:r>
      </w:hyperlink>
    </w:p>
    <w:bookmarkEnd w:id="100"/>
    <w:bookmarkStart w:id="101" w:name="ref-kelly1995foraging"/>
    <w:p>
      <w:pPr>
        <w:pStyle w:val="Bibliography"/>
      </w:pPr>
      <w:r>
        <w:t xml:space="preserve">Kelly, R.L., 1995. The foraging spectrum: Diversity in hunter-gatherer lifeways. Smithsonian Institution Press Washington, DC.</w:t>
      </w:r>
    </w:p>
    <w:bookmarkEnd w:id="101"/>
    <w:bookmarkStart w:id="102" w:name="ref-kim2004yongsan"/>
    <w:p>
      <w:pPr>
        <w:pStyle w:val="Bibliography"/>
      </w:pPr>
      <w:r>
        <w:t xml:space="preserve">Kim, H.-I., 2004. Yongsan-dong paleolithic site, daejeon. Hanguk Guseoki Hakbo 10, 83–94.</w:t>
      </w:r>
    </w:p>
    <w:bookmarkEnd w:id="102"/>
    <w:bookmarkStart w:id="103" w:name="ref-kline2010population"/>
    <w:p>
      <w:pPr>
        <w:pStyle w:val="Bibliography"/>
      </w:pPr>
      <w:r>
        <w:t xml:space="preserve">Kline, M.A., Boyd, R., 2010. Population size predicts technological complexity in oceania. Proceedings of the Royal Society B: Biological Sciences 277, 2559–2564.</w:t>
      </w:r>
    </w:p>
    <w:bookmarkEnd w:id="103"/>
    <w:bookmarkStart w:id="104" w:name="ref-kuhn2014mousterian"/>
    <w:p>
      <w:pPr>
        <w:pStyle w:val="Bibliography"/>
      </w:pPr>
      <w:r>
        <w:t xml:space="preserve">Kuhn, S.L., 2014. Mousterian lithic technology: An ecological perspective. Princeton University Press.</w:t>
      </w:r>
    </w:p>
    <w:bookmarkEnd w:id="104"/>
    <w:bookmarkStart w:id="105"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5"/>
    <w:bookmarkStart w:id="106" w:name="ref-kuhn1994formal"/>
    <w:p>
      <w:pPr>
        <w:pStyle w:val="Bibliography"/>
      </w:pPr>
      <w:r>
        <w:t xml:space="preserve">Kuhn, S.L., 1994. A formal approach to the design and assembly of mobile toolkits. American Antiquity 59, 426–442.</w:t>
      </w:r>
    </w:p>
    <w:bookmarkEnd w:id="106"/>
    <w:bookmarkStart w:id="107"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7"/>
    <w:bookmarkStart w:id="109" w:name="ref-Kuhn_1990"/>
    <w:p>
      <w:pPr>
        <w:pStyle w:val="Bibliography"/>
      </w:pPr>
      <w:r>
        <w:t xml:space="preserve">Kuhn, S.L., 1990. A geometric index of reduction for unifacial stone tools. Journal of Archaeological Science 17, 583–593.</w:t>
      </w:r>
      <w:r>
        <w:t xml:space="preserve"> </w:t>
      </w:r>
      <w:hyperlink r:id="rId108">
        <w:r>
          <w:rPr>
            <w:rStyle w:val="Hyperlink"/>
          </w:rPr>
          <w:t xml:space="preserve">https://doi.org/10.1016/0305-4403(90)90038-7</w:t>
        </w:r>
      </w:hyperlink>
    </w:p>
    <w:bookmarkEnd w:id="109"/>
    <w:bookmarkStart w:id="110" w:name="ref-kuhn2015artifacts"/>
    <w:p>
      <w:pPr>
        <w:pStyle w:val="Bibliography"/>
      </w:pPr>
      <w:r>
        <w:t xml:space="preserve">Kuhn, S.L., Miller, D.S., 2015. Artifacts as patches: The marginal value theorem and stone tool life histories. Lithic technological systems and evolutionary theory 172.</w:t>
      </w:r>
    </w:p>
    <w:bookmarkEnd w:id="110"/>
    <w:bookmarkStart w:id="111" w:name="ref-kuhn2016moves"/>
    <w:p>
      <w:pPr>
        <w:pStyle w:val="Bibliography"/>
      </w:pPr>
      <w:r>
        <w:t xml:space="preserve">Kuhn, S.L., Raichlen, D.A., Clark, A.E., 2016. What moves us? How mobility and movement are at the center of human evolution. Evolutionary Anthropology: Issues, News, and Reviews 25, 86–97.</w:t>
      </w:r>
    </w:p>
    <w:bookmarkEnd w:id="111"/>
    <w:bookmarkStart w:id="112" w:name="ref-lee2012characteristics"/>
    <w:p>
      <w:pPr>
        <w:pStyle w:val="Bibliography"/>
      </w:pPr>
      <w:r>
        <w:t xml:space="preserve">Lee, G., 2012. Characteristics of paleolithic industries in southwestern korea during MIS 3 and MIS 2. Quaternary International 248, 12–21.</w:t>
      </w:r>
    </w:p>
    <w:bookmarkEnd w:id="112"/>
    <w:bookmarkStart w:id="113"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3"/>
    <w:bookmarkStart w:id="115"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4">
        <w:r>
          <w:rPr>
            <w:rStyle w:val="Hyperlink"/>
          </w:rPr>
          <w:t xml:space="preserve">https://doi.org/10.1016/j.quaint.2015.06.019</w:t>
        </w:r>
      </w:hyperlink>
    </w:p>
    <w:bookmarkEnd w:id="115"/>
    <w:bookmarkStart w:id="116" w:name="ref-lee2013current"/>
    <w:p>
      <w:pPr>
        <w:pStyle w:val="Bibliography"/>
      </w:pPr>
      <w:r>
        <w:t xml:space="preserve">Lee, H.W., 2013. Current observations of the early late paleolithic in korea. Quaternary international 316, 45–58.</w:t>
      </w:r>
    </w:p>
    <w:bookmarkEnd w:id="116"/>
    <w:bookmarkStart w:id="117"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7"/>
    <w:bookmarkStart w:id="118" w:name="ref-llano2015optimal"/>
    <w:p>
      <w:pPr>
        <w:pStyle w:val="Bibliography"/>
      </w:pPr>
      <w:r>
        <w:t xml:space="preserve">Llano, C., 2015. On optimal use of a patchy environment: Archaeobotany in the argentinean andes (argentina). Journal of Archaeological Science 54, 182–192.</w:t>
      </w:r>
    </w:p>
    <w:bookmarkEnd w:id="118"/>
    <w:bookmarkStart w:id="119"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19"/>
    <w:bookmarkStart w:id="120" w:name="ref-meignen2006middle"/>
    <w:p>
      <w:pPr>
        <w:pStyle w:val="Bibliography"/>
      </w:pPr>
      <w:r>
        <w:t xml:space="preserve">Meignen, L., Bar-Yosef, O., Speth, J.D., Stiner, M.C., 2006. Middle paleolithic settlement patterns in the levant, in: Transitions Before the Transition. Springer, pp. 149–169.</w:t>
      </w:r>
    </w:p>
    <w:bookmarkEnd w:id="120"/>
    <w:bookmarkStart w:id="122"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1">
        <w:r>
          <w:rPr>
            <w:rStyle w:val="Hyperlink"/>
          </w:rPr>
          <w:t xml:space="preserve">https://doi.org/10.15184/aqy.2015.23</w:t>
        </w:r>
      </w:hyperlink>
    </w:p>
    <w:bookmarkEnd w:id="122"/>
    <w:bookmarkStart w:id="123" w:name="ref-morisaki2019early"/>
    <w:p>
      <w:pPr>
        <w:pStyle w:val="Bibliography"/>
      </w:pPr>
      <w:r>
        <w:t xml:space="preserve">Morisaki, K., Sano, K., Izuho, M., 2019. Early upper paleolithic blade technology in the japanese archipelago. Archaeological Research in Asia 17, 79–97.</w:t>
      </w:r>
    </w:p>
    <w:bookmarkEnd w:id="123"/>
    <w:bookmarkStart w:id="124"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4"/>
    <w:bookmarkStart w:id="125"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5"/>
    <w:bookmarkStart w:id="126" w:name="ref-ono2002radiocaron"/>
    <w:p>
      <w:pPr>
        <w:pStyle w:val="Bibliography"/>
      </w:pPr>
      <w:r>
        <w:t xml:space="preserve">Ono, A., Sato, H., Tsutsumi, T., Kudo, Y., 2002. Radiocaron dates and archaeology of the late pleistocene in the japanese islands. Radiocarbon 44, 477–494.</w:t>
      </w:r>
    </w:p>
    <w:bookmarkEnd w:id="126"/>
    <w:bookmarkStart w:id="127"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7"/>
    <w:bookmarkStart w:id="128" w:name="ref-prentiss2019handbook"/>
    <w:p>
      <w:pPr>
        <w:pStyle w:val="Bibliography"/>
      </w:pPr>
      <w:r>
        <w:t xml:space="preserve">Prentiss, A.M., 2019. Handbook of evolutionary research in archaeology. Springer.</w:t>
      </w:r>
    </w:p>
    <w:bookmarkEnd w:id="128"/>
    <w:bookmarkStart w:id="129" w:name="ref-rick1987dates"/>
    <w:p>
      <w:pPr>
        <w:pStyle w:val="Bibliography"/>
      </w:pPr>
      <w:r>
        <w:t xml:space="preserve">Rick, J.W., 1987. Dates as data: An examination of the peruvian preceramic radiocarbon record. American Antiquity 52, 55–73.</w:t>
      </w:r>
    </w:p>
    <w:bookmarkEnd w:id="129"/>
    <w:bookmarkStart w:id="130" w:name="ref-riel2004late"/>
    <w:p>
      <w:pPr>
        <w:pStyle w:val="Bibliography"/>
      </w:pPr>
      <w:r>
        <w:t xml:space="preserve">Riel-Salvatore, J., Barton, C.M., 2004. Late pleistocene technology, economic behavior, and land-use dynamics in southern italy. American Antiquity 257–274.</w:t>
      </w:r>
    </w:p>
    <w:bookmarkEnd w:id="130"/>
    <w:bookmarkStart w:id="131" w:name="ref-riris2019widespread"/>
    <w:p>
      <w:pPr>
        <w:pStyle w:val="Bibliography"/>
      </w:pPr>
      <w:r>
        <w:t xml:space="preserve">Riris, P., Arroyo-Kalin, M., 2019. Widespread population decline in south america correlates with mid-holocene climate change. Scientific reports 9, 1–10.</w:t>
      </w:r>
    </w:p>
    <w:bookmarkEnd w:id="131"/>
    <w:bookmarkStart w:id="132" w:name="ref-sakamoto1986akaike"/>
    <w:p>
      <w:pPr>
        <w:pStyle w:val="Bibliography"/>
      </w:pPr>
      <w:r>
        <w:t xml:space="preserve">Sakamoto, Y., Ishiguro, M., Kitagawa, G., 1986. Akaike information criterion statistics. Dordrecht, The Netherlands: D. Reidel 81.</w:t>
      </w:r>
    </w:p>
    <w:bookmarkEnd w:id="132"/>
    <w:bookmarkStart w:id="133" w:name="ref-seong2015diversity"/>
    <w:p>
      <w:pPr>
        <w:pStyle w:val="Bibliography"/>
      </w:pPr>
      <w:r>
        <w:t xml:space="preserve">Seong, C., 2015. Diversity of lithic assemblages and evolution of late palaeolithic culture in korea. Asian Perspectives 91–112.</w:t>
      </w:r>
    </w:p>
    <w:bookmarkEnd w:id="133"/>
    <w:bookmarkStart w:id="134" w:name="ref-seong2009emergence"/>
    <w:p>
      <w:pPr>
        <w:pStyle w:val="Bibliography"/>
      </w:pPr>
      <w:r>
        <w:t xml:space="preserve">Seong, C., 2009. Emergence of a blade industry and evolution of late paleolithic technology in the republic of korea. Journal of Anthropological Research 65, 417–451.</w:t>
      </w:r>
    </w:p>
    <w:bookmarkEnd w:id="134"/>
    <w:bookmarkStart w:id="135" w:name="ref-seong2008tanged"/>
    <w:p>
      <w:pPr>
        <w:pStyle w:val="Bibliography"/>
      </w:pPr>
      <w:r>
        <w:t xml:space="preserve">Seong, C., 2008. Tanged points, microblades and late palaeolithic hunting in korea. Antiquity 82, 871–883.</w:t>
      </w:r>
    </w:p>
    <w:bookmarkEnd w:id="135"/>
    <w:bookmarkStart w:id="136" w:name="ref-shennan2009pattern"/>
    <w:p>
      <w:pPr>
        <w:pStyle w:val="Bibliography"/>
      </w:pPr>
      <w:r>
        <w:t xml:space="preserve">Shennan, S., 2009. Pattern and process in cultural evolution. Univ of California Press.</w:t>
      </w:r>
    </w:p>
    <w:bookmarkEnd w:id="136"/>
    <w:bookmarkStart w:id="137" w:name="ref-shennan2001demography"/>
    <w:p>
      <w:pPr>
        <w:pStyle w:val="Bibliography"/>
      </w:pPr>
      <w:r>
        <w:t xml:space="preserve">Shennan, S., 2001. Demography and cultural innovation: A model and its implications for the emergence of modern human culture. Cambridge archaeological journal 11, 5–16.</w:t>
      </w:r>
    </w:p>
    <w:bookmarkEnd w:id="137"/>
    <w:bookmarkStart w:id="138"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38"/>
    <w:bookmarkStart w:id="139" w:name="ref-shott2010size"/>
    <w:p>
      <w:pPr>
        <w:pStyle w:val="Bibliography"/>
      </w:pPr>
      <w:r>
        <w:t xml:space="preserve">Shott, M.J., 2010. Size dependence in assemblage measures: Essentialism, materialism, and" SHE" analysis in archaeology. American Antiquity 886–906.</w:t>
      </w:r>
    </w:p>
    <w:bookmarkEnd w:id="139"/>
    <w:bookmarkStart w:id="140" w:name="ref-shott1986settlement"/>
    <w:p>
      <w:pPr>
        <w:pStyle w:val="Bibliography"/>
      </w:pPr>
      <w:r>
        <w:t xml:space="preserve">Shott, M.J., 1986. Settlement mobility and technological organization: An ethnographic examination. Journal of Anthropological Research 42, 15–51.</w:t>
      </w:r>
    </w:p>
    <w:bookmarkEnd w:id="140"/>
    <w:bookmarkStart w:id="141" w:name="ref-smith1991inujjuamiunt"/>
    <w:p>
      <w:pPr>
        <w:pStyle w:val="Bibliography"/>
      </w:pPr>
      <w:r>
        <w:t xml:space="preserve">Smith, E.A., 1991. Inujjuamiunt foraging strategies: Evolutionary ecology of an arctic hunting economy. Transaction Publishers.</w:t>
      </w:r>
    </w:p>
    <w:bookmarkEnd w:id="141"/>
    <w:bookmarkStart w:id="142"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2"/>
    <w:bookmarkStart w:id="143" w:name="ref-team2017r"/>
    <w:p>
      <w:pPr>
        <w:pStyle w:val="Bibliography"/>
      </w:pPr>
      <w:r>
        <w:t xml:space="preserve">Team, R.C., 2017. R: A language and environment for statistical computing. R foundation for statistical computing, vienna. Http s. www. R-proje ct. org.</w:t>
      </w:r>
    </w:p>
    <w:bookmarkEnd w:id="143"/>
    <w:bookmarkStart w:id="144"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4"/>
    <w:bookmarkStart w:id="145" w:name="ref-torrence1989time"/>
    <w:p>
      <w:pPr>
        <w:pStyle w:val="Bibliography"/>
      </w:pPr>
      <w:r>
        <w:t xml:space="preserve">Torrence, R., Audouze, F., Renfrew, C., Schlanger, N., Sherratt, A., Taylor, T., Ashmore, W., others, 1989. Time, energy and stone tools. Cambridge university press.</w:t>
      </w:r>
    </w:p>
    <w:bookmarkEnd w:id="145"/>
    <w:bookmarkStart w:id="146" w:name="ref-tsutsumi2007dynamics"/>
    <w:p>
      <w:pPr>
        <w:pStyle w:val="Bibliography"/>
      </w:pPr>
      <w:r>
        <w:t xml:space="preserve">Tsutsumi, T., 2007. The dynamics of obsidian use by the microblade industries of the terminal late paleolithic. The Quaternary Research (Daiyonki-Kenkyu) 46, 179–186.</w:t>
      </w:r>
    </w:p>
    <w:bookmarkEnd w:id="146"/>
    <w:bookmarkStart w:id="147"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7"/>
    <w:bookmarkStart w:id="148"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8"/>
    <w:bookmarkStart w:id="149"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49"/>
    <w:bookmarkStart w:id="150" w:name="ref-williams2012use"/>
    <w:p>
      <w:pPr>
        <w:pStyle w:val="Bibliography"/>
      </w:pPr>
      <w:r>
        <w:t xml:space="preserve">Williams, A.N., 2012. The use of summed radiocarbon probability distributions in archaeology: A review of methods. Journal of Archaeological Science 39, 578–589.</w:t>
      </w:r>
    </w:p>
    <w:bookmarkEnd w:id="150"/>
    <w:bookmarkStart w:id="151" w:name="ref-winterhalder1992evolutionary"/>
    <w:p>
      <w:pPr>
        <w:pStyle w:val="Bibliography"/>
      </w:pPr>
      <w:r>
        <w:t xml:space="preserve">Winterhalder, B., Smith, E.A., 1992. Evolutionary ecology and the social sciences. Evolutionary ecology and human behavior 3–23.</w:t>
      </w:r>
    </w:p>
    <w:bookmarkEnd w:id="151"/>
    <w:bookmarkStart w:id="152"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2"/>
    <w:bookmarkStart w:id="153" w:name="ref-yamaoka2012use"/>
    <w:p>
      <w:pPr>
        <w:pStyle w:val="Bibliography"/>
      </w:pPr>
      <w:r>
        <w:t xml:space="preserve">Yamaoka, T., 2012. Use and maintenance of trapezoids in the initial early upper paleolithic of the japanese islands. Quaternary international 248, 32–42.</w:t>
      </w:r>
    </w:p>
    <w:bookmarkEnd w:id="153"/>
    <w:bookmarkStart w:id="154"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4"/>
    <w:bookmarkStart w:id="155"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5"/>
    <w:bookmarkStart w:id="156"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6"/>
    <w:bookmarkEnd w:id="157"/>
    <w:bookmarkEnd w:id="158"/>
    <w:bookmarkEnd w:id="15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92" Target="https://doi.org/10.1007/BF02221051" TargetMode="External" /><Relationship Type="http://schemas.openxmlformats.org/officeDocument/2006/relationships/hyperlink" Id="rId88" Target="https://doi.org/10.1007/s11430-010-4099-4" TargetMode="External" /><Relationship Type="http://schemas.openxmlformats.org/officeDocument/2006/relationships/hyperlink" Id="rId108" Target="https://doi.org/10.1016/0305-4403(90)90038-7" TargetMode="External" /><Relationship Type="http://schemas.openxmlformats.org/officeDocument/2006/relationships/hyperlink" Id="rId69" Target="https://doi.org/10.1016/j.jas.2010.07.021" TargetMode="External" /><Relationship Type="http://schemas.openxmlformats.org/officeDocument/2006/relationships/hyperlink" Id="rId114" Target="https://doi.org/10.1016/j.quaint.2015.06.019" TargetMode="External" /><Relationship Type="http://schemas.openxmlformats.org/officeDocument/2006/relationships/hyperlink" Id="rId94" Target="https://doi.org/10.1080/00438243.2011.624755" TargetMode="External" /><Relationship Type="http://schemas.openxmlformats.org/officeDocument/2006/relationships/hyperlink" Id="rId121" Target="https://doi.org/10.15184/aqy.2015.23" TargetMode="External" /><Relationship Type="http://schemas.openxmlformats.org/officeDocument/2006/relationships/hyperlink" Id="rId99"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7/BF02221051" TargetMode="External" /><Relationship Type="http://schemas.openxmlformats.org/officeDocument/2006/relationships/hyperlink" Id="rId88" Target="https://doi.org/10.1007/s11430-010-4099-4" TargetMode="External" /><Relationship Type="http://schemas.openxmlformats.org/officeDocument/2006/relationships/hyperlink" Id="rId108" Target="https://doi.org/10.1016/0305-4403(90)90038-7" TargetMode="External" /><Relationship Type="http://schemas.openxmlformats.org/officeDocument/2006/relationships/hyperlink" Id="rId69" Target="https://doi.org/10.1016/j.jas.2010.07.021" TargetMode="External" /><Relationship Type="http://schemas.openxmlformats.org/officeDocument/2006/relationships/hyperlink" Id="rId114" Target="https://doi.org/10.1016/j.quaint.2015.06.019" TargetMode="External" /><Relationship Type="http://schemas.openxmlformats.org/officeDocument/2006/relationships/hyperlink" Id="rId94" Target="https://doi.org/10.1080/00438243.2011.624755" TargetMode="External" /><Relationship Type="http://schemas.openxmlformats.org/officeDocument/2006/relationships/hyperlink" Id="rId121" Target="https://doi.org/10.15184/aqy.2015.23" TargetMode="External" /><Relationship Type="http://schemas.openxmlformats.org/officeDocument/2006/relationships/hyperlink" Id="rId99"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Author Gayoung Park; Author Ben Marwick</dc:creator>
  <cp:keywords/>
  <dcterms:created xsi:type="dcterms:W3CDTF">2020-12-15T07:43:41Z</dcterms:created>
  <dcterms:modified xsi:type="dcterms:W3CDTF">2020-12-15T07:43:41Z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14 December, 2020</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