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algun Gothic" w:hAnsi="Malgun Gothic"/>
          <w:b/>
          <w:color w:val="0A4DA2"/>
          <w:sz w:val="40"/>
        </w:rPr>
        <w:t>IBK 디지털뱅킹 리빌딩 1단계 — i-ONE Bank Global 제안서 (v1)</w:t>
      </w:r>
    </w:p>
    <w:p>
      <w:r>
        <w:rPr>
          <w:rFonts w:ascii="Malgun Gothic" w:hAnsi="Malgun Gothic"/>
          <w:sz w:val="21"/>
        </w:rPr>
        <w:t>작성: 컨버전스1팀 · 2026.06 · ⚠ 정량 수치는 예산/배점 미확정 상태의 [추측·예시]</w:t>
      </w:r>
    </w:p>
    <w:p>
      <w:r>
        <w:rPr>
          <w:rFonts w:ascii="Malgun Gothic" w:hAnsi="Malgun Gothic"/>
          <w:b/>
          <w:color w:val="0A4DA2"/>
          <w:sz w:val="32"/>
        </w:rPr>
        <w:t>0. Executive Summary</w:t>
      </w:r>
    </w:p>
    <w:p>
      <w:r>
        <w:rPr>
          <w:rFonts w:ascii="Malgun Gothic" w:hAnsi="Malgun Gothic"/>
          <w:sz w:val="21"/>
        </w:rPr>
        <w:t>"외국인 고객 경험을 이미 만들어 본 팀." SFR-062·063을 동작 프로토타입으로 선구현해 1단계 외국인 채널 경쟁력을 입증한다.</w:t>
      </w:r>
    </w:p>
    <w:p>
      <w:r>
        <w:rPr>
          <w:rFonts w:ascii="Malgun Gothic" w:hAnsi="Malgun Gothic"/>
          <w:b/>
          <w:color w:val="0A4DA2"/>
          <w:sz w:val="32"/>
        </w:rPr>
        <w:t>1. 프로젝트 이해</w:t>
      </w:r>
    </w:p>
    <w:p>
      <w:pPr>
        <w:ind w:left="360"/>
      </w:pPr>
      <w:r>
        <w:rPr>
          <w:rFonts w:ascii="Malgun Gothic" w:hAnsi="Malgun Gothic"/>
          <w:sz w:val="21"/>
        </w:rPr>
        <w:t>• 노후 인터넷뱅킹 → 디지털 플랫폼 리빌딩(채널 중복 제거·출시 속도·확장성)</w:t>
      </w:r>
    </w:p>
    <w:p>
      <w:pPr>
        <w:ind w:left="360"/>
      </w:pPr>
      <w:r>
        <w:rPr>
          <w:rFonts w:ascii="Malgun Gothic" w:hAnsi="Malgun Gothic"/>
          <w:sz w:val="21"/>
        </w:rPr>
        <w:t>• i-ONE Bank Global 재구축으로 외국인 고객 경쟁력 강화</w:t>
      </w:r>
    </w:p>
    <w:p>
      <w:r>
        <w:rPr>
          <w:rFonts w:ascii="Malgun Gothic" w:hAnsi="Malgun Gothic"/>
          <w:b/>
          <w:color w:val="0A4DA2"/>
          <w:sz w:val="32"/>
        </w:rPr>
        <w:t>2. 접근 전략(승부수)</w:t>
      </w:r>
    </w:p>
    <w:p>
      <w:pPr>
        <w:ind w:left="360"/>
      </w:pPr>
      <w:r>
        <w:rPr>
          <w:rFonts w:ascii="Malgun Gothic" w:hAnsi="Malgun Gothic"/>
          <w:sz w:val="21"/>
        </w:rPr>
        <w:t>• 외국인 UX 실증(프로토타입)</w:t>
      </w:r>
    </w:p>
    <w:p>
      <w:pPr>
        <w:ind w:left="360"/>
      </w:pPr>
      <w:r>
        <w:rPr>
          <w:rFonts w:ascii="Malgun Gothic" w:hAnsi="Malgun Gothic"/>
          <w:sz w:val="21"/>
        </w:rPr>
        <w:t>• 예외 우선 설계</w:t>
      </w:r>
    </w:p>
    <w:p>
      <w:pPr>
        <w:ind w:left="360"/>
      </w:pPr>
      <w:r>
        <w:rPr>
          <w:rFonts w:ascii="Malgun Gothic" w:hAnsi="Malgun Gothic"/>
          <w:sz w:val="21"/>
        </w:rPr>
        <w:t>• 연동 리스크 관리(어댑터)</w:t>
      </w:r>
    </w:p>
    <w:p>
      <w:pPr>
        <w:ind w:left="360"/>
      </w:pPr>
      <w:r>
        <w:rPr>
          <w:rFonts w:ascii="Malgun Gothic" w:hAnsi="Malgun Gothic"/>
          <w:sz w:val="21"/>
        </w:rPr>
        <w:t>• 접근성 내재화(WCAG AA)</w:t>
      </w:r>
    </w:p>
    <w:p>
      <w:r>
        <w:rPr>
          <w:rFonts w:ascii="Malgun Gothic" w:hAnsi="Malgun Gothic"/>
          <w:b/>
          <w:color w:val="0A4DA2"/>
          <w:sz w:val="32"/>
        </w:rPr>
        <w:t>3. 제안 범위</w:t>
      </w:r>
    </w:p>
    <w:p>
      <w:pPr>
        <w:ind w:left="360"/>
      </w:pPr>
      <w:r>
        <w:rPr>
          <w:rFonts w:ascii="Malgun Gothic" w:hAnsi="Malgun Gothic"/>
          <w:sz w:val="21"/>
        </w:rPr>
        <w:t>• [포함] 전자지갑(발급/신청/보관/제출), 언어별 고객센터, 다국어 프레임, 인증·정부24/유통 IF 설계</w:t>
      </w:r>
    </w:p>
    <w:p>
      <w:pPr>
        <w:ind w:left="360"/>
      </w:pPr>
      <w:r>
        <w:rPr>
          <w:rFonts w:ascii="Malgun Gothic" w:hAnsi="Malgun Gothic"/>
          <w:sz w:val="21"/>
        </w:rPr>
        <w:t>• [제외] 플랫폼 전체 구축 견적, 정보변경/폐기·공유·내역, 풀 다국어 번역</w:t>
      </w:r>
    </w:p>
    <w:p>
      <w:r>
        <w:rPr>
          <w:rFonts w:ascii="Malgun Gothic" w:hAnsi="Malgun Gothic"/>
          <w:b/>
          <w:color w:val="0A4DA2"/>
          <w:sz w:val="32"/>
        </w:rPr>
        <w:t>4. 추진 일정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algun Gothic" w:hAnsi="Malgun Gothic"/>
                <w:b/>
                <w:sz w:val="20"/>
              </w:rPr>
              <w:t>단계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/>
                <w:sz w:val="20"/>
              </w:rPr>
              <w:t>기간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/>
                <w:sz w:val="20"/>
              </w:rPr>
              <w:t>핵심 산출물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/>
                <w:sz w:val="20"/>
              </w:rPr>
              <w:t>의존성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9"/>
              </w:rPr>
              <w:t>분석/설계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9"/>
              </w:rPr>
              <w:t>M1~M2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9"/>
              </w:rPr>
              <w:t>요건정의·IA·화면설계·연동 IF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9"/>
              </w:rPr>
              <w:t>정부24/유통 규격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9"/>
              </w:rPr>
              <w:t>디자인/퍼블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9"/>
              </w:rPr>
              <w:t>M2~M4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9"/>
              </w:rPr>
              <w:t>디자인시스템·UI·마크업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9"/>
              </w:rPr>
              <w:t>설계 확정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9"/>
              </w:rPr>
              <w:t>개발/연동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9"/>
              </w:rPr>
              <w:t>M4~M9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9"/>
              </w:rPr>
              <w:t>FE/BE·실연동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9"/>
              </w:rPr>
              <w:t>인증·기관 API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9"/>
              </w:rPr>
              <w:t>통합/QA/오픈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9"/>
              </w:rPr>
              <w:t>M9~M12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9"/>
              </w:rPr>
              <w:t>통합·접근성·오픈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9"/>
              </w:rPr>
              <w:t>전 단계</w:t>
            </w:r>
          </w:p>
        </w:tc>
      </w:tr>
    </w:tbl>
    <w:p>
      <w:r>
        <w:rPr>
          <w:rFonts w:ascii="Malgun Gothic" w:hAnsi="Malgun Gothic"/>
          <w:b/>
          <w:color w:val="0A4DA2"/>
          <w:sz w:val="32"/>
        </w:rPr>
        <w:t>5. 리스크 관리</w:t>
      </w:r>
    </w:p>
    <w:p>
      <w:pPr>
        <w:ind w:left="360"/>
      </w:pPr>
      <w:r>
        <w:rPr>
          <w:rFonts w:ascii="Malgun Gothic" w:hAnsi="Malgun Gothic"/>
          <w:sz w:val="21"/>
        </w:rPr>
        <w:t>• 정부24/유통 API 규격 미확정 → 인터페이스 추상화 + mock 선개발</w:t>
      </w:r>
    </w:p>
    <w:p>
      <w:pPr>
        <w:ind w:left="360"/>
      </w:pPr>
      <w:r>
        <w:rPr>
          <w:rFonts w:ascii="Malgun Gothic" w:hAnsi="Malgun Gothic"/>
          <w:sz w:val="21"/>
        </w:rPr>
        <w:t>• 다국어 범위 미정 → 리소스 키, 1차 영어+확장</w:t>
      </w:r>
    </w:p>
    <w:p>
      <w:pPr>
        <w:ind w:left="360"/>
      </w:pPr>
      <w:r>
        <w:rPr>
          <w:rFonts w:ascii="Malgun Gothic" w:hAnsi="Malgun Gothic"/>
          <w:sz w:val="21"/>
        </w:rPr>
        <w:t>• 외국인 인증 보유율 → 미보유 예외 플로우 기본 제공</w:t>
      </w:r>
    </w:p>
    <w:p>
      <w:r>
        <w:rPr>
          <w:rFonts w:ascii="Malgun Gothic" w:hAnsi="Malgun Gothic"/>
          <w:b/>
          <w:color w:val="0A4DA2"/>
          <w:sz w:val="32"/>
        </w:rPr>
        <w:t>6. 미확정(고객 확인 필요)</w:t>
      </w:r>
    </w:p>
    <w:p>
      <w:r>
        <w:rPr>
          <w:rFonts w:ascii="Malgun Gothic" w:hAnsi="Malgun Gothic"/>
          <w:sz w:val="21"/>
        </w:rPr>
        <w:t>지원 언어 · 증명서 확장 범위 · API/인증 규격 · 평가 배점 · 예산 · 정책 수치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