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color w:val="000000"/>
          <w:sz w:val="32"/>
        </w:rPr>
        <w:t>실험방법: 소방배관 시스템 수치 시뮬레이션</w:t>
      </w:r>
    </w:p>
    <w:p/>
    <w:p>
      <w:pPr>
        <w:pStyle w:val="Heading1"/>
      </w:pPr>
      <w:r>
        <w:rPr>
          <w:rFonts w:ascii="맑은 고딕" w:hAnsi="맑은 고딕" w:eastAsia="맑은 고딕"/>
          <w:color w:val="000000"/>
          <w:sz w:val="28"/>
        </w:rPr>
        <w:t>1. 시뮬레이션 개발</w:t>
      </w:r>
    </w:p>
    <w:p>
      <w:pPr>
        <w:pStyle w:val="Heading2"/>
      </w:pPr>
      <w:r>
        <w:rPr>
          <w:rFonts w:ascii="맑은 고딕" w:hAnsi="맑은 고딕" w:eastAsia="맑은 고딕"/>
          <w:color w:val="000000"/>
          <w:sz w:val="24"/>
        </w:rPr>
        <w:t>1.1 개발 환경 및 도구</w:t>
      </w:r>
    </w:p>
    <w:p>
      <w:r>
        <w:rPr>
          <w:rFonts w:ascii="맑은 고딕" w:hAnsi="맑은 고딕" w:eastAsia="맑은 고딕"/>
          <w:b w:val="0"/>
          <w:i w:val="0"/>
          <w:sz w:val="22"/>
        </w:rPr>
        <w:t>수치 시뮬레이션 플랫폼 FiPLSim(Fire Protection Pipe Let Simulator)은 Python 프로그래밍 언어(버전 3.12 이상)로 개발되었으며, 다음의 수치 연산 라이브러리를 활용하였다: NumPy(≥1.24, 배열 연산 및 난수 생성), SciPy(≥1.11, 3차 스플라인 보간 및 근 탐색 알고리즘), Pandas(≥2.0, 표 형태 데이터 처리), Plotly(≥5.18, 대화형 시각화). 그래픽 사용자 인터페이스는 웹 기반 대시보드 프레임워크인 Streamlit(≥1.30)으로 구현하여, 실시간 매개변수 조정 및 결과 확인이 가능하도록 하였다.</w:t>
      </w:r>
    </w:p>
    <w:p>
      <w:r>
        <w:rPr>
          <w:rFonts w:ascii="맑은 고딕" w:hAnsi="맑은 고딕" w:eastAsia="맑은 고딕"/>
          <w:b w:val="0"/>
          <w:i w:val="0"/>
          <w:sz w:val="22"/>
        </w:rPr>
        <w:t>모든 수력 계산은 SI 단위계로 수행하며, 압력은 MPa, 유량은 L/min(LPM), 배관 치수는 m, 유속은 m/s로 표현한다. 계산 경계에서 단위 변환을 적용하여 연산 파이프라인 전체의 일관성을 유지한다.</w:t>
      </w:r>
    </w:p>
    <w:p>
      <w:pPr>
        <w:pStyle w:val="Heading2"/>
      </w:pPr>
      <w:r>
        <w:rPr>
          <w:rFonts w:ascii="맑은 고딕" w:hAnsi="맑은 고딕" w:eastAsia="맑은 고딕"/>
          <w:color w:val="000000"/>
          <w:sz w:val="24"/>
        </w:rPr>
        <w:t>1.2 지배 방정식 및 수치해석 이론</w:t>
      </w:r>
    </w:p>
    <w:p>
      <w:pPr>
        <w:pStyle w:val="Heading3"/>
      </w:pPr>
      <w:r>
        <w:rPr>
          <w:rFonts w:ascii="맑은 고딕" w:hAnsi="맑은 고딕" w:eastAsia="맑은 고딕"/>
          <w:color w:val="000000"/>
          <w:sz w:val="22"/>
        </w:rPr>
        <w:t>1.2.1 Darcy–Weisbach 방정식 (주요 마찰 손실)</w:t>
      </w:r>
    </w:p>
    <w:p>
      <w:r>
        <w:rPr>
          <w:rFonts w:ascii="맑은 고딕" w:hAnsi="맑은 고딕" w:eastAsia="맑은 고딕"/>
          <w:b w:val="0"/>
          <w:i w:val="0"/>
          <w:sz w:val="22"/>
        </w:rPr>
        <w:t>직선 배관 구간에서의 벽면 마찰에 의한 압력 손실은 Darcy–Weisbach 방정식으로 산출한다. 이 방정식은 모든 유동 영역과 배관 재질에 적용 가능하며, Hazen–Williams 또는 Manning 공식의 경험적 한계가 없다:</w:t>
      </w:r>
    </w:p>
    <w:p>
      <w:pPr>
        <w:jc w:val="center"/>
      </w:pPr>
      <w:r>
        <w:rPr>
          <w:rFonts w:ascii="Cambria Math" w:hAnsi="Cambria Math"/>
          <w:i/>
          <w:sz w:val="22"/>
        </w:rPr>
        <w:t>h_f = f · (L / D) · (V² / 2g)</w:t>
      </w:r>
      <w:r>
        <w:rPr>
          <w:rFonts w:ascii="맑은 고딕" w:hAnsi="맑은 고딕" w:eastAsia="맑은 고딕"/>
          <w:sz w:val="22"/>
        </w:rPr>
        <w:t xml:space="preserve">    (1)</w:t>
      </w:r>
    </w:p>
    <w:p>
      <w:r>
        <w:rPr>
          <w:rFonts w:ascii="맑은 고딕" w:hAnsi="맑은 고딕" w:eastAsia="맑은 고딕"/>
          <w:b w:val="0"/>
          <w:i w:val="0"/>
          <w:sz w:val="22"/>
        </w:rPr>
        <w:t>여기서 h_f는 마찰 수두 손실(m), f는 Darcy 마찰계수(무차원), L은 배관 구간 길이(m), D는 내경(m), V는 평균 유속(m/s), g는 중력가속도(9.81 m/s²)이다.</w:t>
      </w:r>
    </w:p>
    <w:p>
      <w:pPr>
        <w:pStyle w:val="Heading3"/>
      </w:pPr>
      <w:r>
        <w:rPr>
          <w:rFonts w:ascii="맑은 고딕" w:hAnsi="맑은 고딕" w:eastAsia="맑은 고딕"/>
          <w:color w:val="000000"/>
          <w:sz w:val="22"/>
        </w:rPr>
        <w:t>1.2.2 Colebrook–White 방정식 (마찰계수 산정)</w:t>
      </w:r>
    </w:p>
    <w:p>
      <w:r>
        <w:rPr>
          <w:rFonts w:ascii="맑은 고딕" w:hAnsi="맑은 고딕" w:eastAsia="맑은 고딕"/>
          <w:b w:val="0"/>
          <w:i w:val="0"/>
          <w:sz w:val="22"/>
        </w:rPr>
        <w:t>Darcy 마찰계수 f는 상용 배관의 전체 난류 유동 영역에서 유효한 Colebrook–White 음함수 방정식으로 결정한다:</w:t>
      </w:r>
    </w:p>
    <w:p>
      <w:pPr>
        <w:jc w:val="center"/>
      </w:pPr>
      <w:r>
        <w:rPr>
          <w:rFonts w:ascii="Cambria Math" w:hAnsi="Cambria Math"/>
          <w:i/>
          <w:sz w:val="22"/>
        </w:rPr>
        <w:t>1/√f = −2.0 · log₁₀ [ (ε/D)/3.7 + 2.51/(Re·√f) ]</w:t>
      </w:r>
      <w:r>
        <w:rPr>
          <w:rFonts w:ascii="맑은 고딕" w:hAnsi="맑은 고딕" w:eastAsia="맑은 고딕"/>
          <w:sz w:val="22"/>
        </w:rPr>
        <w:t xml:space="preserve">    (2)</w:t>
      </w:r>
    </w:p>
    <w:p>
      <w:r>
        <w:rPr>
          <w:rFonts w:ascii="맑은 고딕" w:hAnsi="맑은 고딕" w:eastAsia="맑은 고딕"/>
          <w:b w:val="0"/>
          <w:i w:val="0"/>
          <w:sz w:val="22"/>
        </w:rPr>
        <w:t>여기서 ε는 배관 내벽의 절대 조도(m), Re는 레이놀즈 수이다. 소방설비에 사용되는 탄소강 배관의 경우, ε = 0.045 mm (4.5 × 10⁻⁵ m)를 적용하였으며, 이는 표준 공학 참고문헌 (Moody, 1944; Colebrook, 1939)에 근거한 값이다.</w:t>
      </w:r>
    </w:p>
    <w:p>
      <w:r>
        <w:rPr>
          <w:rFonts w:ascii="맑은 고딕" w:hAnsi="맑은 고딕" w:eastAsia="맑은 고딕"/>
          <w:b w:val="0"/>
          <w:i w:val="0"/>
          <w:sz w:val="22"/>
        </w:rPr>
        <w:t>식 (2)는 f에 대해 음함수이므로, 고정점 반복법(fixed-point iteration)으로 풀이한다. 초기 추정값은 Swamee–Jain 양함수 근사식(Swamee and Jain, 1976)으로부터 구한다:</w:t>
      </w:r>
    </w:p>
    <w:p>
      <w:pPr>
        <w:jc w:val="center"/>
      </w:pPr>
      <w:r>
        <w:rPr>
          <w:rFonts w:ascii="Cambria Math" w:hAnsi="Cambria Math"/>
          <w:i/>
          <w:sz w:val="22"/>
        </w:rPr>
        <w:t>f₀ = 0.25 / { log₁₀ [ (ε/D)/3.7 + 2.51/(Re·√0.02) ] }²</w:t>
      </w:r>
      <w:r>
        <w:rPr>
          <w:rFonts w:ascii="맑은 고딕" w:hAnsi="맑은 고딕" w:eastAsia="맑은 고딕"/>
          <w:sz w:val="22"/>
        </w:rPr>
        <w:t xml:space="preserve">    (3)</w:t>
      </w:r>
    </w:p>
    <w:p>
      <w:r>
        <w:rPr>
          <w:rFonts w:ascii="맑은 고딕" w:hAnsi="맑은 고딕" w:eastAsia="맑은 고딕"/>
          <w:b w:val="0"/>
          <w:i w:val="0"/>
          <w:sz w:val="22"/>
        </w:rPr>
        <w:t>상대 변화량 |f_{n+1} − f_n| / f_n &lt; 10⁻⁸일 때 수렴으로 판정하며, 일반적으로 3~5회 반복 이내에 수렴한다. 층류 유동(Re &lt; 2300)의 경우, Hagen–Poiseuille 해석해 f = 64/Re를 반복 없이 직접 적용한다.</w:t>
      </w:r>
    </w:p>
    <w:p>
      <w:pPr>
        <w:pStyle w:val="Heading3"/>
      </w:pPr>
      <w:r>
        <w:rPr>
          <w:rFonts w:ascii="맑은 고딕" w:hAnsi="맑은 고딕" w:eastAsia="맑은 고딕"/>
          <w:color w:val="000000"/>
          <w:sz w:val="22"/>
        </w:rPr>
        <w:t>1.2.3 레이놀즈 수 및 유동 영역 분류</w:t>
      </w:r>
    </w:p>
    <w:p>
      <w:pPr>
        <w:jc w:val="center"/>
      </w:pPr>
      <w:r>
        <w:rPr>
          <w:rFonts w:ascii="Cambria Math" w:hAnsi="Cambria Math"/>
          <w:i/>
          <w:sz w:val="22"/>
        </w:rPr>
        <w:t>Re = V · D / ν</w:t>
      </w:r>
      <w:r>
        <w:rPr>
          <w:rFonts w:ascii="맑은 고딕" w:hAnsi="맑은 고딕" w:eastAsia="맑은 고딕"/>
          <w:sz w:val="22"/>
        </w:rPr>
        <w:t xml:space="preserve">    (4)</w:t>
      </w:r>
    </w:p>
    <w:p>
      <w:r>
        <w:rPr>
          <w:rFonts w:ascii="맑은 고딕" w:hAnsi="맑은 고딕" w:eastAsia="맑은 고딕"/>
          <w:b w:val="0"/>
          <w:i w:val="0"/>
          <w:sz w:val="22"/>
        </w:rPr>
        <w:t>여기서 ν는 20°C 물의 동점성계수(1.004 × 10⁻⁶ m²/s)이다. 유동 영역은 다음과 같이 분류한다: Re &lt; 2300(층류), 2300 ≤ Re ≤ 4000(천이 영역), Re &gt; 4000(완전 난류). 소방 배관 시스템은 통상 난류 영역(Re ≈ 10⁴~10⁵)에서 운전된다.</w:t>
      </w:r>
    </w:p>
    <w:p>
      <w:pPr>
        <w:pStyle w:val="Heading3"/>
      </w:pPr>
      <w:r>
        <w:rPr>
          <w:rFonts w:ascii="맑은 고딕" w:hAnsi="맑은 고딕" w:eastAsia="맑은 고딕"/>
          <w:color w:val="000000"/>
          <w:sz w:val="22"/>
        </w:rPr>
        <w:t>1.2.4 부차적(국부) 손실 모델</w:t>
      </w:r>
    </w:p>
    <w:p>
      <w:r>
        <w:rPr>
          <w:rFonts w:ascii="맑은 고딕" w:hAnsi="맑은 고딕" w:eastAsia="맑은 고딕"/>
          <w:b w:val="0"/>
          <w:i w:val="0"/>
          <w:sz w:val="22"/>
        </w:rPr>
        <w:t>이음쇠, 분기점 및 부속품에서의 국부 압력 손실은 K-factor 방법으로 산출한다:</w:t>
      </w:r>
    </w:p>
    <w:p>
      <w:pPr>
        <w:jc w:val="center"/>
      </w:pPr>
      <w:r>
        <w:rPr>
          <w:rFonts w:ascii="Cambria Math" w:hAnsi="Cambria Math"/>
          <w:i/>
          <w:sz w:val="22"/>
        </w:rPr>
        <w:t>h_m = K · (V² / 2g)</w:t>
      </w:r>
      <w:r>
        <w:rPr>
          <w:rFonts w:ascii="맑은 고딕" w:hAnsi="맑은 고딕" w:eastAsia="맑은 고딕"/>
          <w:sz w:val="22"/>
        </w:rPr>
        <w:t xml:space="preserve">    (5)</w:t>
      </w:r>
    </w:p>
    <w:p>
      <w:r>
        <w:rPr>
          <w:rFonts w:ascii="맑은 고딕" w:hAnsi="맑은 고딕" w:eastAsia="맑은 고딕"/>
          <w:b w:val="0"/>
          <w:i w:val="0"/>
          <w:sz w:val="22"/>
        </w:rPr>
        <w:t>여기서 K는 무차원 손실 계수이다. 본 시뮬레이터는 가지배관의 각 구간에서 다음과 같은 손실 성분을 고려한다:</w:t>
      </w:r>
    </w:p>
    <w:p>
      <w:r>
        <w:rPr>
          <w:rFonts w:ascii="맑은 고딕" w:hAnsi="맑은 고딕" w:eastAsia="맑은 고딕"/>
          <w:b/>
          <w:sz w:val="20"/>
        </w:rPr>
        <w:t>표 1. 각 수력 구성 요소에 대한 손실 계수(K-factor) 설정값.</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맑은 고딕" w:hAnsi="맑은 고딕" w:eastAsia="맑은 고딕"/>
                <w:b/>
                <w:sz w:val="18"/>
              </w:rPr>
              <w:t>손실 성분</w:t>
            </w:r>
          </w:p>
        </w:tc>
        <w:tc>
          <w:tcPr>
            <w:tcW w:type="dxa" w:w="2160"/>
          </w:tcPr>
          <w:p>
            <w:pPr>
              <w:jc w:val="center"/>
            </w:pPr>
            <w:r>
              <w:rPr>
                <w:rFonts w:ascii="맑은 고딕" w:hAnsi="맑은 고딕" w:eastAsia="맑은 고딕"/>
                <w:b/>
                <w:sz w:val="18"/>
              </w:rPr>
              <w:t>기호</w:t>
            </w:r>
          </w:p>
        </w:tc>
        <w:tc>
          <w:tcPr>
            <w:tcW w:type="dxa" w:w="2160"/>
          </w:tcPr>
          <w:p>
            <w:pPr>
              <w:jc w:val="center"/>
            </w:pPr>
            <w:r>
              <w:rPr>
                <w:rFonts w:ascii="맑은 고딕" w:hAnsi="맑은 고딕" w:eastAsia="맑은 고딕"/>
                <w:b/>
                <w:sz w:val="18"/>
              </w:rPr>
              <w:t>값</w:t>
            </w:r>
          </w:p>
        </w:tc>
        <w:tc>
          <w:tcPr>
            <w:tcW w:type="dxa" w:w="2160"/>
          </w:tcPr>
          <w:p>
            <w:pPr>
              <w:jc w:val="center"/>
            </w:pPr>
            <w:r>
              <w:rPr>
                <w:rFonts w:ascii="맑은 고딕" w:hAnsi="맑은 고딕" w:eastAsia="맑은 고딕"/>
                <w:b/>
                <w:sz w:val="18"/>
              </w:rPr>
              <w:t>설명</w:t>
            </w:r>
          </w:p>
        </w:tc>
      </w:tr>
      <w:tr>
        <w:tc>
          <w:tcPr>
            <w:tcW w:type="dxa" w:w="2160"/>
          </w:tcPr>
          <w:p>
            <w:r>
              <w:rPr>
                <w:rFonts w:ascii="맑은 고딕" w:hAnsi="맑은 고딕" w:eastAsia="맑은 고딕"/>
                <w:sz w:val="18"/>
              </w:rPr>
              <w:t>용접 이음(접합부)</w:t>
            </w:r>
          </w:p>
        </w:tc>
        <w:tc>
          <w:tcPr>
            <w:tcW w:type="dxa" w:w="2160"/>
          </w:tcPr>
          <w:p>
            <w:r>
              <w:rPr>
                <w:rFonts w:ascii="맑은 고딕" w:hAnsi="맑은 고딕" w:eastAsia="맑은 고딕"/>
                <w:sz w:val="18"/>
              </w:rPr>
              <w:t>K₁</w:t>
            </w:r>
          </w:p>
        </w:tc>
        <w:tc>
          <w:tcPr>
            <w:tcW w:type="dxa" w:w="2160"/>
          </w:tcPr>
          <w:p>
            <w:r>
              <w:rPr>
                <w:rFonts w:ascii="맑은 고딕" w:hAnsi="맑은 고딕" w:eastAsia="맑은 고딕"/>
                <w:sz w:val="18"/>
              </w:rPr>
              <w:t>f(h_bead)</w:t>
            </w:r>
          </w:p>
        </w:tc>
        <w:tc>
          <w:tcPr>
            <w:tcW w:type="dxa" w:w="2160"/>
          </w:tcPr>
          <w:p>
            <w:r>
              <w:rPr>
                <w:rFonts w:ascii="맑은 고딕" w:hAnsi="맑은 고딕" w:eastAsia="맑은 고딕"/>
                <w:sz w:val="18"/>
              </w:rPr>
              <w:t>용접 비드 돌출 높이에 따라 변동</w:t>
            </w:r>
          </w:p>
        </w:tc>
      </w:tr>
      <w:tr>
        <w:tc>
          <w:tcPr>
            <w:tcW w:type="dxa" w:w="2160"/>
          </w:tcPr>
          <w:p>
            <w:r>
              <w:rPr>
                <w:rFonts w:ascii="맑은 고딕" w:hAnsi="맑은 고딕" w:eastAsia="맑은 고딕"/>
                <w:sz w:val="18"/>
              </w:rPr>
              <w:t>스프링클러 헤드 오리피스</w:t>
            </w:r>
          </w:p>
        </w:tc>
        <w:tc>
          <w:tcPr>
            <w:tcW w:type="dxa" w:w="2160"/>
          </w:tcPr>
          <w:p>
            <w:r>
              <w:rPr>
                <w:rFonts w:ascii="맑은 고딕" w:hAnsi="맑은 고딕" w:eastAsia="맑은 고딕"/>
                <w:sz w:val="18"/>
              </w:rPr>
              <w:t>K₂</w:t>
            </w:r>
          </w:p>
        </w:tc>
        <w:tc>
          <w:tcPr>
            <w:tcW w:type="dxa" w:w="2160"/>
          </w:tcPr>
          <w:p>
            <w:r>
              <w:rPr>
                <w:rFonts w:ascii="맑은 고딕" w:hAnsi="맑은 고딕" w:eastAsia="맑은 고딕"/>
                <w:sz w:val="18"/>
              </w:rPr>
              <w:t>2.5</w:t>
            </w:r>
          </w:p>
        </w:tc>
        <w:tc>
          <w:tcPr>
            <w:tcW w:type="dxa" w:w="2160"/>
          </w:tcPr>
          <w:p>
            <w:r>
              <w:rPr>
                <w:rFonts w:ascii="맑은 고딕" w:hAnsi="맑은 고딕" w:eastAsia="맑은 고딕"/>
                <w:sz w:val="18"/>
              </w:rPr>
              <w:t>헤드 피팅 고유 저항</w:t>
            </w:r>
          </w:p>
        </w:tc>
      </w:tr>
      <w:tr>
        <w:tc>
          <w:tcPr>
            <w:tcW w:type="dxa" w:w="2160"/>
          </w:tcPr>
          <w:p>
            <w:r>
              <w:rPr>
                <w:rFonts w:ascii="맑은 고딕" w:hAnsi="맑은 고딕" w:eastAsia="맑은 고딕"/>
                <w:sz w:val="18"/>
              </w:rPr>
              <w:t>가지배관 입구(Tee)</w:t>
            </w:r>
          </w:p>
        </w:tc>
        <w:tc>
          <w:tcPr>
            <w:tcW w:type="dxa" w:w="2160"/>
          </w:tcPr>
          <w:p>
            <w:r>
              <w:rPr>
                <w:rFonts w:ascii="맑은 고딕" w:hAnsi="맑은 고딕" w:eastAsia="맑은 고딕"/>
                <w:sz w:val="18"/>
              </w:rPr>
              <w:t>K₃</w:t>
            </w:r>
          </w:p>
        </w:tc>
        <w:tc>
          <w:tcPr>
            <w:tcW w:type="dxa" w:w="2160"/>
          </w:tcPr>
          <w:p>
            <w:r>
              <w:rPr>
                <w:rFonts w:ascii="맑은 고딕" w:hAnsi="맑은 고딕" w:eastAsia="맑은 고딕"/>
                <w:sz w:val="18"/>
              </w:rPr>
              <w:t>1.0</w:t>
            </w:r>
          </w:p>
        </w:tc>
        <w:tc>
          <w:tcPr>
            <w:tcW w:type="dxa" w:w="2160"/>
          </w:tcPr>
          <w:p>
            <w:r>
              <w:rPr>
                <w:rFonts w:ascii="맑은 고딕" w:hAnsi="맑은 고딕" w:eastAsia="맑은 고딕"/>
                <w:sz w:val="18"/>
              </w:rPr>
              <w:t>교차배관-가지배관 분기점</w:t>
            </w:r>
          </w:p>
        </w:tc>
      </w:tr>
      <w:tr>
        <w:tc>
          <w:tcPr>
            <w:tcW w:type="dxa" w:w="2160"/>
          </w:tcPr>
          <w:p>
            <w:r>
              <w:rPr>
                <w:rFonts w:ascii="맑은 고딕" w:hAnsi="맑은 고딕" w:eastAsia="맑은 고딕"/>
                <w:sz w:val="18"/>
              </w:rPr>
              <w:t>교차배관 Tee-직통</w:t>
            </w:r>
          </w:p>
        </w:tc>
        <w:tc>
          <w:tcPr>
            <w:tcW w:type="dxa" w:w="2160"/>
          </w:tcPr>
          <w:p>
            <w:r>
              <w:rPr>
                <w:rFonts w:ascii="맑은 고딕" w:hAnsi="맑은 고딕" w:eastAsia="맑은 고딕"/>
                <w:sz w:val="18"/>
              </w:rPr>
              <w:t>K_tee</w:t>
            </w:r>
          </w:p>
        </w:tc>
        <w:tc>
          <w:tcPr>
            <w:tcW w:type="dxa" w:w="2160"/>
          </w:tcPr>
          <w:p>
            <w:r>
              <w:rPr>
                <w:rFonts w:ascii="맑은 고딕" w:hAnsi="맑은 고딕" w:eastAsia="맑은 고딕"/>
                <w:sz w:val="18"/>
              </w:rPr>
              <w:t>0.3</w:t>
            </w:r>
          </w:p>
        </w:tc>
        <w:tc>
          <w:tcPr>
            <w:tcW w:type="dxa" w:w="2160"/>
          </w:tcPr>
          <w:p>
            <w:r>
              <w:rPr>
                <w:rFonts w:ascii="맑은 고딕" w:hAnsi="맑은 고딕" w:eastAsia="맑은 고딕"/>
                <w:sz w:val="18"/>
              </w:rPr>
              <w:t>교차배관 직통 방향 유동</w:t>
            </w:r>
          </w:p>
        </w:tc>
      </w:tr>
    </w:tbl>
    <w:p/>
    <w:p>
      <w:pPr>
        <w:pStyle w:val="Heading3"/>
      </w:pPr>
      <w:r>
        <w:rPr>
          <w:rFonts w:ascii="맑은 고딕" w:hAnsi="맑은 고딕" w:eastAsia="맑은 고딕"/>
          <w:color w:val="000000"/>
          <w:sz w:val="22"/>
        </w:rPr>
        <w:t>1.2.5 용접 비드 돌출부 손실 모델</w:t>
      </w:r>
    </w:p>
    <w:p>
      <w:r>
        <w:rPr>
          <w:rFonts w:ascii="맑은 고딕" w:hAnsi="맑은 고딕" w:eastAsia="맑은 고딕"/>
          <w:b w:val="0"/>
          <w:i w:val="0"/>
          <w:sz w:val="22"/>
        </w:rPr>
        <w:t>본 연구의 핵심 혁신은 내부 용접 비드 돌출부가 수력 저항에 미치는 영향을 정량적으로 모델링한 것이다. 일반적인 용접으로 배관을 접합할 때, 내부 비드가 유로 단면 내부로 돌출되어 유효 직경을 감소시킨다. 이로 인한 국부 손실 계수의 증가는 다음과 같이 모델링하였다:</w:t>
      </w:r>
    </w:p>
    <w:p>
      <w:pPr>
        <w:jc w:val="center"/>
      </w:pPr>
      <w:r>
        <w:rPr>
          <w:rFonts w:ascii="Cambria Math" w:hAnsi="Cambria Math"/>
          <w:i/>
          <w:sz w:val="22"/>
        </w:rPr>
        <w:t>K₁ = K₁,base · (D / D_eff)⁴</w:t>
      </w:r>
      <w:r>
        <w:rPr>
          <w:rFonts w:ascii="맑은 고딕" w:hAnsi="맑은 고딕" w:eastAsia="맑은 고딕"/>
          <w:sz w:val="22"/>
        </w:rPr>
        <w:t xml:space="preserve">    (6)</w:t>
      </w:r>
    </w:p>
    <w:p>
      <w:pPr>
        <w:jc w:val="center"/>
      </w:pPr>
      <w:r>
        <w:rPr>
          <w:rFonts w:ascii="Cambria Math" w:hAnsi="Cambria Math"/>
          <w:i/>
          <w:sz w:val="22"/>
        </w:rPr>
        <w:t>D_eff = D − 2h</w:t>
      </w:r>
      <w:r>
        <w:rPr>
          <w:rFonts w:ascii="맑은 고딕" w:hAnsi="맑은 고딕" w:eastAsia="맑은 고딕"/>
          <w:sz w:val="22"/>
        </w:rPr>
        <w:t xml:space="preserve">    (7)</w:t>
      </w:r>
    </w:p>
    <w:p>
      <w:r>
        <w:rPr>
          <w:rFonts w:ascii="맑은 고딕" w:hAnsi="맑은 고딕" w:eastAsia="맑은 고딕"/>
          <w:b w:val="0"/>
          <w:i w:val="0"/>
          <w:sz w:val="22"/>
        </w:rPr>
        <w:t>여기서 K₁,base는 이상적 접합부의 기준 손실 계수(0.5), D는 공칭 내경(mm), h는 비드 돌출 높이(mm), D_eff는 양측 비드 돌출을 고려한 유효 직경이다.</w:t>
      </w:r>
    </w:p>
    <w:p>
      <w:r>
        <w:rPr>
          <w:rFonts w:ascii="맑은 고딕" w:hAnsi="맑은 고딕" w:eastAsia="맑은 고딕"/>
          <w:b w:val="0"/>
          <w:i w:val="0"/>
          <w:sz w:val="22"/>
        </w:rPr>
        <w:t>식 (6)에서 직경비의 4승 의존성은 Hagen–Poiseuille 법칙에서 유도된다. 점성 유동이 축소부를 통과할 때 유량은 D⁴에 비례한다. 난류 유동이 오리피스형 축소부를 통과할 때, 압력 손실은 단면적비의 제곱, 즉 (A/A_eff)² = (D/D_eff)⁴에 비례하며, 이는 급축소부에 적용한 에너지 방정식과 일치한다(Idelchik, 1986). 이 모델을 통해 일반 용접(h &gt; 0, Case A)과 형상 제어 용접 기술(h ≈ 0, Case B)의 직접 비교가 가능하다.</w:t>
      </w:r>
    </w:p>
    <w:p>
      <w:pPr>
        <w:pStyle w:val="Heading3"/>
      </w:pPr>
      <w:r>
        <w:rPr>
          <w:rFonts w:ascii="맑은 고딕" w:hAnsi="맑은 고딕" w:eastAsia="맑은 고딕"/>
          <w:color w:val="000000"/>
          <w:sz w:val="22"/>
        </w:rPr>
        <w:t>1.2.6 가지배관 압력 프로파일 계산</w:t>
      </w:r>
    </w:p>
    <w:p>
      <w:r>
        <w:rPr>
          <w:rFonts w:ascii="맑은 고딕" w:hAnsi="맑은 고딕" w:eastAsia="맑은 고딕"/>
          <w:b w:val="0"/>
          <w:i w:val="0"/>
          <w:sz w:val="22"/>
        </w:rPr>
        <w:t>각 가지배관을 따른 누적 압력 강하는 교차배관 접합부에서 말단 스프링클러 헤드까지 순차적으로 계산한다. 각 구간 j(j = 1, 2, ..., m)에서 상류측 헤드의 순차적 방류로 인해 국부 유량이 선형적으로 감소한다:</w:t>
      </w:r>
    </w:p>
    <w:p>
      <w:pPr>
        <w:jc w:val="center"/>
      </w:pPr>
      <w:r>
        <w:rPr>
          <w:rFonts w:ascii="Cambria Math" w:hAnsi="Cambria Math"/>
          <w:i/>
          <w:sz w:val="22"/>
        </w:rPr>
        <w:t>Q_j = Q_total − (j − 1) · (Q_total / m)</w:t>
      </w:r>
      <w:r>
        <w:rPr>
          <w:rFonts w:ascii="맑은 고딕" w:hAnsi="맑은 고딕" w:eastAsia="맑은 고딕"/>
          <w:sz w:val="22"/>
        </w:rPr>
        <w:t xml:space="preserve">    (8)</w:t>
      </w:r>
    </w:p>
    <w:p>
      <w:r>
        <w:rPr>
          <w:rFonts w:ascii="맑은 고딕" w:hAnsi="맑은 고딕" w:eastAsia="맑은 고딕"/>
          <w:b w:val="0"/>
          <w:i w:val="0"/>
          <w:sz w:val="22"/>
        </w:rPr>
        <w:t>여기서 Q_total은 가지배관 총유량, m은 스프링클러 헤드 수이다. 위치 j에서의 누적 압력은 다음과 같다:</w:t>
      </w:r>
    </w:p>
    <w:p>
      <w:pPr>
        <w:jc w:val="center"/>
      </w:pPr>
      <w:r>
        <w:rPr>
          <w:rFonts w:ascii="Cambria Math" w:hAnsi="Cambria Math"/>
          <w:i/>
          <w:sz w:val="22"/>
        </w:rPr>
        <w:t>P_j = P_{j-1} − (ρg)⁻¹ · 10⁶ · [ h_{f,j} + h_{K1,j} + h_{K2,j} + Σ h_{weld,j} ]</w:t>
      </w:r>
      <w:r>
        <w:rPr>
          <w:rFonts w:ascii="맑은 고딕" w:hAnsi="맑은 고딕" w:eastAsia="맑은 고딕"/>
          <w:sz w:val="22"/>
        </w:rPr>
        <w:t xml:space="preserve">    (9)</w:t>
      </w:r>
    </w:p>
    <w:p>
      <w:r>
        <w:rPr>
          <w:rFonts w:ascii="맑은 고딕" w:hAnsi="맑은 고딕" w:eastAsia="맑은 고딕"/>
          <w:b w:val="0"/>
          <w:i w:val="0"/>
          <w:sz w:val="22"/>
        </w:rPr>
        <w:t>여기서 P₀는 가지배관 입구 압력(교차배관 압력에서 K₃ 분기 입구 손실을 차감한 값)이고, 합산항 Σh_weld,j는 구간 j 내의 모든 용접 비드 손실을 포함한다. 마지막 헤드에서의 말단 압력 P_m이 기준 적합성 검증의 핵심 값이다.</w:t>
      </w:r>
    </w:p>
    <w:p>
      <w:pPr>
        <w:pStyle w:val="Heading3"/>
      </w:pPr>
      <w:r>
        <w:rPr>
          <w:rFonts w:ascii="맑은 고딕" w:hAnsi="맑은 고딕" w:eastAsia="맑은 고딕"/>
          <w:color w:val="000000"/>
          <w:sz w:val="22"/>
        </w:rPr>
        <w:t>1.2.7 자동 배관 구경 산정 알고리즘</w:t>
      </w:r>
    </w:p>
    <w:p>
      <w:r>
        <w:rPr>
          <w:rFonts w:ascii="맑은 고딕" w:hAnsi="맑은 고딕" w:eastAsia="맑은 고딕"/>
          <w:b w:val="0"/>
          <w:i w:val="0"/>
          <w:sz w:val="22"/>
        </w:rPr>
        <w:t>배관 구경은 NFSC 103(국가화재안전기준)의 배관 구경 산정표에 따라 하류측 스프링클러 헤드 수를 기준으로 자동 선정한다. 이 산정 규칙은 적절한 유량 수용 능력을 확보하면서 경제적으로 효율적인 배관 구경을 보장한다:</w:t>
      </w:r>
    </w:p>
    <w:p>
      <w:r>
        <w:rPr>
          <w:rFonts w:ascii="맑은 고딕" w:hAnsi="맑은 고딕" w:eastAsia="맑은 고딕"/>
          <w:b/>
          <w:sz w:val="20"/>
        </w:rPr>
        <w:t>표 2. 자동 배관 구경 산정 규칙 (JIS/KS Schedule 40 탄소강).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맑은 고딕" w:hAnsi="맑은 고딕" w:eastAsia="맑은 고딕"/>
                <w:b/>
                <w:sz w:val="18"/>
              </w:rPr>
              <w:t>하류 헤드 수</w:t>
            </w:r>
          </w:p>
        </w:tc>
        <w:tc>
          <w:tcPr>
            <w:tcW w:type="dxa" w:w="2880"/>
          </w:tcPr>
          <w:p>
            <w:pPr>
              <w:jc w:val="center"/>
            </w:pPr>
            <w:r>
              <w:rPr>
                <w:rFonts w:ascii="맑은 고딕" w:hAnsi="맑은 고딕" w:eastAsia="맑은 고딕"/>
                <w:b/>
                <w:sz w:val="18"/>
              </w:rPr>
              <w:t>가지배관 구경</w:t>
            </w:r>
          </w:p>
        </w:tc>
        <w:tc>
          <w:tcPr>
            <w:tcW w:type="dxa" w:w="2880"/>
          </w:tcPr>
          <w:p>
            <w:pPr>
              <w:jc w:val="center"/>
            </w:pPr>
            <w:r>
              <w:rPr>
                <w:rFonts w:ascii="맑은 고딕" w:hAnsi="맑은 고딕" w:eastAsia="맑은 고딕"/>
                <w:b/>
                <w:sz w:val="18"/>
              </w:rPr>
              <w:t>사양</w:t>
            </w:r>
          </w:p>
        </w:tc>
      </w:tr>
      <w:tr>
        <w:tc>
          <w:tcPr>
            <w:tcW w:type="dxa" w:w="2880"/>
          </w:tcPr>
          <w:p>
            <w:r>
              <w:rPr>
                <w:rFonts w:ascii="맑은 고딕" w:hAnsi="맑은 고딕" w:eastAsia="맑은 고딕"/>
                <w:sz w:val="18"/>
              </w:rPr>
              <w:t>1~2</w:t>
            </w:r>
          </w:p>
        </w:tc>
        <w:tc>
          <w:tcPr>
            <w:tcW w:type="dxa" w:w="2880"/>
          </w:tcPr>
          <w:p>
            <w:r>
              <w:rPr>
                <w:rFonts w:ascii="맑은 고딕" w:hAnsi="맑은 고딕" w:eastAsia="맑은 고딕"/>
                <w:sz w:val="18"/>
              </w:rPr>
              <w:t>25A</w:t>
            </w:r>
          </w:p>
        </w:tc>
        <w:tc>
          <w:tcPr>
            <w:tcW w:type="dxa" w:w="2880"/>
          </w:tcPr>
          <w:p>
            <w:r>
              <w:rPr>
                <w:rFonts w:ascii="맑은 고딕" w:hAnsi="맑은 고딕" w:eastAsia="맑은 고딕"/>
                <w:sz w:val="18"/>
              </w:rPr>
              <w:t>외경 33.40 mm, 내경 26.64 mm</w:t>
            </w:r>
          </w:p>
        </w:tc>
      </w:tr>
      <w:tr>
        <w:tc>
          <w:tcPr>
            <w:tcW w:type="dxa" w:w="2880"/>
          </w:tcPr>
          <w:p>
            <w:r>
              <w:rPr>
                <w:rFonts w:ascii="맑은 고딕" w:hAnsi="맑은 고딕" w:eastAsia="맑은 고딕"/>
                <w:sz w:val="18"/>
              </w:rPr>
              <w:t>3</w:t>
            </w:r>
          </w:p>
        </w:tc>
        <w:tc>
          <w:tcPr>
            <w:tcW w:type="dxa" w:w="2880"/>
          </w:tcPr>
          <w:p>
            <w:r>
              <w:rPr>
                <w:rFonts w:ascii="맑은 고딕" w:hAnsi="맑은 고딕" w:eastAsia="맑은 고딕"/>
                <w:sz w:val="18"/>
              </w:rPr>
              <w:t>32A</w:t>
            </w:r>
          </w:p>
        </w:tc>
        <w:tc>
          <w:tcPr>
            <w:tcW w:type="dxa" w:w="2880"/>
          </w:tcPr>
          <w:p>
            <w:r>
              <w:rPr>
                <w:rFonts w:ascii="맑은 고딕" w:hAnsi="맑은 고딕" w:eastAsia="맑은 고딕"/>
                <w:sz w:val="18"/>
              </w:rPr>
              <w:t>외경 42.16 mm, 내경 35.04 mm</w:t>
            </w:r>
          </w:p>
        </w:tc>
      </w:tr>
      <w:tr>
        <w:tc>
          <w:tcPr>
            <w:tcW w:type="dxa" w:w="2880"/>
          </w:tcPr>
          <w:p>
            <w:r>
              <w:rPr>
                <w:rFonts w:ascii="맑은 고딕" w:hAnsi="맑은 고딕" w:eastAsia="맑은 고딕"/>
                <w:sz w:val="18"/>
              </w:rPr>
              <w:t>4~5</w:t>
            </w:r>
          </w:p>
        </w:tc>
        <w:tc>
          <w:tcPr>
            <w:tcW w:type="dxa" w:w="2880"/>
          </w:tcPr>
          <w:p>
            <w:r>
              <w:rPr>
                <w:rFonts w:ascii="맑은 고딕" w:hAnsi="맑은 고딕" w:eastAsia="맑은 고딕"/>
                <w:sz w:val="18"/>
              </w:rPr>
              <w:t>40A</w:t>
            </w:r>
          </w:p>
        </w:tc>
        <w:tc>
          <w:tcPr>
            <w:tcW w:type="dxa" w:w="2880"/>
          </w:tcPr>
          <w:p>
            <w:r>
              <w:rPr>
                <w:rFonts w:ascii="맑은 고딕" w:hAnsi="맑은 고딕" w:eastAsia="맑은 고딕"/>
                <w:sz w:val="18"/>
              </w:rPr>
              <w:t>외경 48.26 mm, 내경 40.90 mm</w:t>
            </w:r>
          </w:p>
        </w:tc>
      </w:tr>
      <w:tr>
        <w:tc>
          <w:tcPr>
            <w:tcW w:type="dxa" w:w="2880"/>
          </w:tcPr>
          <w:p>
            <w:r>
              <w:rPr>
                <w:rFonts w:ascii="맑은 고딕" w:hAnsi="맑은 고딕" w:eastAsia="맑은 고딕"/>
                <w:sz w:val="18"/>
              </w:rPr>
              <w:t>6~11</w:t>
            </w:r>
          </w:p>
        </w:tc>
        <w:tc>
          <w:tcPr>
            <w:tcW w:type="dxa" w:w="2880"/>
          </w:tcPr>
          <w:p>
            <w:r>
              <w:rPr>
                <w:rFonts w:ascii="맑은 고딕" w:hAnsi="맑은 고딕" w:eastAsia="맑은 고딕"/>
                <w:sz w:val="18"/>
              </w:rPr>
              <w:t>50A</w:t>
            </w:r>
          </w:p>
        </w:tc>
        <w:tc>
          <w:tcPr>
            <w:tcW w:type="dxa" w:w="2880"/>
          </w:tcPr>
          <w:p>
            <w:r>
              <w:rPr>
                <w:rFonts w:ascii="맑은 고딕" w:hAnsi="맑은 고딕" w:eastAsia="맑은 고딕"/>
                <w:sz w:val="18"/>
              </w:rPr>
              <w:t>외경 60.33 mm, 내경 52.51 mm</w:t>
            </w:r>
          </w:p>
        </w:tc>
      </w:tr>
      <w:tr>
        <w:tc>
          <w:tcPr>
            <w:tcW w:type="dxa" w:w="2880"/>
          </w:tcPr>
          <w:p>
            <w:r>
              <w:rPr>
                <w:rFonts w:ascii="맑은 고딕" w:hAnsi="맑은 고딕" w:eastAsia="맑은 고딕"/>
                <w:sz w:val="18"/>
              </w:rPr>
              <w:t>12 이상</w:t>
            </w:r>
          </w:p>
        </w:tc>
        <w:tc>
          <w:tcPr>
            <w:tcW w:type="dxa" w:w="2880"/>
          </w:tcPr>
          <w:p>
            <w:r>
              <w:rPr>
                <w:rFonts w:ascii="맑은 고딕" w:hAnsi="맑은 고딕" w:eastAsia="맑은 고딕"/>
                <w:sz w:val="18"/>
              </w:rPr>
              <w:t>65A</w:t>
            </w:r>
          </w:p>
        </w:tc>
        <w:tc>
          <w:tcPr>
            <w:tcW w:type="dxa" w:w="2880"/>
          </w:tcPr>
          <w:p>
            <w:r>
              <w:rPr>
                <w:rFonts w:ascii="맑은 고딕" w:hAnsi="맑은 고딕" w:eastAsia="맑은 고딕"/>
                <w:sz w:val="18"/>
              </w:rPr>
              <w:t>외경 73.03 mm, 내경 62.71 mm</w:t>
            </w:r>
          </w:p>
        </w:tc>
      </w:tr>
    </w:tbl>
    <w:p/>
    <w:p>
      <w:r>
        <w:rPr>
          <w:rFonts w:ascii="맑은 고딕" w:hAnsi="맑은 고딕" w:eastAsia="맑은 고딕"/>
          <w:b/>
          <w:sz w:val="20"/>
        </w:rPr>
        <w:t>표 3. 총 시스템 헤드 수에 따른 교차배관 구경 산정.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맑은 고딕" w:hAnsi="맑은 고딕" w:eastAsia="맑은 고딕"/>
                <w:b/>
                <w:sz w:val="18"/>
              </w:rPr>
              <w:t>총 시스템 헤드 수</w:t>
            </w:r>
          </w:p>
        </w:tc>
        <w:tc>
          <w:tcPr>
            <w:tcW w:type="dxa" w:w="2880"/>
          </w:tcPr>
          <w:p>
            <w:pPr>
              <w:jc w:val="center"/>
            </w:pPr>
            <w:r>
              <w:rPr>
                <w:rFonts w:ascii="맑은 고딕" w:hAnsi="맑은 고딕" w:eastAsia="맑은 고딕"/>
                <w:b/>
                <w:sz w:val="18"/>
              </w:rPr>
              <w:t>교차배관 구경</w:t>
            </w:r>
          </w:p>
        </w:tc>
        <w:tc>
          <w:tcPr>
            <w:tcW w:type="dxa" w:w="2880"/>
          </w:tcPr>
          <w:p>
            <w:pPr>
              <w:jc w:val="center"/>
            </w:pPr>
            <w:r>
              <w:rPr>
                <w:rFonts w:ascii="맑은 고딕" w:hAnsi="맑은 고딕" w:eastAsia="맑은 고딕"/>
                <w:b/>
                <w:sz w:val="18"/>
              </w:rPr>
              <w:t>내경 (mm)</w:t>
            </w:r>
          </w:p>
        </w:tc>
      </w:tr>
      <w:tr>
        <w:tc>
          <w:tcPr>
            <w:tcW w:type="dxa" w:w="2880"/>
          </w:tcPr>
          <w:p>
            <w:r>
              <w:rPr>
                <w:rFonts w:ascii="맑은 고딕" w:hAnsi="맑은 고딕" w:eastAsia="맑은 고딕"/>
                <w:sz w:val="18"/>
              </w:rPr>
              <w:t>20 미만</w:t>
            </w:r>
          </w:p>
        </w:tc>
        <w:tc>
          <w:tcPr>
            <w:tcW w:type="dxa" w:w="2880"/>
          </w:tcPr>
          <w:p>
            <w:r>
              <w:rPr>
                <w:rFonts w:ascii="맑은 고딕" w:hAnsi="맑은 고딕" w:eastAsia="맑은 고딕"/>
                <w:sz w:val="18"/>
              </w:rPr>
              <w:t>65A</w:t>
            </w:r>
          </w:p>
        </w:tc>
        <w:tc>
          <w:tcPr>
            <w:tcW w:type="dxa" w:w="2880"/>
          </w:tcPr>
          <w:p>
            <w:r>
              <w:rPr>
                <w:rFonts w:ascii="맑은 고딕" w:hAnsi="맑은 고딕" w:eastAsia="맑은 고딕"/>
                <w:sz w:val="18"/>
              </w:rPr>
              <w:t>62.71</w:t>
            </w:r>
          </w:p>
        </w:tc>
      </w:tr>
      <w:tr>
        <w:tc>
          <w:tcPr>
            <w:tcW w:type="dxa" w:w="2880"/>
          </w:tcPr>
          <w:p>
            <w:r>
              <w:rPr>
                <w:rFonts w:ascii="맑은 고딕" w:hAnsi="맑은 고딕" w:eastAsia="맑은 고딕"/>
                <w:sz w:val="18"/>
              </w:rPr>
              <w:t>20~39</w:t>
            </w:r>
          </w:p>
        </w:tc>
        <w:tc>
          <w:tcPr>
            <w:tcW w:type="dxa" w:w="2880"/>
          </w:tcPr>
          <w:p>
            <w:r>
              <w:rPr>
                <w:rFonts w:ascii="맑은 고딕" w:hAnsi="맑은 고딕" w:eastAsia="맑은 고딕"/>
                <w:sz w:val="18"/>
              </w:rPr>
              <w:t>80A</w:t>
            </w:r>
          </w:p>
        </w:tc>
        <w:tc>
          <w:tcPr>
            <w:tcW w:type="dxa" w:w="2880"/>
          </w:tcPr>
          <w:p>
            <w:r>
              <w:rPr>
                <w:rFonts w:ascii="맑은 고딕" w:hAnsi="맑은 고딕" w:eastAsia="맑은 고딕"/>
                <w:sz w:val="18"/>
              </w:rPr>
              <w:t>77.92</w:t>
            </w:r>
          </w:p>
        </w:tc>
      </w:tr>
      <w:tr>
        <w:tc>
          <w:tcPr>
            <w:tcW w:type="dxa" w:w="2880"/>
          </w:tcPr>
          <w:p>
            <w:r>
              <w:rPr>
                <w:rFonts w:ascii="맑은 고딕" w:hAnsi="맑은 고딕" w:eastAsia="맑은 고딕"/>
                <w:sz w:val="18"/>
              </w:rPr>
              <w:t>40 이상</w:t>
            </w:r>
          </w:p>
        </w:tc>
        <w:tc>
          <w:tcPr>
            <w:tcW w:type="dxa" w:w="2880"/>
          </w:tcPr>
          <w:p>
            <w:r>
              <w:rPr>
                <w:rFonts w:ascii="맑은 고딕" w:hAnsi="맑은 고딕" w:eastAsia="맑은 고딕"/>
                <w:sz w:val="18"/>
              </w:rPr>
              <w:t>100A</w:t>
            </w:r>
          </w:p>
        </w:tc>
        <w:tc>
          <w:tcPr>
            <w:tcW w:type="dxa" w:w="2880"/>
          </w:tcPr>
          <w:p>
            <w:r>
              <w:rPr>
                <w:rFonts w:ascii="맑은 고딕" w:hAnsi="맑은 고딕" w:eastAsia="맑은 고딕"/>
                <w:sz w:val="18"/>
              </w:rPr>
              <w:t>102.26</w:t>
            </w:r>
          </w:p>
        </w:tc>
      </w:tr>
    </w:tbl>
    <w:p/>
    <w:p>
      <w:pPr>
        <w:pStyle w:val="Heading2"/>
      </w:pPr>
      <w:r>
        <w:rPr>
          <w:rFonts w:ascii="맑은 고딕" w:hAnsi="맑은 고딕" w:eastAsia="맑은 고딕"/>
          <w:color w:val="000000"/>
          <w:sz w:val="24"/>
        </w:rPr>
        <w:t>1.3 그리드 배관망 해석: Hardy–Cross 방법</w:t>
      </w:r>
    </w:p>
    <w:p>
      <w:r>
        <w:rPr>
          <w:rFonts w:ascii="맑은 고딕" w:hAnsi="맑은 고딕" w:eastAsia="맑은 고딕"/>
          <w:b w:val="0"/>
          <w:i w:val="0"/>
          <w:sz w:val="22"/>
        </w:rPr>
        <w:t>상하부 교차배관을 모두 갖는 그리드(루프형) 배관 구성에서는 단순 순차 계산으로 유량 분배를 결정할 수 없다. Hardy–Cross 방법(Cross, 1936)을 적용하여 각 폐루프의 유량을 에너지 보존이 만족될 때까지 반복적으로 균형시킨다.</w:t>
      </w:r>
    </w:p>
    <w:p>
      <w:pPr>
        <w:pStyle w:val="Heading3"/>
      </w:pPr>
      <w:r>
        <w:rPr>
          <w:rFonts w:ascii="맑은 고딕" w:hAnsi="맑은 고딕" w:eastAsia="맑은 고딕"/>
          <w:color w:val="000000"/>
          <w:sz w:val="22"/>
        </w:rPr>
        <w:t>1.3.1 정식화</w:t>
      </w:r>
    </w:p>
    <w:p>
      <w:r>
        <w:rPr>
          <w:rFonts w:ascii="맑은 고딕" w:hAnsi="맑은 고딕" w:eastAsia="맑은 고딕"/>
          <w:b w:val="0"/>
          <w:i w:val="0"/>
          <w:sz w:val="22"/>
        </w:rPr>
        <w:t>n개의 가지배관이 n개의 직사각형 루프를 형성하는 배관망을 고려한다. 각 루프 L에서 수두 손실의 대수적 합은 0이어야 한다(키르히호프 전압 법칙의 유사 원리):</w:t>
      </w:r>
    </w:p>
    <w:p>
      <w:pPr>
        <w:jc w:val="center"/>
      </w:pPr>
      <w:r>
        <w:rPr>
          <w:rFonts w:ascii="Cambria Math" w:hAnsi="Cambria Math"/>
          <w:i/>
          <w:sz w:val="22"/>
        </w:rPr>
        <w:t>Σ h_{f,i} · sign(Q_i) = 0    (각 루프 L에 대해)</w:t>
      </w:r>
      <w:r>
        <w:rPr>
          <w:rFonts w:ascii="맑은 고딕" w:hAnsi="맑은 고딕" w:eastAsia="맑은 고딕"/>
          <w:sz w:val="22"/>
        </w:rPr>
        <w:t xml:space="preserve">    (10)</w:t>
      </w:r>
    </w:p>
    <w:p>
      <w:r>
        <w:rPr>
          <w:rFonts w:ascii="맑은 고딕" w:hAnsi="맑은 고딕" w:eastAsia="맑은 고딕"/>
          <w:b w:val="0"/>
          <w:i w:val="0"/>
          <w:sz w:val="22"/>
        </w:rPr>
        <w:t>각 반복에서 루프 L에 대한 유량 보정값은 다음과 같이 산출한다:</w:t>
      </w:r>
    </w:p>
    <w:p>
      <w:pPr>
        <w:jc w:val="center"/>
      </w:pPr>
      <w:r>
        <w:rPr>
          <w:rFonts w:ascii="Cambria Math" w:hAnsi="Cambria Math"/>
          <w:i/>
          <w:sz w:val="22"/>
        </w:rPr>
        <w:t>ΔQ_L = − Σ h_{f,i} / Σ (∂h_{f,i}/∂Q_i)</w:t>
      </w:r>
      <w:r>
        <w:rPr>
          <w:rFonts w:ascii="맑은 고딕" w:hAnsi="맑은 고딕" w:eastAsia="맑은 고딕"/>
          <w:sz w:val="22"/>
        </w:rPr>
        <w:t xml:space="preserve">    (11)</w:t>
      </w:r>
    </w:p>
    <w:p>
      <w:r>
        <w:rPr>
          <w:rFonts w:ascii="맑은 고딕" w:hAnsi="맑은 고딕" w:eastAsia="맑은 고딕"/>
          <w:b w:val="0"/>
          <w:i w:val="0"/>
          <w:sz w:val="22"/>
        </w:rPr>
        <w:t>난류 유동에서 수두 손실-유량 관계는 근사적으로 2차 관계(h_f ∝ Q²)이므로, 미분 근사는 다음과 같다:</w:t>
      </w:r>
    </w:p>
    <w:p>
      <w:pPr>
        <w:jc w:val="center"/>
      </w:pPr>
      <w:r>
        <w:rPr>
          <w:rFonts w:ascii="Cambria Math" w:hAnsi="Cambria Math"/>
          <w:i/>
          <w:sz w:val="22"/>
        </w:rPr>
        <w:t>∂h_f/∂Q ≈ 2 · h_f / |Q|</w:t>
      </w:r>
      <w:r>
        <w:rPr>
          <w:rFonts w:ascii="맑은 고딕" w:hAnsi="맑은 고딕" w:eastAsia="맑은 고딕"/>
          <w:sz w:val="22"/>
        </w:rPr>
        <w:t xml:space="preserve">    (12)</w:t>
      </w:r>
    </w:p>
    <w:p>
      <w:r>
        <w:rPr>
          <w:rFonts w:ascii="맑은 고딕" w:hAnsi="맑은 고딕" w:eastAsia="맑은 고딕"/>
          <w:b w:val="0"/>
          <w:i w:val="0"/>
          <w:sz w:val="22"/>
        </w:rPr>
        <w:t>각 배관의 유량은 다음과 같이 갱신한다:</w:t>
      </w:r>
    </w:p>
    <w:p>
      <w:pPr>
        <w:jc w:val="center"/>
      </w:pPr>
      <w:r>
        <w:rPr>
          <w:rFonts w:ascii="Cambria Math" w:hAnsi="Cambria Math"/>
          <w:i/>
          <w:sz w:val="22"/>
        </w:rPr>
        <w:t>Q_i^(k+1) = Q_i^(k) + ΔQ_L · d_i · ω</w:t>
      </w:r>
      <w:r>
        <w:rPr>
          <w:rFonts w:ascii="맑은 고딕" w:hAnsi="맑은 고딕" w:eastAsia="맑은 고딕"/>
          <w:sz w:val="22"/>
        </w:rPr>
        <w:t xml:space="preserve">    (13)</w:t>
      </w:r>
    </w:p>
    <w:p>
      <w:r>
        <w:rPr>
          <w:rFonts w:ascii="맑은 고딕" w:hAnsi="맑은 고딕" w:eastAsia="맑은 고딕"/>
          <w:b w:val="0"/>
          <w:i w:val="0"/>
          <w:sz w:val="22"/>
        </w:rPr>
        <w:t>여기서 d_i는 루프 내에서 해당 배관의 방향을 나타내는 방향 계수(+1 또는 −1), ω는 감쇠 계수(기본값 0.5, 조정 범위 0.1~1.0), k는 반복 인덱스이다.</w:t>
      </w:r>
    </w:p>
    <w:p>
      <w:pPr>
        <w:pStyle w:val="Heading3"/>
      </w:pPr>
      <w:r>
        <w:rPr>
          <w:rFonts w:ascii="맑은 고딕" w:hAnsi="맑은 고딕" w:eastAsia="맑은 고딕"/>
          <w:color w:val="000000"/>
          <w:sz w:val="22"/>
        </w:rPr>
        <w:t>1.3.2 수렴 기준</w:t>
      </w:r>
    </w:p>
    <w:p>
      <w:r>
        <w:rPr>
          <w:rFonts w:ascii="맑은 고딕" w:hAnsi="맑은 고딕" w:eastAsia="맑은 고딕"/>
          <w:b w:val="0"/>
          <w:i w:val="0"/>
          <w:sz w:val="22"/>
        </w:rPr>
        <w:t>다음의 이중 수렴 기준이 동시에 만족될 때 반복 과정을 종료한다:</w:t>
      </w:r>
    </w:p>
    <w:p>
      <w:r>
        <w:rPr>
          <w:rFonts w:ascii="맑은 고딕" w:hAnsi="맑은 고딕" w:eastAsia="맑은 고딕"/>
          <w:b/>
          <w:sz w:val="20"/>
        </w:rPr>
        <w:t>표 4. Hardy–Cross 이중 수렴 기준.</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맑은 고딕" w:hAnsi="맑은 고딕" w:eastAsia="맑은 고딕"/>
                <w:b/>
                <w:sz w:val="18"/>
              </w:rPr>
              <w:t>기준</w:t>
            </w:r>
          </w:p>
        </w:tc>
        <w:tc>
          <w:tcPr>
            <w:tcW w:type="dxa" w:w="2880"/>
          </w:tcPr>
          <w:p>
            <w:pPr>
              <w:jc w:val="center"/>
            </w:pPr>
            <w:r>
              <w:rPr>
                <w:rFonts w:ascii="맑은 고딕" w:hAnsi="맑은 고딕" w:eastAsia="맑은 고딕"/>
                <w:b/>
                <w:sz w:val="18"/>
              </w:rPr>
              <w:t>허용 오차</w:t>
            </w:r>
          </w:p>
        </w:tc>
        <w:tc>
          <w:tcPr>
            <w:tcW w:type="dxa" w:w="2880"/>
          </w:tcPr>
          <w:p>
            <w:pPr>
              <w:jc w:val="center"/>
            </w:pPr>
            <w:r>
              <w:rPr>
                <w:rFonts w:ascii="맑은 고딕" w:hAnsi="맑은 고딕" w:eastAsia="맑은 고딕"/>
                <w:b/>
                <w:sz w:val="18"/>
              </w:rPr>
              <w:t>물리적 의미</w:t>
            </w:r>
          </w:p>
        </w:tc>
      </w:tr>
      <w:tr>
        <w:tc>
          <w:tcPr>
            <w:tcW w:type="dxa" w:w="2880"/>
          </w:tcPr>
          <w:p>
            <w:r>
              <w:rPr>
                <w:rFonts w:ascii="맑은 고딕" w:hAnsi="맑은 고딕" w:eastAsia="맑은 고딕"/>
                <w:sz w:val="18"/>
              </w:rPr>
              <w:t>모든 루프에 대한 max |Σh_f|</w:t>
            </w:r>
          </w:p>
        </w:tc>
        <w:tc>
          <w:tcPr>
            <w:tcW w:type="dxa" w:w="2880"/>
          </w:tcPr>
          <w:p>
            <w:r>
              <w:rPr>
                <w:rFonts w:ascii="맑은 고딕" w:hAnsi="맑은 고딕" w:eastAsia="맑은 고딕"/>
                <w:sz w:val="18"/>
              </w:rPr>
              <w:t>&lt; 0.001 m (≈ 0.01 kPa)</w:t>
            </w:r>
          </w:p>
        </w:tc>
        <w:tc>
          <w:tcPr>
            <w:tcW w:type="dxa" w:w="2880"/>
          </w:tcPr>
          <w:p>
            <w:r>
              <w:rPr>
                <w:rFonts w:ascii="맑은 고딕" w:hAnsi="맑은 고딕" w:eastAsia="맑은 고딕"/>
                <w:sz w:val="18"/>
              </w:rPr>
              <w:t>루프 에너지 불균형</w:t>
            </w:r>
          </w:p>
        </w:tc>
      </w:tr>
      <w:tr>
        <w:tc>
          <w:tcPr>
            <w:tcW w:type="dxa" w:w="2880"/>
          </w:tcPr>
          <w:p>
            <w:r>
              <w:rPr>
                <w:rFonts w:ascii="맑은 고딕" w:hAnsi="맑은 고딕" w:eastAsia="맑은 고딕"/>
                <w:sz w:val="18"/>
              </w:rPr>
              <w:t>모든 루프에 대한 max |ΔQ|</w:t>
            </w:r>
          </w:p>
        </w:tc>
        <w:tc>
          <w:tcPr>
            <w:tcW w:type="dxa" w:w="2880"/>
          </w:tcPr>
          <w:p>
            <w:r>
              <w:rPr>
                <w:rFonts w:ascii="맑은 고딕" w:hAnsi="맑은 고딕" w:eastAsia="맑은 고딕"/>
                <w:sz w:val="18"/>
              </w:rPr>
              <w:t>&lt; 0.0001 LPM</w:t>
            </w:r>
          </w:p>
        </w:tc>
        <w:tc>
          <w:tcPr>
            <w:tcW w:type="dxa" w:w="2880"/>
          </w:tcPr>
          <w:p>
            <w:r>
              <w:rPr>
                <w:rFonts w:ascii="맑은 고딕" w:hAnsi="맑은 고딕" w:eastAsia="맑은 고딕"/>
                <w:sz w:val="18"/>
              </w:rPr>
              <w:t>유량 보정량 크기</w:t>
            </w:r>
          </w:p>
        </w:tc>
      </w:tr>
    </w:tbl>
    <w:p/>
    <w:p>
      <w:r>
        <w:rPr>
          <w:rFonts w:ascii="맑은 고딕" w:hAnsi="맑은 고딕" w:eastAsia="맑은 고딕"/>
          <w:b w:val="0"/>
          <w:i w:val="0"/>
          <w:sz w:val="22"/>
        </w:rPr>
        <w:t>최대 반복 횟수는 1,000회로 설정한다. 발산 감지를 위해 알고리즘은 루프 불균형이 3회 연속 증가하는지를 감시하며, 발산이 감지되면 계산을 조기 종료하고 경고 메시지를 발생시켜 신뢰할 수 없는 결과의 산출을 방지한다. 이 이중 수렴 기준은 에너지 균형(압력)과 질량 보존(유량) 모두가 공학적 정밀도 수준에서 만족됨을 보장한다.</w:t>
      </w:r>
    </w:p>
    <w:p>
      <w:pPr>
        <w:pStyle w:val="Heading3"/>
      </w:pPr>
      <w:r>
        <w:rPr>
          <w:rFonts w:ascii="맑은 고딕" w:hAnsi="맑은 고딕" w:eastAsia="맑은 고딕"/>
          <w:color w:val="000000"/>
          <w:sz w:val="22"/>
        </w:rPr>
        <w:t>1.3.3 BFS 기반 절점 압력 계산</w:t>
      </w:r>
    </w:p>
    <w:p>
      <w:r>
        <w:rPr>
          <w:rFonts w:ascii="맑은 고딕" w:hAnsi="맑은 고딕" w:eastAsia="맑은 고딕"/>
          <w:b w:val="0"/>
          <w:i w:val="0"/>
          <w:sz w:val="22"/>
        </w:rPr>
        <w:t>유량 수렴 후, 절점 압력은 입구 절점(기지 압력 경계조건)에서 출발하는 너비 우선 탐색(BFS)을 통해 계산한다. 기지 압력 P_i를 갖는 절점 i와 절점 j를 연결하는 각 배관에 대해, 하류측 압력은 다음과 같다:</w:t>
      </w:r>
    </w:p>
    <w:p>
      <w:pPr>
        <w:jc w:val="center"/>
      </w:pPr>
      <w:r>
        <w:rPr>
          <w:rFonts w:ascii="Cambria Math" w:hAnsi="Cambria Math"/>
          <w:i/>
          <w:sz w:val="22"/>
        </w:rPr>
        <w:t>P_j = P_i − Δp_{i→j}(Q_{pipe})</w:t>
      </w:r>
      <w:r>
        <w:rPr>
          <w:rFonts w:ascii="맑은 고딕" w:hAnsi="맑은 고딕" w:eastAsia="맑은 고딕"/>
          <w:sz w:val="22"/>
        </w:rPr>
        <w:t xml:space="preserve">    (14)</w:t>
      </w:r>
    </w:p>
    <w:p>
      <w:r>
        <w:rPr>
          <w:rFonts w:ascii="맑은 고딕" w:hAnsi="맑은 고딕" w:eastAsia="맑은 고딕"/>
          <w:b w:val="0"/>
          <w:i w:val="0"/>
          <w:sz w:val="22"/>
        </w:rPr>
        <w:t>여기서 Δp는 수렴된 유량에 대해 Darcy–Weisbach 방정식과 모든 해당 부차적 손실 계수를 적용하여 계산한 압력 강하이다. 이를 통해 그리드 배관망 전체에 걸친 일관된 압력 분포를 보장한다.</w:t>
      </w:r>
    </w:p>
    <w:p>
      <w:pPr>
        <w:pStyle w:val="Heading2"/>
      </w:pPr>
      <w:r>
        <w:rPr>
          <w:rFonts w:ascii="맑은 고딕" w:hAnsi="맑은 고딕" w:eastAsia="맑은 고딕"/>
          <w:color w:val="000000"/>
          <w:sz w:val="24"/>
        </w:rPr>
        <w:t>1.4 펌프 성능 해석</w:t>
      </w:r>
    </w:p>
    <w:p>
      <w:pPr>
        <w:pStyle w:val="Heading3"/>
      </w:pPr>
      <w:r>
        <w:rPr>
          <w:rFonts w:ascii="맑은 고딕" w:hAnsi="맑은 고딕" w:eastAsia="맑은 고딕"/>
          <w:color w:val="000000"/>
          <w:sz w:val="22"/>
        </w:rPr>
        <w:t>1.4.1 펌프 곡선 보간</w:t>
      </w:r>
    </w:p>
    <w:p>
      <w:r>
        <w:rPr>
          <w:rFonts w:ascii="맑은 고딕" w:hAnsi="맑은 고딕" w:eastAsia="맑은 고딕"/>
          <w:b w:val="0"/>
          <w:i w:val="0"/>
          <w:sz w:val="22"/>
        </w:rPr>
        <w:t>제조사 제공 펌프 성능 데이터(Q–H 점)를 3차 스플라인(SciPy interp1d, kind='cubic')으로 보간하여 연속적인 펌프 특성 곡선 H_pump(Q)를 생성한다. 이 방법은 가정된 다항식 차수 없이 폐쇄 수두 및 곡선 말단 거동을 포함한 펌프 곡선의 물리적 형상을 보존한다.</w:t>
      </w:r>
    </w:p>
    <w:p>
      <w:pPr>
        <w:pStyle w:val="Heading3"/>
      </w:pPr>
      <w:r>
        <w:rPr>
          <w:rFonts w:ascii="맑은 고딕" w:hAnsi="맑은 고딕" w:eastAsia="맑은 고딕"/>
          <w:color w:val="000000"/>
          <w:sz w:val="22"/>
        </w:rPr>
        <w:t>1.4.2 배관 시스템 저항 곡선</w:t>
      </w:r>
    </w:p>
    <w:p>
      <w:r>
        <w:rPr>
          <w:rFonts w:ascii="맑은 고딕" w:hAnsi="맑은 고딕" w:eastAsia="맑은 고딕"/>
          <w:b w:val="0"/>
          <w:i w:val="0"/>
          <w:sz w:val="22"/>
        </w:rPr>
        <w:t>시스템 저항 곡선 H_sys(Q)는 여러 유량에서 배관망 전체의 총 수두 손실을 계산하여 구성한다. 각 시험 유량 Q_test에 대해 전체 배관망 시뮬레이션을 수행하고, 총 수두 손실을 다음과 같이 결정한다:</w:t>
      </w:r>
    </w:p>
    <w:p>
      <w:pPr>
        <w:jc w:val="center"/>
      </w:pPr>
      <w:r>
        <w:rPr>
          <w:rFonts w:ascii="Cambria Math" w:hAnsi="Cambria Math"/>
          <w:i/>
          <w:sz w:val="22"/>
        </w:rPr>
        <w:t>H_sys(Q) = [P_inlet − P_terminal(Q)] · 10⁶ / (ρg) + H_min</w:t>
      </w:r>
      <w:r>
        <w:rPr>
          <w:rFonts w:ascii="맑은 고딕" w:hAnsi="맑은 고딕" w:eastAsia="맑은 고딕"/>
          <w:sz w:val="22"/>
        </w:rPr>
        <w:t xml:space="preserve">    (15)</w:t>
      </w:r>
    </w:p>
    <w:p>
      <w:r>
        <w:rPr>
          <w:rFonts w:ascii="맑은 고딕" w:hAnsi="맑은 고딕" w:eastAsia="맑은 고딕"/>
          <w:b w:val="0"/>
          <w:i w:val="0"/>
          <w:sz w:val="22"/>
        </w:rPr>
        <w:t>여기서 H_min은 최소 말단 수두 요구량(설계 기준 0.1 MPa에 해당)이다.</w:t>
      </w:r>
    </w:p>
    <w:p>
      <w:pPr>
        <w:pStyle w:val="Heading3"/>
      </w:pPr>
      <w:r>
        <w:rPr>
          <w:rFonts w:ascii="맑은 고딕" w:hAnsi="맑은 고딕" w:eastAsia="맑은 고딕"/>
          <w:color w:val="000000"/>
          <w:sz w:val="22"/>
        </w:rPr>
        <w:t>1.4.3 운전점 결정</w:t>
      </w:r>
    </w:p>
    <w:p>
      <w:r>
        <w:rPr>
          <w:rFonts w:ascii="맑은 고딕" w:hAnsi="맑은 고딕" w:eastAsia="맑은 고딕"/>
          <w:b w:val="0"/>
          <w:i w:val="0"/>
          <w:sz w:val="22"/>
        </w:rPr>
        <w:t>운전점은 펌프 곡선과 시스템 저항 곡선의 교차점, 즉 다음을 만족하는 유량 Q*에서 결정된다:</w:t>
      </w:r>
    </w:p>
    <w:p>
      <w:pPr>
        <w:jc w:val="center"/>
      </w:pPr>
      <w:r>
        <w:rPr>
          <w:rFonts w:ascii="Cambria Math" w:hAnsi="Cambria Math"/>
          <w:i/>
          <w:sz w:val="22"/>
        </w:rPr>
        <w:t>H_pump(Q*) − H_sys(Q*) = 0</w:t>
      </w:r>
      <w:r>
        <w:rPr>
          <w:rFonts w:ascii="맑은 고딕" w:hAnsi="맑은 고딕" w:eastAsia="맑은 고딕"/>
          <w:sz w:val="22"/>
        </w:rPr>
        <w:t xml:space="preserve">    (16)</w:t>
      </w:r>
    </w:p>
    <w:p>
      <w:r>
        <w:rPr>
          <w:rFonts w:ascii="맑은 고딕" w:hAnsi="맑은 고딕" w:eastAsia="맑은 고딕"/>
          <w:b w:val="0"/>
          <w:i w:val="0"/>
          <w:sz w:val="22"/>
        </w:rPr>
        <w:t>이 근 탐색 문제는 Brent 방법(scipy.optimize.brentq)으로 풀이하며, 허용 오차는 ±0.1 LPM이다. 이 방법은 구간 내에서 연속적이고 단조적으로 분기하는 펌프 곡선과 시스템 곡선에 대해 수렴을 보장한다. 해당 운전점에서의 펌프 소비 전력은 다음과 같이 산출한다:</w:t>
      </w:r>
    </w:p>
    <w:p>
      <w:pPr>
        <w:jc w:val="center"/>
      </w:pPr>
      <w:r>
        <w:rPr>
          <w:rFonts w:ascii="Cambria Math" w:hAnsi="Cambria Math"/>
          <w:i/>
          <w:sz w:val="22"/>
        </w:rPr>
        <w:t>P_pump = ρ · g · Q* · H* / η</w:t>
      </w:r>
      <w:r>
        <w:rPr>
          <w:rFonts w:ascii="맑은 고딕" w:hAnsi="맑은 고딕" w:eastAsia="맑은 고딕"/>
          <w:sz w:val="22"/>
        </w:rPr>
        <w:t xml:space="preserve">    (17)</w:t>
      </w:r>
    </w:p>
    <w:p>
      <w:r>
        <w:rPr>
          <w:rFonts w:ascii="맑은 고딕" w:hAnsi="맑은 고딕" w:eastAsia="맑은 고딕"/>
          <w:b w:val="0"/>
          <w:i w:val="0"/>
          <w:sz w:val="22"/>
        </w:rPr>
        <w:t>여기서 η는 펌프 효율(소수 분율), Q*는 m³/s 단위로 환산한 값이다.</w:t>
      </w:r>
    </w:p>
    <w:p>
      <w:pPr>
        <w:pStyle w:val="Heading2"/>
      </w:pPr>
      <w:r>
        <w:rPr>
          <w:rFonts w:ascii="맑은 고딕" w:hAnsi="맑은 고딕" w:eastAsia="맑은 고딕"/>
          <w:color w:val="000000"/>
          <w:sz w:val="24"/>
        </w:rPr>
        <w:t>1.5 신뢰성 및 정확도 보증</w:t>
      </w:r>
    </w:p>
    <w:p>
      <w:pPr>
        <w:pStyle w:val="Heading3"/>
      </w:pPr>
      <w:r>
        <w:rPr>
          <w:rFonts w:ascii="맑은 고딕" w:hAnsi="맑은 고딕" w:eastAsia="맑은 고딕"/>
          <w:color w:val="000000"/>
          <w:sz w:val="22"/>
        </w:rPr>
        <w:t>1.5.1 입력값 검증</w:t>
      </w:r>
    </w:p>
    <w:p>
      <w:r>
        <w:rPr>
          <w:rFonts w:ascii="맑은 고딕" w:hAnsi="맑은 고딕" w:eastAsia="맑은 고딕"/>
          <w:b w:val="0"/>
          <w:i w:val="0"/>
          <w:sz w:val="22"/>
        </w:rPr>
        <w:t>모든 사용자 입력 매개변수는 계산 전에 경계값 검사를 거친다. 유효하지 않은 구성(예: 직경 0, 음의 압력, 물리적 한계를 초과하는 헤드 수 등)은 ValidationError 예외를 발생시켜 무의미한 결과의 전파를 방지한다.</w:t>
      </w:r>
    </w:p>
    <w:p>
      <w:pPr>
        <w:pStyle w:val="Heading3"/>
      </w:pPr>
      <w:r>
        <w:rPr>
          <w:rFonts w:ascii="맑은 고딕" w:hAnsi="맑은 고딕" w:eastAsia="맑은 고딕"/>
          <w:color w:val="000000"/>
          <w:sz w:val="22"/>
        </w:rPr>
        <w:t>1.5.2 마찰계수 수렴 제어</w:t>
      </w:r>
    </w:p>
    <w:p>
      <w:r>
        <w:rPr>
          <w:rFonts w:ascii="맑은 고딕" w:hAnsi="맑은 고딕" w:eastAsia="맑은 고딕"/>
          <w:b w:val="0"/>
          <w:i w:val="0"/>
          <w:sz w:val="22"/>
        </w:rPr>
        <w:t>Colebrook–White 반복 연산은 상대 수렴 기준 10⁻⁸과 최대 반복 횟수 10회를 적용한다. Colebrook–White 함수는 난류 영역에서 축약 사상(contractive mapping)이므로 이론적으로 수렴이 보장된다(Brkić, 2011). Swamee–Jain 초기 추정값이 우수한 시작점을 제공하여, 일반적으로 필요한 반복 횟수를 3~5회로 줄인다.</w:t>
      </w:r>
    </w:p>
    <w:p>
      <w:pPr>
        <w:pStyle w:val="Heading3"/>
      </w:pPr>
      <w:r>
        <w:rPr>
          <w:rFonts w:ascii="맑은 고딕" w:hAnsi="맑은 고딕" w:eastAsia="맑은 고딕"/>
          <w:color w:val="000000"/>
          <w:sz w:val="22"/>
        </w:rPr>
        <w:t>1.5.3 Hardy–Cross 안정성 대책</w:t>
      </w:r>
    </w:p>
    <w:p>
      <w:r>
        <w:rPr>
          <w:rFonts w:ascii="맑은 고딕" w:hAnsi="맑은 고딕" w:eastAsia="맑은 고딕"/>
          <w:b w:val="0"/>
          <w:i w:val="0"/>
          <w:sz w:val="22"/>
        </w:rPr>
        <w:t>Hardy–Cross 해석기의 안정적 수렴을 보장하기 위해 세 가지 메커니즘을 구현하였다:</w:t>
      </w:r>
    </w:p>
    <w:p>
      <w:pPr>
        <w:pStyle w:val="ListBullet"/>
      </w:pPr>
      <w:r>
        <w:rPr>
          <w:rFonts w:ascii="맑은 고딕" w:hAnsi="맑은 고딕" w:eastAsia="맑은 고딕"/>
          <w:sz w:val="22"/>
        </w:rPr>
        <w:t>감쇠(ω = 0.5 기본값): 강하게 결합된 루프에서 유량 보정의 진동성 발산을 방지한다.</w:t>
      </w:r>
    </w:p>
    <w:p>
      <w:pPr>
        <w:pStyle w:val="ListBullet"/>
      </w:pPr>
      <w:r>
        <w:rPr>
          <w:rFonts w:ascii="맑은 고딕" w:hAnsi="맑은 고딕" w:eastAsia="맑은 고딕"/>
          <w:sz w:val="22"/>
        </w:rPr>
        <w:t>발산 감지: 최대 루프 불균형이 3회 연속 증가하면 해석기를 조기 종료하고 발산 경고를 보고하여 신뢰할 수 없는 결과의 산출을 방지한다.</w:t>
      </w:r>
    </w:p>
    <w:p>
      <w:pPr>
        <w:pStyle w:val="ListBullet"/>
      </w:pPr>
      <w:r>
        <w:rPr>
          <w:rFonts w:ascii="맑은 고딕" w:hAnsi="맑은 고딕" w:eastAsia="맑은 고딕"/>
          <w:sz w:val="22"/>
        </w:rPr>
        <w:t>이중 수렴 기준: 에너지 균형(수두)과 질량 보존(유량)이 동시에 만족되어야 하며, 하나의 기준만 충족된 상태에서의 조기 종료를 방지한다.</w:t>
      </w:r>
    </w:p>
    <w:p>
      <w:pPr>
        <w:pStyle w:val="Heading3"/>
      </w:pPr>
      <w:r>
        <w:rPr>
          <w:rFonts w:ascii="맑은 고딕" w:hAnsi="맑은 고딕" w:eastAsia="맑은 고딕"/>
          <w:color w:val="000000"/>
          <w:sz w:val="22"/>
        </w:rPr>
        <w:t>1.5.4 NFPC 법규 적합성 검증</w:t>
      </w:r>
    </w:p>
    <w:p>
      <w:r>
        <w:rPr>
          <w:rFonts w:ascii="맑은 고딕" w:hAnsi="맑은 고딕" w:eastAsia="맑은 고딕"/>
          <w:b w:val="0"/>
          <w:i w:val="0"/>
          <w:sz w:val="22"/>
        </w:rPr>
        <w:t>시뮬레이션 완료 후, 자동 적합성 검사를 통해 국가화재예방법(NFPC) 요구 사항에 대한 결과를 검증한다:</w:t>
      </w:r>
    </w:p>
    <w:p>
      <w:r>
        <w:rPr>
          <w:rFonts w:ascii="맑은 고딕" w:hAnsi="맑은 고딕" w:eastAsia="맑은 고딕"/>
          <w:b/>
          <w:sz w:val="20"/>
        </w:rPr>
        <w:t>표 5. NFPC 적합성 검증 기준.</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맑은 고딕" w:hAnsi="맑은 고딕" w:eastAsia="맑은 고딕"/>
                <w:b/>
                <w:sz w:val="18"/>
              </w:rPr>
              <w:t>검증 항목</w:t>
            </w:r>
          </w:p>
        </w:tc>
        <w:tc>
          <w:tcPr>
            <w:tcW w:type="dxa" w:w="2880"/>
          </w:tcPr>
          <w:p>
            <w:pPr>
              <w:jc w:val="center"/>
            </w:pPr>
            <w:r>
              <w:rPr>
                <w:rFonts w:ascii="맑은 고딕" w:hAnsi="맑은 고딕" w:eastAsia="맑은 고딕"/>
                <w:b/>
                <w:sz w:val="18"/>
              </w:rPr>
              <w:t>요구 기준</w:t>
            </w:r>
          </w:p>
        </w:tc>
        <w:tc>
          <w:tcPr>
            <w:tcW w:type="dxa" w:w="2880"/>
          </w:tcPr>
          <w:p>
            <w:pPr>
              <w:jc w:val="center"/>
            </w:pPr>
            <w:r>
              <w:rPr>
                <w:rFonts w:ascii="맑은 고딕" w:hAnsi="맑은 고딕" w:eastAsia="맑은 고딕"/>
                <w:b/>
                <w:sz w:val="18"/>
              </w:rPr>
              <w:t>검증 방법</w:t>
            </w:r>
          </w:p>
        </w:tc>
      </w:tr>
      <w:tr>
        <w:tc>
          <w:tcPr>
            <w:tcW w:type="dxa" w:w="2880"/>
          </w:tcPr>
          <w:p>
            <w:r>
              <w:rPr>
                <w:rFonts w:ascii="맑은 고딕" w:hAnsi="맑은 고딕" w:eastAsia="맑은 고딕"/>
                <w:sz w:val="18"/>
              </w:rPr>
              <w:t>가지배관 유속</w:t>
            </w:r>
          </w:p>
        </w:tc>
        <w:tc>
          <w:tcPr>
            <w:tcW w:type="dxa" w:w="2880"/>
          </w:tcPr>
          <w:p>
            <w:r>
              <w:rPr>
                <w:rFonts w:ascii="맑은 고딕" w:hAnsi="맑은 고딕" w:eastAsia="맑은 고딕"/>
                <w:sz w:val="18"/>
              </w:rPr>
              <w:t>≤ 6.0 m/s</w:t>
            </w:r>
          </w:p>
        </w:tc>
        <w:tc>
          <w:tcPr>
            <w:tcW w:type="dxa" w:w="2880"/>
          </w:tcPr>
          <w:p>
            <w:r>
              <w:rPr>
                <w:rFonts w:ascii="맑은 고딕" w:hAnsi="맑은 고딕" w:eastAsia="맑은 고딕"/>
                <w:sz w:val="18"/>
              </w:rPr>
              <w:t>모든 구간 유속 확인</w:t>
            </w:r>
          </w:p>
        </w:tc>
      </w:tr>
      <w:tr>
        <w:tc>
          <w:tcPr>
            <w:tcW w:type="dxa" w:w="2880"/>
          </w:tcPr>
          <w:p>
            <w:r>
              <w:rPr>
                <w:rFonts w:ascii="맑은 고딕" w:hAnsi="맑은 고딕" w:eastAsia="맑은 고딕"/>
                <w:sz w:val="18"/>
              </w:rPr>
              <w:t>교차배관 유속</w:t>
            </w:r>
          </w:p>
        </w:tc>
        <w:tc>
          <w:tcPr>
            <w:tcW w:type="dxa" w:w="2880"/>
          </w:tcPr>
          <w:p>
            <w:r>
              <w:rPr>
                <w:rFonts w:ascii="맑은 고딕" w:hAnsi="맑은 고딕" w:eastAsia="맑은 고딕"/>
                <w:sz w:val="18"/>
              </w:rPr>
              <w:t>≤ 10.0 m/s</w:t>
            </w:r>
          </w:p>
        </w:tc>
        <w:tc>
          <w:tcPr>
            <w:tcW w:type="dxa" w:w="2880"/>
          </w:tcPr>
          <w:p>
            <w:r>
              <w:rPr>
                <w:rFonts w:ascii="맑은 고딕" w:hAnsi="맑은 고딕" w:eastAsia="맑은 고딕"/>
                <w:sz w:val="18"/>
              </w:rPr>
              <w:t>교차배관에 대해 V = Q/(πD²/4) 산출</w:t>
            </w:r>
          </w:p>
        </w:tc>
      </w:tr>
      <w:tr>
        <w:tc>
          <w:tcPr>
            <w:tcW w:type="dxa" w:w="2880"/>
          </w:tcPr>
          <w:p>
            <w:r>
              <w:rPr>
                <w:rFonts w:ascii="맑은 고딕" w:hAnsi="맑은 고딕" w:eastAsia="맑은 고딕"/>
                <w:sz w:val="18"/>
              </w:rPr>
              <w:t>말단 압력 (최소)</w:t>
            </w:r>
          </w:p>
        </w:tc>
        <w:tc>
          <w:tcPr>
            <w:tcW w:type="dxa" w:w="2880"/>
          </w:tcPr>
          <w:p>
            <w:r>
              <w:rPr>
                <w:rFonts w:ascii="맑은 고딕" w:hAnsi="맑은 고딕" w:eastAsia="맑은 고딕"/>
                <w:sz w:val="18"/>
              </w:rPr>
              <w:t>≥ 0.1 MPa</w:t>
            </w:r>
          </w:p>
        </w:tc>
        <w:tc>
          <w:tcPr>
            <w:tcW w:type="dxa" w:w="2880"/>
          </w:tcPr>
          <w:p>
            <w:r>
              <w:rPr>
                <w:rFonts w:ascii="맑은 고딕" w:hAnsi="맑은 고딕" w:eastAsia="맑은 고딕"/>
                <w:sz w:val="18"/>
              </w:rPr>
              <w:t>모든 가지배관 말단 압력 확인</w:t>
            </w:r>
          </w:p>
        </w:tc>
      </w:tr>
      <w:tr>
        <w:tc>
          <w:tcPr>
            <w:tcW w:type="dxa" w:w="2880"/>
          </w:tcPr>
          <w:p>
            <w:r>
              <w:rPr>
                <w:rFonts w:ascii="맑은 고딕" w:hAnsi="맑은 고딕" w:eastAsia="맑은 고딕"/>
                <w:sz w:val="18"/>
              </w:rPr>
              <w:t>말단 압력 (최대)</w:t>
            </w:r>
          </w:p>
        </w:tc>
        <w:tc>
          <w:tcPr>
            <w:tcW w:type="dxa" w:w="2880"/>
          </w:tcPr>
          <w:p>
            <w:r>
              <w:rPr>
                <w:rFonts w:ascii="맑은 고딕" w:hAnsi="맑은 고딕" w:eastAsia="맑은 고딕"/>
                <w:sz w:val="18"/>
              </w:rPr>
              <w:t>≤ 1.2 MPa</w:t>
            </w:r>
          </w:p>
        </w:tc>
        <w:tc>
          <w:tcPr>
            <w:tcW w:type="dxa" w:w="2880"/>
          </w:tcPr>
          <w:p>
            <w:r>
              <w:rPr>
                <w:rFonts w:ascii="맑은 고딕" w:hAnsi="맑은 고딕" w:eastAsia="맑은 고딕"/>
                <w:sz w:val="18"/>
              </w:rPr>
              <w:t>모든 가지배관 말단 압력 확인</w:t>
            </w:r>
          </w:p>
        </w:tc>
      </w:tr>
    </w:tbl>
    <w:p/>
    <w:p>
      <w:pPr>
        <w:pStyle w:val="Heading3"/>
      </w:pPr>
      <w:r>
        <w:rPr>
          <w:rFonts w:ascii="맑은 고딕" w:hAnsi="맑은 고딕" w:eastAsia="맑은 고딕"/>
          <w:color w:val="000000"/>
          <w:sz w:val="22"/>
        </w:rPr>
        <w:t>1.5.5 회귀 테스트 스위트</w:t>
      </w:r>
    </w:p>
    <w:p>
      <w:r>
        <w:rPr>
          <w:rFonts w:ascii="맑은 고딕" w:hAnsi="맑은 고딕" w:eastAsia="맑은 고딕"/>
          <w:b w:val="0"/>
          <w:i w:val="0"/>
          <w:sz w:val="22"/>
        </w:rPr>
        <w:t>시뮬레이션 엔진은 총 130개의 단위 및 통합 테스트로 구성된 포괄적 회귀 테스트 스위트로 검증된다: 그리드 배관망 계산 46개 테스트(Hardy–Cross 수렴, 절점 압력 일관성, 키르히호프 법칙 검증), 통합 시스템 거동 46개 테스트(Case A/B 비교, 개선율, 배관 구경 산정), 용접 비드 손실 모델 정확도 38개 테스트(K-factor 스케일링, 무작위 비드 배치, 구간 매핑). 모든 130개 테스트를 통과해야 코드 수정이 승인되며, 회귀 없는 개발을 보장한다.</w:t>
      </w:r>
    </w:p>
    <w:p>
      <w:r>
        <w:br w:type="page"/>
      </w:r>
    </w:p>
    <w:p>
      <w:pPr>
        <w:pStyle w:val="Heading1"/>
      </w:pPr>
      <w:r>
        <w:rPr>
          <w:rFonts w:ascii="맑은 고딕" w:hAnsi="맑은 고딕" w:eastAsia="맑은 고딕"/>
          <w:color w:val="000000"/>
          <w:sz w:val="28"/>
        </w:rPr>
        <w:t>2. 시뮬레이션 방법</w:t>
      </w:r>
    </w:p>
    <w:p>
      <w:pPr>
        <w:pStyle w:val="Heading2"/>
      </w:pPr>
      <w:r>
        <w:rPr>
          <w:rFonts w:ascii="맑은 고딕" w:hAnsi="맑은 고딕" w:eastAsia="맑은 고딕"/>
          <w:color w:val="000000"/>
          <w:sz w:val="24"/>
        </w:rPr>
        <w:t>2.1 배관망 토폴로지 구성</w:t>
      </w:r>
    </w:p>
    <w:p>
      <w:r>
        <w:rPr>
          <w:rFonts w:ascii="맑은 고딕" w:hAnsi="맑은 고딕" w:eastAsia="맑은 고딕"/>
          <w:b w:val="0"/>
          <w:i w:val="0"/>
          <w:sz w:val="22"/>
        </w:rPr>
        <w:t>실제 소방설비에서 사용되는 구성의 범위를 표현하기 위해, 두 가지 배관망 토폴로지를 지원한다:</w:t>
      </w:r>
    </w:p>
    <w:p>
      <w:pPr>
        <w:pStyle w:val="Heading3"/>
      </w:pPr>
      <w:r>
        <w:rPr>
          <w:rFonts w:ascii="맑은 고딕" w:hAnsi="맑은 고딕" w:eastAsia="맑은 고딕"/>
          <w:color w:val="000000"/>
          <w:sz w:val="22"/>
        </w:rPr>
        <w:t>2.1.1 트리(가지형) 토폴로지</w:t>
      </w:r>
    </w:p>
    <w:p>
      <w:r>
        <w:rPr>
          <w:rFonts w:ascii="맑은 고딕" w:hAnsi="맑은 고딕" w:eastAsia="맑은 고딕"/>
          <w:b w:val="0"/>
          <w:i w:val="0"/>
          <w:sz w:val="22"/>
        </w:rPr>
        <w:t>단일 교차배관이 n개의 가지배관을 공급하며, 각 가지배관은 m개의 스프링클러 헤드를 담당한다. 유동은 교차배관 입구에서 각 가지배관을 거쳐 말단 헤드까지 단방향으로 진행된다. 압력은 식 (1)~(9)를 사용하여 각 가지배관을 따라 순차적으로 계산한다. 이 토폴로지는 중소규모 건물에서 가장 일반적인 설치 형태를 나타낸다.</w:t>
      </w:r>
    </w:p>
    <w:p>
      <w:pPr>
        <w:pStyle w:val="Heading3"/>
      </w:pPr>
      <w:r>
        <w:rPr>
          <w:rFonts w:ascii="맑은 고딕" w:hAnsi="맑은 고딕" w:eastAsia="맑은 고딕"/>
          <w:color w:val="000000"/>
          <w:sz w:val="22"/>
        </w:rPr>
        <w:t>2.1.2 전체 그리드(루프형) 토폴로지</w:t>
      </w:r>
    </w:p>
    <w:p>
      <w:r>
        <w:rPr>
          <w:rFonts w:ascii="맑은 고딕" w:hAnsi="맑은 고딕" w:eastAsia="맑은 고딕"/>
          <w:b w:val="0"/>
          <w:i w:val="0"/>
          <w:sz w:val="22"/>
        </w:rPr>
        <w:t>가지배관의 상단과 하단 모두가 교차배관에 연결되어 n개의 폐 직사각형 루프를 형성한다. 유동은 양방향으로, 양 끝에서 각 가지배관으로 유입된다. 평형 유량 분배를 결정하기 위해 Hardy–Cross 반복법(1.3절)을 적용한다. 이 토폴로지는 수력적 중복성을 제공하며, 대규모 또는 고위험 용도의 건축물에서 의무적으로 적용된다.</w:t>
      </w:r>
    </w:p>
    <w:p>
      <w:pPr>
        <w:pStyle w:val="Heading2"/>
      </w:pPr>
      <w:r>
        <w:rPr>
          <w:rFonts w:ascii="맑은 고딕" w:hAnsi="맑은 고딕" w:eastAsia="맑은 고딕"/>
          <w:color w:val="000000"/>
          <w:sz w:val="24"/>
        </w:rPr>
        <w:t>2.2 비교 사례 분석 (Case A 대 Case B)</w:t>
      </w:r>
    </w:p>
    <w:p>
      <w:r>
        <w:rPr>
          <w:rFonts w:ascii="맑은 고딕" w:hAnsi="맑은 고딕" w:eastAsia="맑은 고딕"/>
          <w:b w:val="0"/>
          <w:i w:val="0"/>
          <w:sz w:val="22"/>
        </w:rPr>
        <w:t>각 시뮬레이션 실행은 동일한 경계 조건 하에서 두 가지 용접 기술 시나리오 간의 쌍대 비교를 수행한다:</w:t>
      </w:r>
    </w:p>
    <w:p>
      <w:r>
        <w:rPr>
          <w:rFonts w:ascii="맑은 고딕" w:hAnsi="맑은 고딕" w:eastAsia="맑은 고딕"/>
          <w:b/>
          <w:sz w:val="20"/>
        </w:rPr>
        <w:t>표 6. 비교 사례 정의.</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맑은 고딕" w:hAnsi="맑은 고딕" w:eastAsia="맑은 고딕"/>
                <w:b/>
                <w:sz w:val="18"/>
              </w:rPr>
              <w:t>매개변수</w:t>
            </w:r>
          </w:p>
        </w:tc>
        <w:tc>
          <w:tcPr>
            <w:tcW w:type="dxa" w:w="2880"/>
          </w:tcPr>
          <w:p>
            <w:pPr>
              <w:jc w:val="center"/>
            </w:pPr>
            <w:r>
              <w:rPr>
                <w:rFonts w:ascii="맑은 고딕" w:hAnsi="맑은 고딕" w:eastAsia="맑은 고딕"/>
                <w:b/>
                <w:sz w:val="18"/>
              </w:rPr>
              <w:t>Case A (일반 용접)</w:t>
            </w:r>
          </w:p>
        </w:tc>
        <w:tc>
          <w:tcPr>
            <w:tcW w:type="dxa" w:w="2880"/>
          </w:tcPr>
          <w:p>
            <w:pPr>
              <w:jc w:val="center"/>
            </w:pPr>
            <w:r>
              <w:rPr>
                <w:rFonts w:ascii="맑은 고딕" w:hAnsi="맑은 고딕" w:eastAsia="맑은 고딕"/>
                <w:b/>
                <w:sz w:val="18"/>
              </w:rPr>
              <w:t>Case B (형상 제어 용접)</w:t>
            </w:r>
          </w:p>
        </w:tc>
      </w:tr>
      <w:tr>
        <w:tc>
          <w:tcPr>
            <w:tcW w:type="dxa" w:w="2880"/>
          </w:tcPr>
          <w:p>
            <w:r>
              <w:rPr>
                <w:rFonts w:ascii="맑은 고딕" w:hAnsi="맑은 고딕" w:eastAsia="맑은 고딕"/>
                <w:sz w:val="18"/>
              </w:rPr>
              <w:t>용접 비드 높이 h</w:t>
            </w:r>
          </w:p>
        </w:tc>
        <w:tc>
          <w:tcPr>
            <w:tcW w:type="dxa" w:w="2880"/>
          </w:tcPr>
          <w:p>
            <w:r>
              <w:rPr>
                <w:rFonts w:ascii="맑은 고딕" w:hAnsi="맑은 고딕" w:eastAsia="맑은 고딕"/>
                <w:sz w:val="18"/>
              </w:rPr>
              <w:t>사용자 정의 (예: 1.5 mm)</w:t>
            </w:r>
          </w:p>
        </w:tc>
        <w:tc>
          <w:tcPr>
            <w:tcW w:type="dxa" w:w="2880"/>
          </w:tcPr>
          <w:p>
            <w:r>
              <w:rPr>
                <w:rFonts w:ascii="맑은 고딕" w:hAnsi="맑은 고딕" w:eastAsia="맑은 고딕"/>
                <w:sz w:val="18"/>
              </w:rPr>
              <w:t>0 mm (이상적 접합)</w:t>
            </w:r>
          </w:p>
        </w:tc>
      </w:tr>
      <w:tr>
        <w:tc>
          <w:tcPr>
            <w:tcW w:type="dxa" w:w="2880"/>
          </w:tcPr>
          <w:p>
            <w:r>
              <w:rPr>
                <w:rFonts w:ascii="맑은 고딕" w:hAnsi="맑은 고딕" w:eastAsia="맑은 고딕"/>
                <w:sz w:val="18"/>
              </w:rPr>
              <w:t>이음 손실 K₁</w:t>
            </w:r>
          </w:p>
        </w:tc>
        <w:tc>
          <w:tcPr>
            <w:tcW w:type="dxa" w:w="2880"/>
          </w:tcPr>
          <w:p>
            <w:r>
              <w:rPr>
                <w:rFonts w:ascii="맑은 고딕" w:hAnsi="맑은 고딕" w:eastAsia="맑은 고딕"/>
                <w:sz w:val="18"/>
              </w:rPr>
              <w:t>K₁,base · (D/D_eff)⁴</w:t>
            </w:r>
          </w:p>
        </w:tc>
        <w:tc>
          <w:tcPr>
            <w:tcW w:type="dxa" w:w="2880"/>
          </w:tcPr>
          <w:p>
            <w:r>
              <w:rPr>
                <w:rFonts w:ascii="맑은 고딕" w:hAnsi="맑은 고딕" w:eastAsia="맑은 고딕"/>
                <w:sz w:val="18"/>
              </w:rPr>
              <w:t>K₁,base = 0.5</w:t>
            </w:r>
          </w:p>
        </w:tc>
      </w:tr>
      <w:tr>
        <w:tc>
          <w:tcPr>
            <w:tcW w:type="dxa" w:w="2880"/>
          </w:tcPr>
          <w:p>
            <w:r>
              <w:rPr>
                <w:rFonts w:ascii="맑은 고딕" w:hAnsi="맑은 고딕" w:eastAsia="맑은 고딕"/>
                <w:sz w:val="18"/>
              </w:rPr>
              <w:t>물리적 의미</w:t>
            </w:r>
          </w:p>
        </w:tc>
        <w:tc>
          <w:tcPr>
            <w:tcW w:type="dxa" w:w="2880"/>
          </w:tcPr>
          <w:p>
            <w:r>
              <w:rPr>
                <w:rFonts w:ascii="맑은 고딕" w:hAnsi="맑은 고딕" w:eastAsia="맑은 고딕"/>
                <w:sz w:val="18"/>
              </w:rPr>
              <w:t>기존 용접 기술</w:t>
            </w:r>
          </w:p>
        </w:tc>
        <w:tc>
          <w:tcPr>
            <w:tcW w:type="dxa" w:w="2880"/>
          </w:tcPr>
          <w:p>
            <w:r>
              <w:rPr>
                <w:rFonts w:ascii="맑은 고딕" w:hAnsi="맑은 고딕" w:eastAsia="맑은 고딕"/>
                <w:sz w:val="18"/>
              </w:rPr>
              <w:t>첨단 형상 제어 기술</w:t>
            </w:r>
          </w:p>
        </w:tc>
      </w:tr>
    </w:tbl>
    <w:p/>
    <w:p>
      <w:r>
        <w:rPr>
          <w:rFonts w:ascii="맑은 고딕" w:hAnsi="맑은 고딕" w:eastAsia="맑은 고딕"/>
          <w:b w:val="0"/>
          <w:i w:val="0"/>
          <w:sz w:val="22"/>
        </w:rPr>
        <w:t>개선 지표는 최악 조건 말단 압력의 백분율 변화로 산출한다:</w:t>
      </w:r>
    </w:p>
    <w:p>
      <w:pPr>
        <w:jc w:val="center"/>
      </w:pPr>
      <w:r>
        <w:rPr>
          <w:rFonts w:ascii="Cambria Math" w:hAnsi="Cambria Math"/>
          <w:i/>
          <w:sz w:val="22"/>
        </w:rPr>
        <w:t>개선율 (%) = (P_B − P_A) / |P_A| × 100</w:t>
      </w:r>
      <w:r>
        <w:rPr>
          <w:rFonts w:ascii="맑은 고딕" w:hAnsi="맑은 고딕" w:eastAsia="맑은 고딕"/>
          <w:sz w:val="22"/>
        </w:rPr>
        <w:t xml:space="preserve">    (18)</w:t>
      </w:r>
    </w:p>
    <w:p>
      <w:pPr>
        <w:pStyle w:val="Heading2"/>
      </w:pPr>
      <w:r>
        <w:rPr>
          <w:rFonts w:ascii="맑은 고딕" w:hAnsi="맑은 고딕" w:eastAsia="맑은 고딕"/>
          <w:color w:val="000000"/>
          <w:sz w:val="24"/>
        </w:rPr>
        <w:t>2.3 몬테카를로 확률론적 분석</w:t>
      </w:r>
    </w:p>
    <w:p>
      <w:pPr>
        <w:pStyle w:val="Heading3"/>
      </w:pPr>
      <w:r>
        <w:rPr>
          <w:rFonts w:ascii="맑은 고딕" w:hAnsi="맑은 고딕" w:eastAsia="맑은 고딕"/>
          <w:color w:val="000000"/>
          <w:sz w:val="22"/>
        </w:rPr>
        <w:t>2.3.1 확률적 결함 모델링</w:t>
      </w:r>
    </w:p>
    <w:p>
      <w:r>
        <w:rPr>
          <w:rFonts w:ascii="맑은 고딕" w:hAnsi="맑은 고딕" w:eastAsia="맑은 고딕"/>
          <w:b w:val="0"/>
          <w:i w:val="0"/>
          <w:sz w:val="22"/>
        </w:rPr>
        <w:t>용접 결함 위치 변동성의 확률적 영향을 평가하기 위해 몬테카를로 시뮬레이션 프레임워크를 구현하였다. 각 시행 i(i = 1, 2, ..., N)에서:</w:t>
      </w:r>
    </w:p>
    <w:p>
      <w:pPr>
        <w:pStyle w:val="ListNumber"/>
      </w:pPr>
      <w:r>
        <w:rPr>
          <w:rFonts w:ascii="맑은 고딕" w:hAnsi="맑은 고딕" w:eastAsia="맑은 고딕"/>
          <w:sz w:val="22"/>
        </w:rPr>
        <w:t>결함 이음쇠 수 n_d를 [n_min, n_max] 범위에서 균일 분포로 추출한다.</w:t>
      </w:r>
    </w:p>
    <w:p>
      <w:pPr>
        <w:pStyle w:val="ListNumber"/>
      </w:pPr>
      <w:r>
        <w:rPr>
          <w:rFonts w:ascii="맑은 고딕" w:hAnsi="맑은 고딕" w:eastAsia="맑은 고딕"/>
          <w:sz w:val="22"/>
        </w:rPr>
        <w:t>n_d개의 결함 위치를 전체 이음쇠 위치 집합 {0, 1, ..., n×m − 1}에서 비복원 추출한다(NumPy의 default_rng 난수 생성기, PCG64 알고리즘 사용).</w:t>
      </w:r>
    </w:p>
    <w:p>
      <w:pPr>
        <w:pStyle w:val="ListNumber"/>
      </w:pPr>
      <w:r>
        <w:rPr>
          <w:rFonts w:ascii="맑은 고딕" w:hAnsi="맑은 고딕" w:eastAsia="맑은 고딕"/>
          <w:sz w:val="22"/>
        </w:rPr>
        <w:t>직선 배관 용접 비드가 활성화된 경우(beads_per_branch &gt; 0), 비드 위치를 각 가지배관 내에서 가지배관 길이에 대한 균일 분포로 재무작위화하여 시공 변동성을 모의한다.</w:t>
      </w:r>
    </w:p>
    <w:p>
      <w:pPr>
        <w:pStyle w:val="ListNumber"/>
      </w:pPr>
      <w:r>
        <w:rPr>
          <w:rFonts w:ascii="맑은 고딕" w:hAnsi="맑은 고딕" w:eastAsia="맑은 고딕"/>
          <w:sz w:val="22"/>
        </w:rPr>
        <w:t>전체 시스템 수력 계산을 수행하고, 최악 조건 말단 압력 P_terminal,i를 기록한다.</w:t>
      </w:r>
    </w:p>
    <w:p>
      <w:pPr>
        <w:pStyle w:val="Heading3"/>
      </w:pPr>
      <w:r>
        <w:rPr>
          <w:rFonts w:ascii="맑은 고딕" w:hAnsi="맑은 고딕" w:eastAsia="맑은 고딕"/>
          <w:color w:val="000000"/>
          <w:sz w:val="22"/>
        </w:rPr>
        <w:t>2.3.2 통계적 출력 지표</w:t>
      </w:r>
    </w:p>
    <w:p>
      <w:r>
        <w:rPr>
          <w:rFonts w:ascii="맑은 고딕" w:hAnsi="맑은 고딕" w:eastAsia="맑은 고딕"/>
          <w:b w:val="0"/>
          <w:i w:val="0"/>
          <w:sz w:val="22"/>
        </w:rPr>
        <w:t>N개의 말단 압력 표본 {P₁, P₂, ..., P_N}으로부터 다음의 통계량을 산출한다:</w:t>
      </w:r>
    </w:p>
    <w:p>
      <w:pPr>
        <w:jc w:val="center"/>
      </w:pPr>
      <w:r>
        <w:rPr>
          <w:rFonts w:ascii="Cambria Math" w:hAnsi="Cambria Math"/>
          <w:i/>
          <w:sz w:val="22"/>
        </w:rPr>
        <w:t>μ = (1/N) · Σ P_i</w:t>
      </w:r>
      <w:r>
        <w:rPr>
          <w:rFonts w:ascii="맑은 고딕" w:hAnsi="맑은 고딕" w:eastAsia="맑은 고딕"/>
          <w:sz w:val="22"/>
        </w:rPr>
        <w:t xml:space="preserve">    (19)</w:t>
      </w:r>
    </w:p>
    <w:p>
      <w:pPr>
        <w:jc w:val="center"/>
      </w:pPr>
      <w:r>
        <w:rPr>
          <w:rFonts w:ascii="Cambria Math" w:hAnsi="Cambria Math"/>
          <w:i/>
          <w:sz w:val="22"/>
        </w:rPr>
        <w:t>σ = √[ Σ(P_i − μ)² / (N − 1) ]</w:t>
      </w:r>
      <w:r>
        <w:rPr>
          <w:rFonts w:ascii="맑은 고딕" w:hAnsi="맑은 고딕" w:eastAsia="맑은 고딕"/>
          <w:sz w:val="22"/>
        </w:rPr>
        <w:t xml:space="preserve">    (20)</w:t>
      </w:r>
    </w:p>
    <w:p>
      <w:r>
        <w:rPr>
          <w:rFonts w:ascii="맑은 고딕" w:hAnsi="맑은 고딕" w:eastAsia="맑은 고딕"/>
          <w:b w:val="0"/>
          <w:i w:val="0"/>
          <w:sz w:val="22"/>
        </w:rPr>
        <w:t>표본 표준편차(Bessel 보정, N − 1 분모)를 모표준편차 대신 사용하여 불편 추정량을 제공한다. 부적합 확률 P_fail은 말단 압력이 법규 최소 기준 이하인 시행의 경험적 비율로 산출한다:</w:t>
      </w:r>
    </w:p>
    <w:p>
      <w:pPr>
        <w:jc w:val="center"/>
      </w:pPr>
      <w:r>
        <w:rPr>
          <w:rFonts w:ascii="Cambria Math" w:hAnsi="Cambria Math"/>
          <w:i/>
          <w:sz w:val="22"/>
        </w:rPr>
        <w:t>P_fail = (1/N) · Σ I(P_i &lt; 0.1 MPa)</w:t>
      </w:r>
      <w:r>
        <w:rPr>
          <w:rFonts w:ascii="맑은 고딕" w:hAnsi="맑은 고딕" w:eastAsia="맑은 고딕"/>
          <w:sz w:val="22"/>
        </w:rPr>
        <w:t xml:space="preserve">    (21)</w:t>
      </w:r>
    </w:p>
    <w:p>
      <w:r>
        <w:rPr>
          <w:rFonts w:ascii="맑은 고딕" w:hAnsi="맑은 고딕" w:eastAsia="맑은 고딕"/>
          <w:b w:val="0"/>
          <w:i w:val="0"/>
          <w:sz w:val="22"/>
        </w:rPr>
        <w:t>여기서 I(·)는 지시 함수이다. N = 1,000 반복의 경우, 이 추정량의 표준 오차는 최대 √[0.5 × 0.5 / 1000] = 0.016으로, 공학적 의사 결정에 충분한 정밀도를 제공한다. 더 높은 정밀도가 필요한 경우 N을 최대 10,000까지 증가시킬 수 있다.</w:t>
      </w:r>
    </w:p>
    <w:p>
      <w:pPr>
        <w:pStyle w:val="Heading2"/>
      </w:pPr>
      <w:r>
        <w:rPr>
          <w:rFonts w:ascii="맑은 고딕" w:hAnsi="맑은 고딕" w:eastAsia="맑은 고딕"/>
          <w:color w:val="000000"/>
          <w:sz w:val="24"/>
        </w:rPr>
        <w:t>2.4 결정론적 민감도 분석</w:t>
      </w:r>
    </w:p>
    <w:p>
      <w:r>
        <w:rPr>
          <w:rFonts w:ascii="맑은 고딕" w:hAnsi="맑은 고딕" w:eastAsia="맑은 고딕"/>
          <w:b w:val="0"/>
          <w:i w:val="0"/>
          <w:sz w:val="22"/>
        </w:rPr>
        <w:t>배관망 내에서 수력적으로 가장 민감한 위치를 식별하기 위해 단일 비드 섭동 분석을 수행한다. 절차는 다음과 같다:</w:t>
      </w:r>
    </w:p>
    <w:p>
      <w:pPr>
        <w:pStyle w:val="ListNumber"/>
      </w:pPr>
      <w:r>
        <w:rPr>
          <w:rFonts w:ascii="맑은 고딕" w:hAnsi="맑은 고딕" w:eastAsia="맑은 고딕"/>
          <w:sz w:val="22"/>
        </w:rPr>
        <w:t>기준 계산: 이음쇠 비드 돌출이 없는 상태(모든 이음쇠에서 K₁ = K₁,base)로 시스템을 시뮬레이션하여 기준 말단 압력 P_base를 구한다.</w:t>
      </w:r>
    </w:p>
    <w:p>
      <w:pPr>
        <w:pStyle w:val="ListNumber"/>
      </w:pPr>
      <w:r>
        <w:rPr>
          <w:rFonts w:ascii="맑은 고딕" w:hAnsi="맑은 고딕" w:eastAsia="맑은 고딕"/>
          <w:sz w:val="22"/>
        </w:rPr>
        <w:t>최악 조건 가지배관의 각 헤드 위치 j(j = 1, ..., m)에 대해, 위치 j에만 높이 h의 단일 비드를 배치하고 나머지 모든 위치는 h = 0으로 유지한다.</w:t>
      </w:r>
    </w:p>
    <w:p>
      <w:pPr>
        <w:pStyle w:val="ListNumber"/>
      </w:pPr>
      <w:r>
        <w:rPr>
          <w:rFonts w:ascii="맑은 고딕" w:hAnsi="맑은 고딕" w:eastAsia="맑은 고딕"/>
          <w:sz w:val="22"/>
        </w:rPr>
        <w:t>단일 비드로 인한 압력 강하를 Δp_j = P_base − P_j로 산출한다.</w:t>
      </w:r>
    </w:p>
    <w:p>
      <w:pPr>
        <w:pStyle w:val="ListNumber"/>
      </w:pPr>
      <w:r>
        <w:rPr>
          <w:rFonts w:ascii="맑은 고딕" w:hAnsi="맑은 고딕" w:eastAsia="맑은 고딕"/>
          <w:sz w:val="22"/>
        </w:rPr>
        <w:t>위치를 Δp_j의 내림차순으로 순위를 매긴다. 가장 큰 Δp를 갖는 위치를 임계점으로 지정한다.</w:t>
      </w:r>
    </w:p>
    <w:p>
      <w:r>
        <w:rPr>
          <w:rFonts w:ascii="맑은 고딕" w:hAnsi="맑은 고딕" w:eastAsia="맑은 고딕"/>
          <w:b w:val="0"/>
          <w:i w:val="0"/>
          <w:sz w:val="22"/>
        </w:rPr>
        <w:t>이 분석을 통해 시스템 성능에 가장 큰 영향력을 갖는 접합 위치가 드러나며, 시공 중 품질 관리 우선순위 결정에 실행 가능한 지침을 제공한다.</w:t>
      </w:r>
    </w:p>
    <w:p>
      <w:pPr>
        <w:pStyle w:val="Heading2"/>
      </w:pPr>
      <w:r>
        <w:rPr>
          <w:rFonts w:ascii="맑은 고딕" w:hAnsi="맑은 고딕" w:eastAsia="맑은 고딕"/>
          <w:color w:val="000000"/>
          <w:sz w:val="24"/>
        </w:rPr>
        <w:t>2.5 변수 스캐닝 (매개변수 연구)</w:t>
      </w:r>
    </w:p>
    <w:p>
      <w:r>
        <w:rPr>
          <w:rFonts w:ascii="맑은 고딕" w:hAnsi="맑은 고딕" w:eastAsia="맑은 고딕"/>
          <w:b w:val="0"/>
          <w:i w:val="0"/>
          <w:sz w:val="22"/>
        </w:rPr>
        <w:t>시스템의 운전 영역 및 부적합 경계를 파악하기 위해, 변수 스캐닝 분석은 다른 모든 매개변수를 일정하게 유지한 채 단일 설계 매개변수를 체계적으로 변화시킨다. 스캔 절차는 각 매개변수 값에서 전체 Case A/B 비교를 수행하고 다음을 기록한다:</w:t>
      </w:r>
    </w:p>
    <w:p>
      <w:pPr>
        <w:pStyle w:val="ListBullet"/>
      </w:pPr>
      <w:r>
        <w:rPr>
          <w:rFonts w:ascii="맑은 고딕" w:hAnsi="맑은 고딕" w:eastAsia="맑은 고딕"/>
          <w:sz w:val="22"/>
        </w:rPr>
        <w:t>Case A 및 Case B의 최악 조건 말단 압력.</w:t>
      </w:r>
    </w:p>
    <w:p>
      <w:pPr>
        <w:pStyle w:val="ListBullet"/>
      </w:pPr>
      <w:r>
        <w:rPr>
          <w:rFonts w:ascii="맑은 고딕" w:hAnsi="맑은 고딕" w:eastAsia="맑은 고딕"/>
          <w:sz w:val="22"/>
        </w:rPr>
        <w:t>개선율(%).</w:t>
      </w:r>
    </w:p>
    <w:p>
      <w:pPr>
        <w:pStyle w:val="ListBullet"/>
      </w:pPr>
      <w:r>
        <w:rPr>
          <w:rFonts w:ascii="맑은 고딕" w:hAnsi="맑은 고딕" w:eastAsia="맑은 고딕"/>
          <w:sz w:val="22"/>
        </w:rPr>
        <w:t>0.1 MPa 최소 기준에 대한 PASS/FAIL 상태.</w:t>
      </w:r>
    </w:p>
    <w:p>
      <w:r>
        <w:rPr>
          <w:rFonts w:ascii="맑은 고딕" w:hAnsi="맑은 고딕" w:eastAsia="맑은 고딕"/>
          <w:b w:val="0"/>
          <w:i w:val="0"/>
          <w:sz w:val="22"/>
        </w:rPr>
        <w:t>임계점 Q_crit(또는 P_crit, h_crit 등)는 시스템이 최초로 PASS에서 FAIL로 전환되는 매개변수 값으로 정의한다. 스캔 분석에 사용 가능한 설계 매개변수는 다음과 같다: 설계 유량(LPM), 입구 압력(MPa), 용접 비드 높이(mm), 가지배관당 헤드 수.</w:t>
      </w:r>
    </w:p>
    <w:p>
      <w:pPr>
        <w:pStyle w:val="Heading2"/>
      </w:pPr>
      <w:r>
        <w:rPr>
          <w:rFonts w:ascii="맑은 고딕" w:hAnsi="맑은 고딕" w:eastAsia="맑은 고딕"/>
          <w:color w:val="000000"/>
          <w:sz w:val="24"/>
        </w:rPr>
        <w:t>2.6 경제성 분석 (생애주기 비용)</w:t>
      </w:r>
    </w:p>
    <w:p>
      <w:r>
        <w:rPr>
          <w:rFonts w:ascii="맑은 고딕" w:hAnsi="맑은 고딕" w:eastAsia="맑은 고딕"/>
          <w:b w:val="0"/>
          <w:i w:val="0"/>
          <w:sz w:val="22"/>
        </w:rPr>
        <w:t>수력 저항 감소(Case B 대 Case A)로 인한 에너지 절감량을 생애주기 비용(LCC) 분석을 통해 정량화한다. 각 운전점에서 펌프 소비 전력을 식 (17)로 산출하고, 차등 전력은 다음과 같다:</w:t>
      </w:r>
    </w:p>
    <w:p>
      <w:pPr>
        <w:jc w:val="center"/>
      </w:pPr>
      <w:r>
        <w:rPr>
          <w:rFonts w:ascii="Cambria Math" w:hAnsi="Cambria Math"/>
          <w:i/>
          <w:sz w:val="22"/>
        </w:rPr>
        <w:t>ΔP = P_pump,A − P_pump,B</w:t>
      </w:r>
      <w:r>
        <w:rPr>
          <w:rFonts w:ascii="맑은 고딕" w:hAnsi="맑은 고딕" w:eastAsia="맑은 고딕"/>
          <w:sz w:val="22"/>
        </w:rPr>
        <w:t xml:space="preserve">    (22)</w:t>
      </w:r>
    </w:p>
    <w:p>
      <w:pPr>
        <w:jc w:val="center"/>
      </w:pPr>
      <w:r>
        <w:rPr>
          <w:rFonts w:ascii="Cambria Math" w:hAnsi="Cambria Math"/>
          <w:i/>
          <w:sz w:val="22"/>
        </w:rPr>
        <w:t>연간 에너지 절감량 = ΔP × t_op  (kWh/년)</w:t>
      </w:r>
      <w:r>
        <w:rPr>
          <w:rFonts w:ascii="맑은 고딕" w:hAnsi="맑은 고딕" w:eastAsia="맑은 고딕"/>
          <w:sz w:val="22"/>
        </w:rPr>
        <w:t xml:space="preserve">    (23)</w:t>
      </w:r>
    </w:p>
    <w:p>
      <w:pPr>
        <w:jc w:val="center"/>
      </w:pPr>
      <w:r>
        <w:rPr>
          <w:rFonts w:ascii="Cambria Math" w:hAnsi="Cambria Math"/>
          <w:i/>
          <w:sz w:val="22"/>
        </w:rPr>
        <w:t>연간 비용 절감액 = ΔP × t_op × C_e  (원/년)</w:t>
      </w:r>
      <w:r>
        <w:rPr>
          <w:rFonts w:ascii="맑은 고딕" w:hAnsi="맑은 고딕" w:eastAsia="맑은 고딕"/>
          <w:sz w:val="22"/>
        </w:rPr>
        <w:t xml:space="preserve">    (24)</w:t>
      </w:r>
    </w:p>
    <w:p>
      <w:r>
        <w:rPr>
          <w:rFonts w:ascii="맑은 고딕" w:hAnsi="맑은 고딕" w:eastAsia="맑은 고딕"/>
          <w:b w:val="0"/>
          <w:i w:val="0"/>
          <w:sz w:val="22"/>
        </w:rPr>
        <w:t>여기서 t_op는 연간 펌프 운전 시간(기본값 2,000시간/년), C_e는 단위 전기 요금(기본값 120원/kWh)이다. 이 기본값은 현장 특성 조건을 반영하도록 사용자가 조정할 수 있다.</w:t>
      </w:r>
    </w:p>
    <w:p>
      <w:r>
        <w:br w:type="page"/>
      </w:r>
    </w:p>
    <w:p>
      <w:pPr>
        <w:pStyle w:val="Heading2"/>
      </w:pPr>
      <w:r>
        <w:rPr>
          <w:rFonts w:ascii="맑은 고딕" w:hAnsi="맑은 고딕" w:eastAsia="맑은 고딕"/>
          <w:color w:val="000000"/>
          <w:sz w:val="24"/>
        </w:rPr>
        <w:t>2.7 물성치 및 상수</w:t>
      </w:r>
    </w:p>
    <w:p>
      <w:r>
        <w:rPr>
          <w:rFonts w:ascii="맑은 고딕" w:hAnsi="맑은 고딕" w:eastAsia="맑은 고딕"/>
          <w:b/>
          <w:sz w:val="20"/>
        </w:rPr>
        <w:t>표 7. 시뮬레이션에 사용된 물성치 및 설계 상수.</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맑은 고딕" w:hAnsi="맑은 고딕" w:eastAsia="맑은 고딕"/>
                <w:b/>
                <w:sz w:val="18"/>
              </w:rPr>
              <w:t>물성치</w:t>
            </w:r>
          </w:p>
        </w:tc>
        <w:tc>
          <w:tcPr>
            <w:tcW w:type="dxa" w:w="1728"/>
          </w:tcPr>
          <w:p>
            <w:pPr>
              <w:jc w:val="center"/>
            </w:pPr>
            <w:r>
              <w:rPr>
                <w:rFonts w:ascii="맑은 고딕" w:hAnsi="맑은 고딕" w:eastAsia="맑은 고딕"/>
                <w:b/>
                <w:sz w:val="18"/>
              </w:rPr>
              <w:t>기호</w:t>
            </w:r>
          </w:p>
        </w:tc>
        <w:tc>
          <w:tcPr>
            <w:tcW w:type="dxa" w:w="1728"/>
          </w:tcPr>
          <w:p>
            <w:pPr>
              <w:jc w:val="center"/>
            </w:pPr>
            <w:r>
              <w:rPr>
                <w:rFonts w:ascii="맑은 고딕" w:hAnsi="맑은 고딕" w:eastAsia="맑은 고딕"/>
                <w:b/>
                <w:sz w:val="18"/>
              </w:rPr>
              <w:t>값</w:t>
            </w:r>
          </w:p>
        </w:tc>
        <w:tc>
          <w:tcPr>
            <w:tcW w:type="dxa" w:w="1728"/>
          </w:tcPr>
          <w:p>
            <w:pPr>
              <w:jc w:val="center"/>
            </w:pPr>
            <w:r>
              <w:rPr>
                <w:rFonts w:ascii="맑은 고딕" w:hAnsi="맑은 고딕" w:eastAsia="맑은 고딕"/>
                <w:b/>
                <w:sz w:val="18"/>
              </w:rPr>
              <w:t>단위</w:t>
            </w:r>
          </w:p>
        </w:tc>
        <w:tc>
          <w:tcPr>
            <w:tcW w:type="dxa" w:w="1728"/>
          </w:tcPr>
          <w:p>
            <w:pPr>
              <w:jc w:val="center"/>
            </w:pPr>
            <w:r>
              <w:rPr>
                <w:rFonts w:ascii="맑은 고딕" w:hAnsi="맑은 고딕" w:eastAsia="맑은 고딕"/>
                <w:b/>
                <w:sz w:val="18"/>
              </w:rPr>
              <w:t>출처</w:t>
            </w:r>
          </w:p>
        </w:tc>
      </w:tr>
      <w:tr>
        <w:tc>
          <w:tcPr>
            <w:tcW w:type="dxa" w:w="1728"/>
          </w:tcPr>
          <w:p>
            <w:r>
              <w:rPr>
                <w:rFonts w:ascii="맑은 고딕" w:hAnsi="맑은 고딕" w:eastAsia="맑은 고딕"/>
                <w:sz w:val="18"/>
              </w:rPr>
              <w:t>물 밀도 (20°C)</w:t>
            </w:r>
          </w:p>
        </w:tc>
        <w:tc>
          <w:tcPr>
            <w:tcW w:type="dxa" w:w="1728"/>
          </w:tcPr>
          <w:p>
            <w:r>
              <w:rPr>
                <w:rFonts w:ascii="맑은 고딕" w:hAnsi="맑은 고딕" w:eastAsia="맑은 고딕"/>
                <w:sz w:val="18"/>
              </w:rPr>
              <w:t>ρ</w:t>
            </w:r>
          </w:p>
        </w:tc>
        <w:tc>
          <w:tcPr>
            <w:tcW w:type="dxa" w:w="1728"/>
          </w:tcPr>
          <w:p>
            <w:r>
              <w:rPr>
                <w:rFonts w:ascii="맑은 고딕" w:hAnsi="맑은 고딕" w:eastAsia="맑은 고딕"/>
                <w:sz w:val="18"/>
              </w:rPr>
              <w:t>998.0</w:t>
            </w:r>
          </w:p>
        </w:tc>
        <w:tc>
          <w:tcPr>
            <w:tcW w:type="dxa" w:w="1728"/>
          </w:tcPr>
          <w:p>
            <w:r>
              <w:rPr>
                <w:rFonts w:ascii="맑은 고딕" w:hAnsi="맑은 고딕" w:eastAsia="맑은 고딕"/>
                <w:sz w:val="18"/>
              </w:rPr>
              <w:t>kg/m³</w:t>
            </w:r>
          </w:p>
        </w:tc>
        <w:tc>
          <w:tcPr>
            <w:tcW w:type="dxa" w:w="1728"/>
          </w:tcPr>
          <w:p>
            <w:r>
              <w:rPr>
                <w:rFonts w:ascii="맑은 고딕" w:hAnsi="맑은 고딕" w:eastAsia="맑은 고딕"/>
                <w:sz w:val="18"/>
              </w:rPr>
              <w:t>공학 데이터</w:t>
            </w:r>
          </w:p>
        </w:tc>
      </w:tr>
      <w:tr>
        <w:tc>
          <w:tcPr>
            <w:tcW w:type="dxa" w:w="1728"/>
          </w:tcPr>
          <w:p>
            <w:r>
              <w:rPr>
                <w:rFonts w:ascii="맑은 고딕" w:hAnsi="맑은 고딕" w:eastAsia="맑은 고딕"/>
                <w:sz w:val="18"/>
              </w:rPr>
              <w:t>동점성계수 (20°C)</w:t>
            </w:r>
          </w:p>
        </w:tc>
        <w:tc>
          <w:tcPr>
            <w:tcW w:type="dxa" w:w="1728"/>
          </w:tcPr>
          <w:p>
            <w:r>
              <w:rPr>
                <w:rFonts w:ascii="맑은 고딕" w:hAnsi="맑은 고딕" w:eastAsia="맑은 고딕"/>
                <w:sz w:val="18"/>
              </w:rPr>
              <w:t>ν</w:t>
            </w:r>
          </w:p>
        </w:tc>
        <w:tc>
          <w:tcPr>
            <w:tcW w:type="dxa" w:w="1728"/>
          </w:tcPr>
          <w:p>
            <w:r>
              <w:rPr>
                <w:rFonts w:ascii="맑은 고딕" w:hAnsi="맑은 고딕" w:eastAsia="맑은 고딕"/>
                <w:sz w:val="18"/>
              </w:rPr>
              <w:t>1.004 × 10⁻⁶</w:t>
            </w:r>
          </w:p>
        </w:tc>
        <w:tc>
          <w:tcPr>
            <w:tcW w:type="dxa" w:w="1728"/>
          </w:tcPr>
          <w:p>
            <w:r>
              <w:rPr>
                <w:rFonts w:ascii="맑은 고딕" w:hAnsi="맑은 고딕" w:eastAsia="맑은 고딕"/>
                <w:sz w:val="18"/>
              </w:rPr>
              <w:t>m²/s</w:t>
            </w:r>
          </w:p>
        </w:tc>
        <w:tc>
          <w:tcPr>
            <w:tcW w:type="dxa" w:w="1728"/>
          </w:tcPr>
          <w:p>
            <w:r>
              <w:rPr>
                <w:rFonts w:ascii="맑은 고딕" w:hAnsi="맑은 고딕" w:eastAsia="맑은 고딕"/>
                <w:sz w:val="18"/>
              </w:rPr>
              <w:t>공학 데이터</w:t>
            </w:r>
          </w:p>
        </w:tc>
      </w:tr>
      <w:tr>
        <w:tc>
          <w:tcPr>
            <w:tcW w:type="dxa" w:w="1728"/>
          </w:tcPr>
          <w:p>
            <w:r>
              <w:rPr>
                <w:rFonts w:ascii="맑은 고딕" w:hAnsi="맑은 고딕" w:eastAsia="맑은 고딕"/>
                <w:sz w:val="18"/>
              </w:rPr>
              <w:t>동적 점성계수 (20°C)</w:t>
            </w:r>
          </w:p>
        </w:tc>
        <w:tc>
          <w:tcPr>
            <w:tcW w:type="dxa" w:w="1728"/>
          </w:tcPr>
          <w:p>
            <w:r>
              <w:rPr>
                <w:rFonts w:ascii="맑은 고딕" w:hAnsi="맑은 고딕" w:eastAsia="맑은 고딕"/>
                <w:sz w:val="18"/>
              </w:rPr>
              <w:t>μ</w:t>
            </w:r>
          </w:p>
        </w:tc>
        <w:tc>
          <w:tcPr>
            <w:tcW w:type="dxa" w:w="1728"/>
          </w:tcPr>
          <w:p>
            <w:r>
              <w:rPr>
                <w:rFonts w:ascii="맑은 고딕" w:hAnsi="맑은 고딕" w:eastAsia="맑은 고딕"/>
                <w:sz w:val="18"/>
              </w:rPr>
              <w:t>1.002 × 10⁻³</w:t>
            </w:r>
          </w:p>
        </w:tc>
        <w:tc>
          <w:tcPr>
            <w:tcW w:type="dxa" w:w="1728"/>
          </w:tcPr>
          <w:p>
            <w:r>
              <w:rPr>
                <w:rFonts w:ascii="맑은 고딕" w:hAnsi="맑은 고딕" w:eastAsia="맑은 고딕"/>
                <w:sz w:val="18"/>
              </w:rPr>
              <w:t>Pa·s</w:t>
            </w:r>
          </w:p>
        </w:tc>
        <w:tc>
          <w:tcPr>
            <w:tcW w:type="dxa" w:w="1728"/>
          </w:tcPr>
          <w:p>
            <w:r>
              <w:rPr>
                <w:rFonts w:ascii="맑은 고딕" w:hAnsi="맑은 고딕" w:eastAsia="맑은 고딕"/>
                <w:sz w:val="18"/>
              </w:rPr>
              <w:t>공학 데이터</w:t>
            </w:r>
          </w:p>
        </w:tc>
      </w:tr>
      <w:tr>
        <w:tc>
          <w:tcPr>
            <w:tcW w:type="dxa" w:w="1728"/>
          </w:tcPr>
          <w:p>
            <w:r>
              <w:rPr>
                <w:rFonts w:ascii="맑은 고딕" w:hAnsi="맑은 고딕" w:eastAsia="맑은 고딕"/>
                <w:sz w:val="18"/>
              </w:rPr>
              <w:t>중력가속도</w:t>
            </w:r>
          </w:p>
        </w:tc>
        <w:tc>
          <w:tcPr>
            <w:tcW w:type="dxa" w:w="1728"/>
          </w:tcPr>
          <w:p>
            <w:r>
              <w:rPr>
                <w:rFonts w:ascii="맑은 고딕" w:hAnsi="맑은 고딕" w:eastAsia="맑은 고딕"/>
                <w:sz w:val="18"/>
              </w:rPr>
              <w:t>g</w:t>
            </w:r>
          </w:p>
        </w:tc>
        <w:tc>
          <w:tcPr>
            <w:tcW w:type="dxa" w:w="1728"/>
          </w:tcPr>
          <w:p>
            <w:r>
              <w:rPr>
                <w:rFonts w:ascii="맑은 고딕" w:hAnsi="맑은 고딕" w:eastAsia="맑은 고딕"/>
                <w:sz w:val="18"/>
              </w:rPr>
              <w:t>9.81</w:t>
            </w:r>
          </w:p>
        </w:tc>
        <w:tc>
          <w:tcPr>
            <w:tcW w:type="dxa" w:w="1728"/>
          </w:tcPr>
          <w:p>
            <w:r>
              <w:rPr>
                <w:rFonts w:ascii="맑은 고딕" w:hAnsi="맑은 고딕" w:eastAsia="맑은 고딕"/>
                <w:sz w:val="18"/>
              </w:rPr>
              <w:t>m/s²</w:t>
            </w:r>
          </w:p>
        </w:tc>
        <w:tc>
          <w:tcPr>
            <w:tcW w:type="dxa" w:w="1728"/>
          </w:tcPr>
          <w:p>
            <w:r>
              <w:rPr>
                <w:rFonts w:ascii="맑은 고딕" w:hAnsi="맑은 고딕" w:eastAsia="맑은 고딕"/>
                <w:sz w:val="18"/>
              </w:rPr>
              <w:t>—</w:t>
            </w:r>
          </w:p>
        </w:tc>
      </w:tr>
      <w:tr>
        <w:tc>
          <w:tcPr>
            <w:tcW w:type="dxa" w:w="1728"/>
          </w:tcPr>
          <w:p>
            <w:r>
              <w:rPr>
                <w:rFonts w:ascii="맑은 고딕" w:hAnsi="맑은 고딕" w:eastAsia="맑은 고딕"/>
                <w:sz w:val="18"/>
              </w:rPr>
              <w:t>배관 조도 (탄소강)</w:t>
            </w:r>
          </w:p>
        </w:tc>
        <w:tc>
          <w:tcPr>
            <w:tcW w:type="dxa" w:w="1728"/>
          </w:tcPr>
          <w:p>
            <w:r>
              <w:rPr>
                <w:rFonts w:ascii="맑은 고딕" w:hAnsi="맑은 고딕" w:eastAsia="맑은 고딕"/>
                <w:sz w:val="18"/>
              </w:rPr>
              <w:t>ε</w:t>
            </w:r>
          </w:p>
        </w:tc>
        <w:tc>
          <w:tcPr>
            <w:tcW w:type="dxa" w:w="1728"/>
          </w:tcPr>
          <w:p>
            <w:r>
              <w:rPr>
                <w:rFonts w:ascii="맑은 고딕" w:hAnsi="맑은 고딕" w:eastAsia="맑은 고딕"/>
                <w:sz w:val="18"/>
              </w:rPr>
              <w:t>0.045</w:t>
            </w:r>
          </w:p>
        </w:tc>
        <w:tc>
          <w:tcPr>
            <w:tcW w:type="dxa" w:w="1728"/>
          </w:tcPr>
          <w:p>
            <w:r>
              <w:rPr>
                <w:rFonts w:ascii="맑은 고딕" w:hAnsi="맑은 고딕" w:eastAsia="맑은 고딕"/>
                <w:sz w:val="18"/>
              </w:rPr>
              <w:t>mm</w:t>
            </w:r>
          </w:p>
        </w:tc>
        <w:tc>
          <w:tcPr>
            <w:tcW w:type="dxa" w:w="1728"/>
          </w:tcPr>
          <w:p>
            <w:r>
              <w:rPr>
                <w:rFonts w:ascii="맑은 고딕" w:hAnsi="맑은 고딕" w:eastAsia="맑은 고딕"/>
                <w:sz w:val="18"/>
              </w:rPr>
              <w:t>Moody (1944)</w:t>
            </w:r>
          </w:p>
        </w:tc>
      </w:tr>
      <w:tr>
        <w:tc>
          <w:tcPr>
            <w:tcW w:type="dxa" w:w="1728"/>
          </w:tcPr>
          <w:p>
            <w:r>
              <w:rPr>
                <w:rFonts w:ascii="맑은 고딕" w:hAnsi="맑은 고딕" w:eastAsia="맑은 고딕"/>
                <w:sz w:val="18"/>
              </w:rPr>
              <w:t>기준 이음 손실 계수</w:t>
            </w:r>
          </w:p>
        </w:tc>
        <w:tc>
          <w:tcPr>
            <w:tcW w:type="dxa" w:w="1728"/>
          </w:tcPr>
          <w:p>
            <w:r>
              <w:rPr>
                <w:rFonts w:ascii="맑은 고딕" w:hAnsi="맑은 고딕" w:eastAsia="맑은 고딕"/>
                <w:sz w:val="18"/>
              </w:rPr>
              <w:t>K₁,base</w:t>
            </w:r>
          </w:p>
        </w:tc>
        <w:tc>
          <w:tcPr>
            <w:tcW w:type="dxa" w:w="1728"/>
          </w:tcPr>
          <w:p>
            <w:r>
              <w:rPr>
                <w:rFonts w:ascii="맑은 고딕" w:hAnsi="맑은 고딕" w:eastAsia="맑은 고딕"/>
                <w:sz w:val="18"/>
              </w:rPr>
              <w:t>0.5</w:t>
            </w:r>
          </w:p>
        </w:tc>
        <w:tc>
          <w:tcPr>
            <w:tcW w:type="dxa" w:w="1728"/>
          </w:tcPr>
          <w:p>
            <w:r>
              <w:rPr>
                <w:rFonts w:ascii="맑은 고딕" w:hAnsi="맑은 고딕" w:eastAsia="맑은 고딕"/>
                <w:sz w:val="18"/>
              </w:rPr>
              <w:t>—</w:t>
            </w:r>
          </w:p>
        </w:tc>
        <w:tc>
          <w:tcPr>
            <w:tcW w:type="dxa" w:w="1728"/>
          </w:tcPr>
          <w:p>
            <w:r>
              <w:rPr>
                <w:rFonts w:ascii="맑은 고딕" w:hAnsi="맑은 고딕" w:eastAsia="맑은 고딕"/>
                <w:sz w:val="18"/>
              </w:rPr>
              <w:t>Idelchik (1986)</w:t>
            </w:r>
          </w:p>
        </w:tc>
      </w:tr>
      <w:tr>
        <w:tc>
          <w:tcPr>
            <w:tcW w:type="dxa" w:w="1728"/>
          </w:tcPr>
          <w:p>
            <w:r>
              <w:rPr>
                <w:rFonts w:ascii="맑은 고딕" w:hAnsi="맑은 고딕" w:eastAsia="맑은 고딕"/>
                <w:sz w:val="18"/>
              </w:rPr>
              <w:t>스프링클러 헤드 손실 계수</w:t>
            </w:r>
          </w:p>
        </w:tc>
        <w:tc>
          <w:tcPr>
            <w:tcW w:type="dxa" w:w="1728"/>
          </w:tcPr>
          <w:p>
            <w:r>
              <w:rPr>
                <w:rFonts w:ascii="맑은 고딕" w:hAnsi="맑은 고딕" w:eastAsia="맑은 고딕"/>
                <w:sz w:val="18"/>
              </w:rPr>
              <w:t>K₂</w:t>
            </w:r>
          </w:p>
        </w:tc>
        <w:tc>
          <w:tcPr>
            <w:tcW w:type="dxa" w:w="1728"/>
          </w:tcPr>
          <w:p>
            <w:r>
              <w:rPr>
                <w:rFonts w:ascii="맑은 고딕" w:hAnsi="맑은 고딕" w:eastAsia="맑은 고딕"/>
                <w:sz w:val="18"/>
              </w:rPr>
              <w:t>2.5</w:t>
            </w:r>
          </w:p>
        </w:tc>
        <w:tc>
          <w:tcPr>
            <w:tcW w:type="dxa" w:w="1728"/>
          </w:tcPr>
          <w:p>
            <w:r>
              <w:rPr>
                <w:rFonts w:ascii="맑은 고딕" w:hAnsi="맑은 고딕" w:eastAsia="맑은 고딕"/>
                <w:sz w:val="18"/>
              </w:rPr>
              <w:t>—</w:t>
            </w:r>
          </w:p>
        </w:tc>
        <w:tc>
          <w:tcPr>
            <w:tcW w:type="dxa" w:w="1728"/>
          </w:tcPr>
          <w:p>
            <w:r>
              <w:rPr>
                <w:rFonts w:ascii="맑은 고딕" w:hAnsi="맑은 고딕" w:eastAsia="맑은 고딕"/>
                <w:sz w:val="18"/>
              </w:rPr>
              <w:t>NFSC 103</w:t>
            </w:r>
          </w:p>
        </w:tc>
      </w:tr>
      <w:tr>
        <w:tc>
          <w:tcPr>
            <w:tcW w:type="dxa" w:w="1728"/>
          </w:tcPr>
          <w:p>
            <w:r>
              <w:rPr>
                <w:rFonts w:ascii="맑은 고딕" w:hAnsi="맑은 고딕" w:eastAsia="맑은 고딕"/>
                <w:sz w:val="18"/>
              </w:rPr>
              <w:t>가지배관 입구 손실 계수</w:t>
            </w:r>
          </w:p>
        </w:tc>
        <w:tc>
          <w:tcPr>
            <w:tcW w:type="dxa" w:w="1728"/>
          </w:tcPr>
          <w:p>
            <w:r>
              <w:rPr>
                <w:rFonts w:ascii="맑은 고딕" w:hAnsi="맑은 고딕" w:eastAsia="맑은 고딕"/>
                <w:sz w:val="18"/>
              </w:rPr>
              <w:t>K₃</w:t>
            </w:r>
          </w:p>
        </w:tc>
        <w:tc>
          <w:tcPr>
            <w:tcW w:type="dxa" w:w="1728"/>
          </w:tcPr>
          <w:p>
            <w:r>
              <w:rPr>
                <w:rFonts w:ascii="맑은 고딕" w:hAnsi="맑은 고딕" w:eastAsia="맑은 고딕"/>
                <w:sz w:val="18"/>
              </w:rPr>
              <w:t>1.0</w:t>
            </w:r>
          </w:p>
        </w:tc>
        <w:tc>
          <w:tcPr>
            <w:tcW w:type="dxa" w:w="1728"/>
          </w:tcPr>
          <w:p>
            <w:r>
              <w:rPr>
                <w:rFonts w:ascii="맑은 고딕" w:hAnsi="맑은 고딕" w:eastAsia="맑은 고딕"/>
                <w:sz w:val="18"/>
              </w:rPr>
              <w:t>—</w:t>
            </w:r>
          </w:p>
        </w:tc>
        <w:tc>
          <w:tcPr>
            <w:tcW w:type="dxa" w:w="1728"/>
          </w:tcPr>
          <w:p>
            <w:r>
              <w:rPr>
                <w:rFonts w:ascii="맑은 고딕" w:hAnsi="맑은 고딕" w:eastAsia="맑은 고딕"/>
                <w:sz w:val="18"/>
              </w:rPr>
              <w:t>NFSC 103</w:t>
            </w:r>
          </w:p>
        </w:tc>
      </w:tr>
      <w:tr>
        <w:tc>
          <w:tcPr>
            <w:tcW w:type="dxa" w:w="1728"/>
          </w:tcPr>
          <w:p>
            <w:r>
              <w:rPr>
                <w:rFonts w:ascii="맑은 고딕" w:hAnsi="맑은 고딕" w:eastAsia="맑은 고딕"/>
                <w:sz w:val="18"/>
              </w:rPr>
              <w:t>최소 말단 압력</w:t>
            </w:r>
          </w:p>
        </w:tc>
        <w:tc>
          <w:tcPr>
            <w:tcW w:type="dxa" w:w="1728"/>
          </w:tcPr>
          <w:p>
            <w:r>
              <w:rPr>
                <w:rFonts w:ascii="맑은 고딕" w:hAnsi="맑은 고딕" w:eastAsia="맑은 고딕"/>
                <w:sz w:val="18"/>
              </w:rPr>
              <w:t>P_min</w:t>
            </w:r>
          </w:p>
        </w:tc>
        <w:tc>
          <w:tcPr>
            <w:tcW w:type="dxa" w:w="1728"/>
          </w:tcPr>
          <w:p>
            <w:r>
              <w:rPr>
                <w:rFonts w:ascii="맑은 고딕" w:hAnsi="맑은 고딕" w:eastAsia="맑은 고딕"/>
                <w:sz w:val="18"/>
              </w:rPr>
              <w:t>0.1</w:t>
            </w:r>
          </w:p>
        </w:tc>
        <w:tc>
          <w:tcPr>
            <w:tcW w:type="dxa" w:w="1728"/>
          </w:tcPr>
          <w:p>
            <w:r>
              <w:rPr>
                <w:rFonts w:ascii="맑은 고딕" w:hAnsi="맑은 고딕" w:eastAsia="맑은 고딕"/>
                <w:sz w:val="18"/>
              </w:rPr>
              <w:t>MPa</w:t>
            </w:r>
          </w:p>
        </w:tc>
        <w:tc>
          <w:tcPr>
            <w:tcW w:type="dxa" w:w="1728"/>
          </w:tcPr>
          <w:p>
            <w:r>
              <w:rPr>
                <w:rFonts w:ascii="맑은 고딕" w:hAnsi="맑은 고딕" w:eastAsia="맑은 고딕"/>
                <w:sz w:val="18"/>
              </w:rPr>
              <w:t>NFPC</w:t>
            </w:r>
          </w:p>
        </w:tc>
      </w:tr>
      <w:tr>
        <w:tc>
          <w:tcPr>
            <w:tcW w:type="dxa" w:w="1728"/>
          </w:tcPr>
          <w:p>
            <w:r>
              <w:rPr>
                <w:rFonts w:ascii="맑은 고딕" w:hAnsi="맑은 고딕" w:eastAsia="맑은 고딕"/>
                <w:sz w:val="18"/>
              </w:rPr>
              <w:t>최대 말단 압력</w:t>
            </w:r>
          </w:p>
        </w:tc>
        <w:tc>
          <w:tcPr>
            <w:tcW w:type="dxa" w:w="1728"/>
          </w:tcPr>
          <w:p>
            <w:r>
              <w:rPr>
                <w:rFonts w:ascii="맑은 고딕" w:hAnsi="맑은 고딕" w:eastAsia="맑은 고딕"/>
                <w:sz w:val="18"/>
              </w:rPr>
              <w:t>P_max</w:t>
            </w:r>
          </w:p>
        </w:tc>
        <w:tc>
          <w:tcPr>
            <w:tcW w:type="dxa" w:w="1728"/>
          </w:tcPr>
          <w:p>
            <w:r>
              <w:rPr>
                <w:rFonts w:ascii="맑은 고딕" w:hAnsi="맑은 고딕" w:eastAsia="맑은 고딕"/>
                <w:sz w:val="18"/>
              </w:rPr>
              <w:t>1.2</w:t>
            </w:r>
          </w:p>
        </w:tc>
        <w:tc>
          <w:tcPr>
            <w:tcW w:type="dxa" w:w="1728"/>
          </w:tcPr>
          <w:p>
            <w:r>
              <w:rPr>
                <w:rFonts w:ascii="맑은 고딕" w:hAnsi="맑은 고딕" w:eastAsia="맑은 고딕"/>
                <w:sz w:val="18"/>
              </w:rPr>
              <w:t>MPa</w:t>
            </w:r>
          </w:p>
        </w:tc>
        <w:tc>
          <w:tcPr>
            <w:tcW w:type="dxa" w:w="1728"/>
          </w:tcPr>
          <w:p>
            <w:r>
              <w:rPr>
                <w:rFonts w:ascii="맑은 고딕" w:hAnsi="맑은 고딕" w:eastAsia="맑은 고딕"/>
                <w:sz w:val="18"/>
              </w:rPr>
              <w:t>NFPC</w:t>
            </w:r>
          </w:p>
        </w:tc>
      </w:tr>
      <w:tr>
        <w:tc>
          <w:tcPr>
            <w:tcW w:type="dxa" w:w="1728"/>
          </w:tcPr>
          <w:p>
            <w:r>
              <w:rPr>
                <w:rFonts w:ascii="맑은 고딕" w:hAnsi="맑은 고딕" w:eastAsia="맑은 고딕"/>
                <w:sz w:val="18"/>
              </w:rPr>
              <w:t>최대 가지배관 유속</w:t>
            </w:r>
          </w:p>
        </w:tc>
        <w:tc>
          <w:tcPr>
            <w:tcW w:type="dxa" w:w="1728"/>
          </w:tcPr>
          <w:p>
            <w:r>
              <w:rPr>
                <w:rFonts w:ascii="맑은 고딕" w:hAnsi="맑은 고딕" w:eastAsia="맑은 고딕"/>
                <w:sz w:val="18"/>
              </w:rPr>
              <w:t>V_max,br</w:t>
            </w:r>
          </w:p>
        </w:tc>
        <w:tc>
          <w:tcPr>
            <w:tcW w:type="dxa" w:w="1728"/>
          </w:tcPr>
          <w:p>
            <w:r>
              <w:rPr>
                <w:rFonts w:ascii="맑은 고딕" w:hAnsi="맑은 고딕" w:eastAsia="맑은 고딕"/>
                <w:sz w:val="18"/>
              </w:rPr>
              <w:t>6.0</w:t>
            </w:r>
          </w:p>
        </w:tc>
        <w:tc>
          <w:tcPr>
            <w:tcW w:type="dxa" w:w="1728"/>
          </w:tcPr>
          <w:p>
            <w:r>
              <w:rPr>
                <w:rFonts w:ascii="맑은 고딕" w:hAnsi="맑은 고딕" w:eastAsia="맑은 고딕"/>
                <w:sz w:val="18"/>
              </w:rPr>
              <w:t>m/s</w:t>
            </w:r>
          </w:p>
        </w:tc>
        <w:tc>
          <w:tcPr>
            <w:tcW w:type="dxa" w:w="1728"/>
          </w:tcPr>
          <w:p>
            <w:r>
              <w:rPr>
                <w:rFonts w:ascii="맑은 고딕" w:hAnsi="맑은 고딕" w:eastAsia="맑은 고딕"/>
                <w:sz w:val="18"/>
              </w:rPr>
              <w:t>NFPC</w:t>
            </w:r>
          </w:p>
        </w:tc>
      </w:tr>
      <w:tr>
        <w:tc>
          <w:tcPr>
            <w:tcW w:type="dxa" w:w="1728"/>
          </w:tcPr>
          <w:p>
            <w:r>
              <w:rPr>
                <w:rFonts w:ascii="맑은 고딕" w:hAnsi="맑은 고딕" w:eastAsia="맑은 고딕"/>
                <w:sz w:val="18"/>
              </w:rPr>
              <w:t>최대 교차배관 유속</w:t>
            </w:r>
          </w:p>
        </w:tc>
        <w:tc>
          <w:tcPr>
            <w:tcW w:type="dxa" w:w="1728"/>
          </w:tcPr>
          <w:p>
            <w:r>
              <w:rPr>
                <w:rFonts w:ascii="맑은 고딕" w:hAnsi="맑은 고딕" w:eastAsia="맑은 고딕"/>
                <w:sz w:val="18"/>
              </w:rPr>
              <w:t>V_max,cm</w:t>
            </w:r>
          </w:p>
        </w:tc>
        <w:tc>
          <w:tcPr>
            <w:tcW w:type="dxa" w:w="1728"/>
          </w:tcPr>
          <w:p>
            <w:r>
              <w:rPr>
                <w:rFonts w:ascii="맑은 고딕" w:hAnsi="맑은 고딕" w:eastAsia="맑은 고딕"/>
                <w:sz w:val="18"/>
              </w:rPr>
              <w:t>10.0</w:t>
            </w:r>
          </w:p>
        </w:tc>
        <w:tc>
          <w:tcPr>
            <w:tcW w:type="dxa" w:w="1728"/>
          </w:tcPr>
          <w:p>
            <w:r>
              <w:rPr>
                <w:rFonts w:ascii="맑은 고딕" w:hAnsi="맑은 고딕" w:eastAsia="맑은 고딕"/>
                <w:sz w:val="18"/>
              </w:rPr>
              <w:t>m/s</w:t>
            </w:r>
          </w:p>
        </w:tc>
        <w:tc>
          <w:tcPr>
            <w:tcW w:type="dxa" w:w="1728"/>
          </w:tcPr>
          <w:p>
            <w:r>
              <w:rPr>
                <w:rFonts w:ascii="맑은 고딕" w:hAnsi="맑은 고딕" w:eastAsia="맑은 고딕"/>
                <w:sz w:val="18"/>
              </w:rPr>
              <w:t>NFPC</w:t>
            </w:r>
          </w:p>
        </w:tc>
      </w:tr>
    </w:tbl>
    <w:p/>
    <w:p>
      <w:r>
        <w:br w:type="page"/>
      </w:r>
    </w:p>
    <w:p>
      <w:pPr>
        <w:pStyle w:val="Heading1"/>
      </w:pPr>
      <w:r>
        <w:rPr>
          <w:rFonts w:ascii="맑은 고딕" w:hAnsi="맑은 고딕" w:eastAsia="맑은 고딕"/>
          <w:color w:val="000000"/>
          <w:sz w:val="28"/>
        </w:rPr>
        <w:t>참고문헌</w:t>
      </w:r>
    </w:p>
    <w:p>
      <w:pPr>
        <w:pStyle w:val="ListNumber"/>
      </w:pPr>
      <w:r>
        <w:rPr>
          <w:rFonts w:ascii="맑은 고딕" w:hAnsi="맑은 고딕" w:eastAsia="맑은 고딕"/>
          <w:sz w:val="20"/>
        </w:rPr>
        <w:t>Brkić, D. (2011). Review of explicit approximations to the Colebrook relation for flow friction. Journal of Petroleum Science and Engineering, 77(1), 34–48.</w:t>
      </w:r>
    </w:p>
    <w:p>
      <w:pPr>
        <w:pStyle w:val="ListNumber"/>
      </w:pPr>
      <w:r>
        <w:rPr>
          <w:rFonts w:ascii="맑은 고딕" w:hAnsi="맑은 고딕" w:eastAsia="맑은 고딕"/>
          <w:sz w:val="20"/>
        </w:rPr>
        <w:t>Colebrook, C. F. (1939). Turbulent flow in pipes, with particular reference to the transition region between the smooth and rough pipe laws. Journal of the Institution of Civil Engineers, 11(4), 133–156.</w:t>
      </w:r>
    </w:p>
    <w:p>
      <w:pPr>
        <w:pStyle w:val="ListNumber"/>
      </w:pPr>
      <w:r>
        <w:rPr>
          <w:rFonts w:ascii="맑은 고딕" w:hAnsi="맑은 고딕" w:eastAsia="맑은 고딕"/>
          <w:sz w:val="20"/>
        </w:rPr>
        <w:t>Cross, H. (1936). Analysis of flow in networks of conduits or conductors. Bulletin No. 286, University of Illinois Engineering Experiment Station.</w:t>
      </w:r>
    </w:p>
    <w:p>
      <w:pPr>
        <w:pStyle w:val="ListNumber"/>
      </w:pPr>
      <w:r>
        <w:rPr>
          <w:rFonts w:ascii="맑은 고딕" w:hAnsi="맑은 고딕" w:eastAsia="맑은 고딕"/>
          <w:sz w:val="20"/>
        </w:rPr>
        <w:t>Idelchik, I. E. (1986). Handbook of Hydraulic Resistance, 2nd ed. Hemisphere Publishing.</w:t>
      </w:r>
    </w:p>
    <w:p>
      <w:pPr>
        <w:pStyle w:val="ListNumber"/>
      </w:pPr>
      <w:r>
        <w:rPr>
          <w:rFonts w:ascii="맑은 고딕" w:hAnsi="맑은 고딕" w:eastAsia="맑은 고딕"/>
          <w:sz w:val="20"/>
        </w:rPr>
        <w:t>Moody, L. F. (1944). Friction factors for pipe flow. Transactions of the ASME, 66(8), 671–684.</w:t>
      </w:r>
    </w:p>
    <w:p>
      <w:pPr>
        <w:pStyle w:val="ListNumber"/>
      </w:pPr>
      <w:r>
        <w:rPr>
          <w:rFonts w:ascii="맑은 고딕" w:hAnsi="맑은 고딕" w:eastAsia="맑은 고딕"/>
          <w:sz w:val="20"/>
        </w:rPr>
        <w:t>Swamee, P. K., &amp; Jain, A. K. (1976). Explicit equations for pipe-flow problems. Journal of the Hydraulics Division, 102(5), 657–664.</w:t>
      </w:r>
    </w:p>
    <w:p>
      <w:pPr>
        <w:pStyle w:val="ListNumber"/>
      </w:pPr>
      <w:r>
        <w:rPr>
          <w:rFonts w:ascii="맑은 고딕" w:hAnsi="맑은 고딕" w:eastAsia="맑은 고딕"/>
          <w:sz w:val="20"/>
        </w:rPr>
        <w:t>국가화재예방법(NFPC), 대한민국.</w:t>
      </w:r>
    </w:p>
    <w:p>
      <w:pPr>
        <w:pStyle w:val="ListNumber"/>
      </w:pPr>
      <w:r>
        <w:rPr>
          <w:rFonts w:ascii="맑은 고딕" w:hAnsi="맑은 고딕" w:eastAsia="맑은 고딕"/>
          <w:sz w:val="20"/>
        </w:rPr>
        <w:t>국가화재안전기준 103 (NFSC 103): 스프링클러설비의 화재안전기준, 대한민국.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