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32"/>
        </w:rPr>
        <w:t>Methodology: Numerical Simulation of Fire Protection Piping Systems</w:t>
      </w:r>
    </w:p>
    <w:p/>
    <w:p>
      <w:pPr>
        <w:pStyle w:val="Heading1"/>
      </w:pPr>
      <w:r>
        <w:rPr>
          <w:rFonts w:ascii="Times New Roman" w:hAnsi="Times New Roman"/>
          <w:color w:val="000000"/>
          <w:sz w:val="28"/>
        </w:rPr>
        <w:t>1. Simulation Development</w:t>
      </w:r>
    </w:p>
    <w:p>
      <w:pPr>
        <w:pStyle w:val="Heading2"/>
      </w:pPr>
      <w:r>
        <w:rPr>
          <w:rFonts w:ascii="Times New Roman" w:hAnsi="Times New Roman"/>
          <w:color w:val="000000"/>
          <w:sz w:val="24"/>
        </w:rPr>
        <w:t>1.1 Development Environment and Tools</w:t>
      </w:r>
    </w:p>
    <w:p>
      <w:r>
        <w:rPr>
          <w:rFonts w:ascii="Times New Roman" w:hAnsi="Times New Roman"/>
          <w:b w:val="0"/>
          <w:i w:val="0"/>
          <w:sz w:val="22"/>
        </w:rPr>
        <w:t>The numerical simulation platform, designated FiPLSim (Fire Protection Pipe Let Simulator), was developed using the Python programming language (version 3.12+) with the following computational libraries: NumPy (≥1.24) for array operations and random number generation, SciPy (≥1.11) for cubic spline interpolation and root-finding algorithms, Pandas (≥2.0) for tabular data handling, and Plotly (≥5.18) for interactive visualization. The graphical user interface was implemented using Streamlit (≥1.30), a web-based dashboard framework, enabling real-time parameter adjustment and result inspection.</w:t>
      </w:r>
    </w:p>
    <w:p>
      <w:r>
        <w:rPr>
          <w:rFonts w:ascii="Times New Roman" w:hAnsi="Times New Roman"/>
          <w:b w:val="0"/>
          <w:i w:val="0"/>
          <w:sz w:val="22"/>
        </w:rPr>
        <w:t>All hydraulic calculations are performed in SI units with pressure expressed in MPa, flow rate in L/min (LPM), pipe dimensions in meters, and velocity in m/s. Unit conversions are applied internally at the calculation boundaries to maintain consistency throughout the computation pipeline.</w:t>
      </w:r>
    </w:p>
    <w:p>
      <w:pPr>
        <w:pStyle w:val="Heading2"/>
      </w:pPr>
      <w:r>
        <w:rPr>
          <w:rFonts w:ascii="Times New Roman" w:hAnsi="Times New Roman"/>
          <w:color w:val="000000"/>
          <w:sz w:val="24"/>
        </w:rPr>
        <w:t>1.2 Governing Equations and Numerical Theories</w:t>
      </w:r>
    </w:p>
    <w:p>
      <w:pPr>
        <w:pStyle w:val="Heading3"/>
      </w:pPr>
      <w:r>
        <w:rPr>
          <w:rFonts w:ascii="Times New Roman" w:hAnsi="Times New Roman"/>
          <w:color w:val="000000"/>
          <w:sz w:val="22"/>
        </w:rPr>
        <w:t>1.2.1 Darcy–Weisbach Equation for Major (Friction) Losses</w:t>
      </w:r>
    </w:p>
    <w:p>
      <w:r>
        <w:rPr>
          <w:rFonts w:ascii="Times New Roman" w:hAnsi="Times New Roman"/>
          <w:b w:val="0"/>
          <w:i w:val="0"/>
          <w:sz w:val="22"/>
        </w:rPr>
        <w:t>Pressure loss due to wall friction along straight pipe segments is computed using the Darcy–Weisbach equation, which is applicable to all flow regimes and pipe materials without the empirical limitations of Hazen–Williams or Manning formulas:</w:t>
      </w:r>
    </w:p>
    <w:p>
      <w:pPr>
        <w:jc w:val="center"/>
      </w:pPr>
      <w:r>
        <w:rPr>
          <w:rFonts w:ascii="Cambria Math" w:hAnsi="Cambria Math"/>
          <w:i/>
          <w:sz w:val="22"/>
        </w:rPr>
        <w:t>h_f = f · (L / D) · (V² / 2g)</w:t>
      </w:r>
      <w:r>
        <w:rPr>
          <w:rFonts w:ascii="Times New Roman" w:hAnsi="Times New Roman"/>
          <w:sz w:val="22"/>
        </w:rPr>
        <w:t xml:space="preserve">    (1)</w:t>
      </w:r>
    </w:p>
    <w:p>
      <w:r>
        <w:rPr>
          <w:rFonts w:ascii="Times New Roman" w:hAnsi="Times New Roman"/>
          <w:b w:val="0"/>
          <w:i w:val="0"/>
          <w:sz w:val="22"/>
        </w:rPr>
        <w:t>where h_f is the friction head loss (m), f is the Darcy friction factor (dimensionless), L is the pipe segment length (m), D is the internal diameter (m), V is the mean flow velocity (m/s), and g is the gravitational acceleration (9.81 m/s²).</w:t>
      </w:r>
    </w:p>
    <w:p>
      <w:pPr>
        <w:pStyle w:val="Heading3"/>
      </w:pPr>
      <w:r>
        <w:rPr>
          <w:rFonts w:ascii="Times New Roman" w:hAnsi="Times New Roman"/>
          <w:color w:val="000000"/>
          <w:sz w:val="22"/>
        </w:rPr>
        <w:t>1.2.2 Colebrook–White Equation for Friction Factor</w:t>
      </w:r>
    </w:p>
    <w:p>
      <w:r>
        <w:rPr>
          <w:rFonts w:ascii="Times New Roman" w:hAnsi="Times New Roman"/>
          <w:b w:val="0"/>
          <w:i w:val="0"/>
          <w:sz w:val="22"/>
        </w:rPr>
        <w:t>The Darcy friction factor f is determined by the implicit Colebrook–White equation, which is valid for the entire turbulent flow regime in commercial pipes:</w:t>
      </w:r>
    </w:p>
    <w:p>
      <w:pPr>
        <w:jc w:val="center"/>
      </w:pPr>
      <w:r>
        <w:rPr>
          <w:rFonts w:ascii="Cambria Math" w:hAnsi="Cambria Math"/>
          <w:i/>
          <w:sz w:val="22"/>
        </w:rPr>
        <w:t>1/√f = −2.0 · log₁₀ [ (ε/D)/3.7 + 2.51/(Re·√f) ]</w:t>
      </w:r>
      <w:r>
        <w:rPr>
          <w:rFonts w:ascii="Times New Roman" w:hAnsi="Times New Roman"/>
          <w:sz w:val="22"/>
        </w:rPr>
        <w:t xml:space="preserve">    (2)</w:t>
      </w:r>
    </w:p>
    <w:p>
      <w:r>
        <w:rPr>
          <w:rFonts w:ascii="Times New Roman" w:hAnsi="Times New Roman"/>
          <w:b w:val="0"/>
          <w:i w:val="0"/>
          <w:sz w:val="22"/>
        </w:rPr>
        <w:t>where ε is the absolute pipe wall roughness (m) and Re is the Reynolds number. For carbon steel pipes used in fire protection systems, ε = 0.045 mm (4.5 × 10⁻⁵ m) is adopted in accordance with standard engineering references (Moody, 1944; Colebrook, 1939).</w:t>
      </w:r>
    </w:p>
    <w:p>
      <w:r>
        <w:rPr>
          <w:rFonts w:ascii="Times New Roman" w:hAnsi="Times New Roman"/>
          <w:b w:val="0"/>
          <w:i w:val="0"/>
          <w:sz w:val="22"/>
        </w:rPr>
        <w:t>Since Eq. (2) is implicit in f, it is solved iteratively using a fixed-point iteration scheme. The initial estimate is obtained from the explicit Swamee–Jain approximation (Swamee and Jain, 1976):</w:t>
      </w:r>
    </w:p>
    <w:p>
      <w:pPr>
        <w:jc w:val="center"/>
      </w:pPr>
      <w:r>
        <w:rPr>
          <w:rFonts w:ascii="Cambria Math" w:hAnsi="Cambria Math"/>
          <w:i/>
          <w:sz w:val="22"/>
        </w:rPr>
        <w:t>f₀ = 0.25 / { log₁₀ [ (ε/D)/3.7 + 2.51/(Re·√0.02) ] }²</w:t>
      </w:r>
      <w:r>
        <w:rPr>
          <w:rFonts w:ascii="Times New Roman" w:hAnsi="Times New Roman"/>
          <w:sz w:val="22"/>
        </w:rPr>
        <w:t xml:space="preserve">    (3)</w:t>
      </w:r>
    </w:p>
    <w:p>
      <w:r>
        <w:rPr>
          <w:rFonts w:ascii="Times New Roman" w:hAnsi="Times New Roman"/>
          <w:b w:val="0"/>
          <w:i w:val="0"/>
          <w:sz w:val="22"/>
        </w:rPr>
        <w:t>Convergence is declared when the relative change |f_{n+1} − f_n| / f_n &lt; 10⁻⁸, typically achieved within 3–5 iterations. For laminar flow (Re &lt; 2300), the Hagen–Poiseuille solution f = 64/Re is applied directly without iteration.</w:t>
      </w:r>
    </w:p>
    <w:p>
      <w:pPr>
        <w:pStyle w:val="Heading3"/>
      </w:pPr>
      <w:r>
        <w:rPr>
          <w:rFonts w:ascii="Times New Roman" w:hAnsi="Times New Roman"/>
          <w:color w:val="000000"/>
          <w:sz w:val="22"/>
        </w:rPr>
        <w:t>1.2.3 Reynolds Number and Flow Regime Classification</w:t>
      </w:r>
    </w:p>
    <w:p>
      <w:pPr>
        <w:jc w:val="center"/>
      </w:pPr>
      <w:r>
        <w:rPr>
          <w:rFonts w:ascii="Cambria Math" w:hAnsi="Cambria Math"/>
          <w:i/>
          <w:sz w:val="22"/>
        </w:rPr>
        <w:t>Re = V · D / ν</w:t>
      </w:r>
      <w:r>
        <w:rPr>
          <w:rFonts w:ascii="Times New Roman" w:hAnsi="Times New Roman"/>
          <w:sz w:val="22"/>
        </w:rPr>
        <w:t xml:space="preserve">    (4)</w:t>
      </w:r>
    </w:p>
    <w:p>
      <w:r>
        <w:rPr>
          <w:rFonts w:ascii="Times New Roman" w:hAnsi="Times New Roman"/>
          <w:b w:val="0"/>
          <w:i w:val="0"/>
          <w:sz w:val="22"/>
        </w:rPr>
        <w:t>where ν is the kinematic viscosity of water at 20°C (1.004 × 10⁻⁶ m²/s). The flow regime is classified as follows: Re &lt; 2300 (laminar), 2300 ≤ Re ≤ 4000 (transitional), and Re &gt; 4000 (fully turbulent). Fire protection systems typically operate in the turbulent regime (Re ≈ 10⁴–10⁵).</w:t>
      </w:r>
    </w:p>
    <w:p>
      <w:pPr>
        <w:pStyle w:val="Heading3"/>
      </w:pPr>
      <w:r>
        <w:rPr>
          <w:rFonts w:ascii="Times New Roman" w:hAnsi="Times New Roman"/>
          <w:color w:val="000000"/>
          <w:sz w:val="22"/>
        </w:rPr>
        <w:t>1.2.4 Minor (Local) Loss Model</w:t>
      </w:r>
    </w:p>
    <w:p>
      <w:r>
        <w:rPr>
          <w:rFonts w:ascii="Times New Roman" w:hAnsi="Times New Roman"/>
          <w:b w:val="0"/>
          <w:i w:val="0"/>
          <w:sz w:val="22"/>
        </w:rPr>
        <w:t>Localized pressure losses at fittings, junctions, and appurtenances are computed using the K-factor method:</w:t>
      </w:r>
    </w:p>
    <w:p>
      <w:pPr>
        <w:jc w:val="center"/>
      </w:pPr>
      <w:r>
        <w:rPr>
          <w:rFonts w:ascii="Cambria Math" w:hAnsi="Cambria Math"/>
          <w:i/>
          <w:sz w:val="22"/>
        </w:rPr>
        <w:t>h_m = K · (V² / 2g)</w:t>
      </w:r>
      <w:r>
        <w:rPr>
          <w:rFonts w:ascii="Times New Roman" w:hAnsi="Times New Roman"/>
          <w:sz w:val="22"/>
        </w:rPr>
        <w:t xml:space="preserve">    (5)</w:t>
      </w:r>
    </w:p>
    <w:p>
      <w:r>
        <w:rPr>
          <w:rFonts w:ascii="Times New Roman" w:hAnsi="Times New Roman"/>
          <w:b w:val="0"/>
          <w:i w:val="0"/>
          <w:sz w:val="22"/>
        </w:rPr>
        <w:t>where K is the dimensionless loss coefficient. The simulator accounts for the following loss components at each segment of the branch pipe:</w:t>
      </w:r>
    </w:p>
    <w:p>
      <w:r>
        <w:rPr>
          <w:rFonts w:ascii="Times New Roman" w:hAnsi="Times New Roman"/>
          <w:b/>
          <w:sz w:val="20"/>
        </w:rPr>
        <w:t>Table 1. Loss coefficient (K-factor) assignments for each hydraulic component.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Loss Component</w:t>
            </w:r>
          </w:p>
        </w:tc>
        <w:tc>
          <w:tcPr>
            <w:tcW w:type="dxa" w:w="2160"/>
          </w:tcPr>
          <w:p>
            <w:pPr>
              <w:jc w:val="center"/>
            </w:pPr>
            <w:r>
              <w:rPr>
                <w:rFonts w:ascii="Times New Roman" w:hAnsi="Times New Roman"/>
                <w:b/>
                <w:sz w:val="18"/>
              </w:rPr>
              <w:t>Symbol</w:t>
            </w:r>
          </w:p>
        </w:tc>
        <w:tc>
          <w:tcPr>
            <w:tcW w:type="dxa" w:w="2160"/>
          </w:tcPr>
          <w:p>
            <w:pPr>
              <w:jc w:val="center"/>
            </w:pPr>
            <w:r>
              <w:rPr>
                <w:rFonts w:ascii="Times New Roman" w:hAnsi="Times New Roman"/>
                <w:b/>
                <w:sz w:val="18"/>
              </w:rPr>
              <w:t>Value</w:t>
            </w:r>
          </w:p>
        </w:tc>
        <w:tc>
          <w:tcPr>
            <w:tcW w:type="dxa" w:w="2160"/>
          </w:tcPr>
          <w:p>
            <w:pPr>
              <w:jc w:val="center"/>
            </w:pPr>
            <w:r>
              <w:rPr>
                <w:rFonts w:ascii="Times New Roman" w:hAnsi="Times New Roman"/>
                <w:b/>
                <w:sz w:val="18"/>
              </w:rPr>
              <w:t>Description</w:t>
            </w:r>
          </w:p>
        </w:tc>
      </w:tr>
      <w:tr>
        <w:tc>
          <w:tcPr>
            <w:tcW w:type="dxa" w:w="2160"/>
          </w:tcPr>
          <w:p>
            <w:r>
              <w:rPr>
                <w:rFonts w:ascii="Times New Roman" w:hAnsi="Times New Roman"/>
                <w:sz w:val="18"/>
              </w:rPr>
              <w:t>Welded fitting (junction)</w:t>
            </w:r>
          </w:p>
        </w:tc>
        <w:tc>
          <w:tcPr>
            <w:tcW w:type="dxa" w:w="2160"/>
          </w:tcPr>
          <w:p>
            <w:r>
              <w:rPr>
                <w:rFonts w:ascii="Times New Roman" w:hAnsi="Times New Roman"/>
                <w:sz w:val="18"/>
              </w:rPr>
              <w:t>K₁</w:t>
            </w:r>
          </w:p>
        </w:tc>
        <w:tc>
          <w:tcPr>
            <w:tcW w:type="dxa" w:w="2160"/>
          </w:tcPr>
          <w:p>
            <w:r>
              <w:rPr>
                <w:rFonts w:ascii="Times New Roman" w:hAnsi="Times New Roman"/>
                <w:sz w:val="18"/>
              </w:rPr>
              <w:t>f(h_bead)</w:t>
            </w:r>
          </w:p>
        </w:tc>
        <w:tc>
          <w:tcPr>
            <w:tcW w:type="dxa" w:w="2160"/>
          </w:tcPr>
          <w:p>
            <w:r>
              <w:rPr>
                <w:rFonts w:ascii="Times New Roman" w:hAnsi="Times New Roman"/>
                <w:sz w:val="18"/>
              </w:rPr>
              <w:t>Depends on weld bead protrusion height</w:t>
            </w:r>
          </w:p>
        </w:tc>
      </w:tr>
      <w:tr>
        <w:tc>
          <w:tcPr>
            <w:tcW w:type="dxa" w:w="2160"/>
          </w:tcPr>
          <w:p>
            <w:r>
              <w:rPr>
                <w:rFonts w:ascii="Times New Roman" w:hAnsi="Times New Roman"/>
                <w:sz w:val="18"/>
              </w:rPr>
              <w:t>Sprinkler head orifice</w:t>
            </w:r>
          </w:p>
        </w:tc>
        <w:tc>
          <w:tcPr>
            <w:tcW w:type="dxa" w:w="2160"/>
          </w:tcPr>
          <w:p>
            <w:r>
              <w:rPr>
                <w:rFonts w:ascii="Times New Roman" w:hAnsi="Times New Roman"/>
                <w:sz w:val="18"/>
              </w:rPr>
              <w:t>K₂</w:t>
            </w:r>
          </w:p>
        </w:tc>
        <w:tc>
          <w:tcPr>
            <w:tcW w:type="dxa" w:w="2160"/>
          </w:tcPr>
          <w:p>
            <w:r>
              <w:rPr>
                <w:rFonts w:ascii="Times New Roman" w:hAnsi="Times New Roman"/>
                <w:sz w:val="18"/>
              </w:rPr>
              <w:t>2.5</w:t>
            </w:r>
          </w:p>
        </w:tc>
        <w:tc>
          <w:tcPr>
            <w:tcW w:type="dxa" w:w="2160"/>
          </w:tcPr>
          <w:p>
            <w:r>
              <w:rPr>
                <w:rFonts w:ascii="Times New Roman" w:hAnsi="Times New Roman"/>
                <w:sz w:val="18"/>
              </w:rPr>
              <w:t>Intrinsic head fitting resistance</w:t>
            </w:r>
          </w:p>
        </w:tc>
      </w:tr>
      <w:tr>
        <w:tc>
          <w:tcPr>
            <w:tcW w:type="dxa" w:w="2160"/>
          </w:tcPr>
          <w:p>
            <w:r>
              <w:rPr>
                <w:rFonts w:ascii="Times New Roman" w:hAnsi="Times New Roman"/>
                <w:sz w:val="18"/>
              </w:rPr>
              <w:t>Branch entry (Tee)</w:t>
            </w:r>
          </w:p>
        </w:tc>
        <w:tc>
          <w:tcPr>
            <w:tcW w:type="dxa" w:w="2160"/>
          </w:tcPr>
          <w:p>
            <w:r>
              <w:rPr>
                <w:rFonts w:ascii="Times New Roman" w:hAnsi="Times New Roman"/>
                <w:sz w:val="18"/>
              </w:rPr>
              <w:t>K₃</w:t>
            </w:r>
          </w:p>
        </w:tc>
        <w:tc>
          <w:tcPr>
            <w:tcW w:type="dxa" w:w="2160"/>
          </w:tcPr>
          <w:p>
            <w:r>
              <w:rPr>
                <w:rFonts w:ascii="Times New Roman" w:hAnsi="Times New Roman"/>
                <w:sz w:val="18"/>
              </w:rPr>
              <w:t>1.0</w:t>
            </w:r>
          </w:p>
        </w:tc>
        <w:tc>
          <w:tcPr>
            <w:tcW w:type="dxa" w:w="2160"/>
          </w:tcPr>
          <w:p>
            <w:r>
              <w:rPr>
                <w:rFonts w:ascii="Times New Roman" w:hAnsi="Times New Roman"/>
                <w:sz w:val="18"/>
              </w:rPr>
              <w:t>Cross-main to branch-pipe junction</w:t>
            </w:r>
          </w:p>
        </w:tc>
      </w:tr>
      <w:tr>
        <w:tc>
          <w:tcPr>
            <w:tcW w:type="dxa" w:w="2160"/>
          </w:tcPr>
          <w:p>
            <w:r>
              <w:rPr>
                <w:rFonts w:ascii="Times New Roman" w:hAnsi="Times New Roman"/>
                <w:sz w:val="18"/>
              </w:rPr>
              <w:t>Cross-main Tee-run</w:t>
            </w:r>
          </w:p>
        </w:tc>
        <w:tc>
          <w:tcPr>
            <w:tcW w:type="dxa" w:w="2160"/>
          </w:tcPr>
          <w:p>
            <w:r>
              <w:rPr>
                <w:rFonts w:ascii="Times New Roman" w:hAnsi="Times New Roman"/>
                <w:sz w:val="18"/>
              </w:rPr>
              <w:t>K_tee</w:t>
            </w:r>
          </w:p>
        </w:tc>
        <w:tc>
          <w:tcPr>
            <w:tcW w:type="dxa" w:w="2160"/>
          </w:tcPr>
          <w:p>
            <w:r>
              <w:rPr>
                <w:rFonts w:ascii="Times New Roman" w:hAnsi="Times New Roman"/>
                <w:sz w:val="18"/>
              </w:rPr>
              <w:t>0.3</w:t>
            </w:r>
          </w:p>
        </w:tc>
        <w:tc>
          <w:tcPr>
            <w:tcW w:type="dxa" w:w="2160"/>
          </w:tcPr>
          <w:p>
            <w:r>
              <w:rPr>
                <w:rFonts w:ascii="Times New Roman" w:hAnsi="Times New Roman"/>
                <w:sz w:val="18"/>
              </w:rPr>
              <w:t>Straight-through flow in cross-main</w:t>
            </w:r>
          </w:p>
        </w:tc>
      </w:tr>
    </w:tbl>
    <w:p/>
    <w:p>
      <w:pPr>
        <w:pStyle w:val="Heading3"/>
      </w:pPr>
      <w:r>
        <w:rPr>
          <w:rFonts w:ascii="Times New Roman" w:hAnsi="Times New Roman"/>
          <w:color w:val="000000"/>
          <w:sz w:val="22"/>
        </w:rPr>
        <w:t>1.2.5 Weld Bead Protrusion Loss Model</w:t>
      </w:r>
    </w:p>
    <w:p>
      <w:r>
        <w:rPr>
          <w:rFonts w:ascii="Times New Roman" w:hAnsi="Times New Roman"/>
          <w:b w:val="0"/>
          <w:i w:val="0"/>
          <w:sz w:val="22"/>
        </w:rPr>
        <w:t>A critical innovation of this study is the quantitative modeling of internal weld bead protrusions and their effect on hydraulic resistance. When pipes are joined by conventional welding, the internal bead protrudes into the flow cross-section, reducing the effective diameter. The resulting increase in the local loss coefficient is modeled as:</w:t>
      </w:r>
    </w:p>
    <w:p>
      <w:pPr>
        <w:jc w:val="center"/>
      </w:pPr>
      <w:r>
        <w:rPr>
          <w:rFonts w:ascii="Cambria Math" w:hAnsi="Cambria Math"/>
          <w:i/>
          <w:sz w:val="22"/>
        </w:rPr>
        <w:t>K₁ = K₁,base · (D / D_eff)⁴</w:t>
      </w:r>
      <w:r>
        <w:rPr>
          <w:rFonts w:ascii="Times New Roman" w:hAnsi="Times New Roman"/>
          <w:sz w:val="22"/>
        </w:rPr>
        <w:t xml:space="preserve">    (6)</w:t>
      </w:r>
    </w:p>
    <w:p>
      <w:pPr>
        <w:jc w:val="center"/>
      </w:pPr>
      <w:r>
        <w:rPr>
          <w:rFonts w:ascii="Cambria Math" w:hAnsi="Cambria Math"/>
          <w:i/>
          <w:sz w:val="22"/>
        </w:rPr>
        <w:t>D_eff = D − 2h</w:t>
      </w:r>
      <w:r>
        <w:rPr>
          <w:rFonts w:ascii="Times New Roman" w:hAnsi="Times New Roman"/>
          <w:sz w:val="22"/>
        </w:rPr>
        <w:t xml:space="preserve">    (7)</w:t>
      </w:r>
    </w:p>
    <w:p>
      <w:r>
        <w:rPr>
          <w:rFonts w:ascii="Times New Roman" w:hAnsi="Times New Roman"/>
          <w:b w:val="0"/>
          <w:i w:val="0"/>
          <w:sz w:val="22"/>
        </w:rPr>
        <w:t>where K₁,base is the baseline loss coefficient for an ideal joint (0.5), D is the nominal internal diameter (mm), h is the bead protrusion height (mm), and D_eff is the effective diameter after accounting for bilateral bead protrusion.</w:t>
      </w:r>
    </w:p>
    <w:p>
      <w:r>
        <w:rPr>
          <w:rFonts w:ascii="Times New Roman" w:hAnsi="Times New Roman"/>
          <w:b w:val="0"/>
          <w:i w:val="0"/>
          <w:sz w:val="22"/>
        </w:rPr>
        <w:t>The fourth-power dependence on the diameter ratio in Eq. (6) is derived from the Hagen–Poiseuille law for viscous flow through a constriction, where the flow rate is proportional to D⁴. For turbulent flow through an orifice-like constriction, the pressure loss scales with the area ratio squared, i.e., (A/A_eff)² = (D/D_eff)⁴, which is consistent with the energy equation applied at a sudden contraction (Idelchik, 1986). This model enables direct comparison between conventional welding (h &gt; 0, Case A) and shape-controlled welding technology (h ≈ 0, Case B).</w:t>
      </w:r>
    </w:p>
    <w:p>
      <w:pPr>
        <w:pStyle w:val="Heading3"/>
      </w:pPr>
      <w:r>
        <w:rPr>
          <w:rFonts w:ascii="Times New Roman" w:hAnsi="Times New Roman"/>
          <w:color w:val="000000"/>
          <w:sz w:val="22"/>
        </w:rPr>
        <w:t>1.2.6 Branch Pipe Pressure Profile Computation</w:t>
      </w:r>
    </w:p>
    <w:p>
      <w:r>
        <w:rPr>
          <w:rFonts w:ascii="Times New Roman" w:hAnsi="Times New Roman"/>
          <w:b w:val="0"/>
          <w:i w:val="0"/>
          <w:sz w:val="22"/>
        </w:rPr>
        <w:t>The cumulative pressure drop along each branch pipe is computed sequentially from the cross-main junction to the terminal sprinkler head. At each segment j (j = 1, 2, ..., m), the local flow rate decreases linearly due to sequential discharge at upstream heads:</w:t>
      </w:r>
    </w:p>
    <w:p>
      <w:pPr>
        <w:jc w:val="center"/>
      </w:pPr>
      <w:r>
        <w:rPr>
          <w:rFonts w:ascii="Cambria Math" w:hAnsi="Cambria Math"/>
          <w:i/>
          <w:sz w:val="22"/>
        </w:rPr>
        <w:t>Q_j = Q_total − (j − 1) · (Q_total / m)</w:t>
      </w:r>
      <w:r>
        <w:rPr>
          <w:rFonts w:ascii="Times New Roman" w:hAnsi="Times New Roman"/>
          <w:sz w:val="22"/>
        </w:rPr>
        <w:t xml:space="preserve">    (8)</w:t>
      </w:r>
    </w:p>
    <w:p>
      <w:r>
        <w:rPr>
          <w:rFonts w:ascii="Times New Roman" w:hAnsi="Times New Roman"/>
          <w:b w:val="0"/>
          <w:i w:val="0"/>
          <w:sz w:val="22"/>
        </w:rPr>
        <w:t>where Q_total is the total branch flow rate and m is the number of sprinkler heads. The cumulative pressure at position j is then:</w:t>
      </w:r>
    </w:p>
    <w:p>
      <w:pPr>
        <w:jc w:val="center"/>
      </w:pPr>
      <w:r>
        <w:rPr>
          <w:rFonts w:ascii="Cambria Math" w:hAnsi="Cambria Math"/>
          <w:i/>
          <w:sz w:val="22"/>
        </w:rPr>
        <w:t>P_j = P_{j-1} − (ρg)⁻¹ · 10⁶ · [ h_{f,j} + h_{K1,j} + h_{K2,j} + Σ h_{weld,j} ]</w:t>
      </w:r>
      <w:r>
        <w:rPr>
          <w:rFonts w:ascii="Times New Roman" w:hAnsi="Times New Roman"/>
          <w:sz w:val="22"/>
        </w:rPr>
        <w:t xml:space="preserve">    (9)</w:t>
      </w:r>
    </w:p>
    <w:p>
      <w:r>
        <w:rPr>
          <w:rFonts w:ascii="Times New Roman" w:hAnsi="Times New Roman"/>
          <w:b w:val="0"/>
          <w:i w:val="0"/>
          <w:sz w:val="22"/>
        </w:rPr>
        <w:t>where P₀ is the branch inlet pressure (after subtracting the K₃ branch entry loss from the cross-main pressure), and the summation Σh_weld,j accounts for all weld bead losses within segment j. The terminal pressure P_m at the last head is the critical value for compliance verification.</w:t>
      </w:r>
    </w:p>
    <w:p>
      <w:pPr>
        <w:pStyle w:val="Heading3"/>
      </w:pPr>
      <w:r>
        <w:rPr>
          <w:rFonts w:ascii="Times New Roman" w:hAnsi="Times New Roman"/>
          <w:color w:val="000000"/>
          <w:sz w:val="22"/>
        </w:rPr>
        <w:t>1.2.7 Automatic Pipe Sizing Algorithm</w:t>
      </w:r>
    </w:p>
    <w:p>
      <w:r>
        <w:rPr>
          <w:rFonts w:ascii="Times New Roman" w:hAnsi="Times New Roman"/>
          <w:b w:val="0"/>
          <w:i w:val="0"/>
          <w:sz w:val="22"/>
        </w:rPr>
        <w:t>Pipe diameters are automatically selected based on the number of downstream sprinkler heads in accordance with NFSC 103 (Korean National Fire Safety Code) pipe sizing tables. The sizing rules ensure adequate flow capacity while maintaining economically efficient pipe diameters:</w:t>
      </w:r>
    </w:p>
    <w:p>
      <w:r>
        <w:rPr>
          <w:rFonts w:ascii="Times New Roman" w:hAnsi="Times New Roman"/>
          <w:b/>
          <w:sz w:val="20"/>
        </w:rPr>
        <w:t>Table 2. Automatic pipe sizing rules (JIS/KS Schedule 40 carbon steel).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Downstream Heads</w:t>
            </w:r>
          </w:p>
        </w:tc>
        <w:tc>
          <w:tcPr>
            <w:tcW w:type="dxa" w:w="2880"/>
          </w:tcPr>
          <w:p>
            <w:pPr>
              <w:jc w:val="center"/>
            </w:pPr>
            <w:r>
              <w:rPr>
                <w:rFonts w:ascii="Times New Roman" w:hAnsi="Times New Roman"/>
                <w:b/>
                <w:sz w:val="18"/>
              </w:rPr>
              <w:t>Branch Pipe Size</w:t>
            </w:r>
          </w:p>
        </w:tc>
        <w:tc>
          <w:tcPr>
            <w:tcW w:type="dxa" w:w="2880"/>
          </w:tcPr>
          <w:p>
            <w:pPr>
              <w:jc w:val="center"/>
            </w:pPr>
            <w:r>
              <w:rPr>
                <w:rFonts w:ascii="Times New Roman" w:hAnsi="Times New Roman"/>
                <w:b/>
                <w:sz w:val="18"/>
              </w:rPr>
              <w:t>Specification</w:t>
            </w:r>
          </w:p>
        </w:tc>
      </w:tr>
      <w:tr>
        <w:tc>
          <w:tcPr>
            <w:tcW w:type="dxa" w:w="2880"/>
          </w:tcPr>
          <w:p>
            <w:r>
              <w:rPr>
                <w:rFonts w:ascii="Times New Roman" w:hAnsi="Times New Roman"/>
                <w:sz w:val="18"/>
              </w:rPr>
              <w:t>1–2</w:t>
            </w:r>
          </w:p>
        </w:tc>
        <w:tc>
          <w:tcPr>
            <w:tcW w:type="dxa" w:w="2880"/>
          </w:tcPr>
          <w:p>
            <w:r>
              <w:rPr>
                <w:rFonts w:ascii="Times New Roman" w:hAnsi="Times New Roman"/>
                <w:sz w:val="18"/>
              </w:rPr>
              <w:t>25A</w:t>
            </w:r>
          </w:p>
        </w:tc>
        <w:tc>
          <w:tcPr>
            <w:tcW w:type="dxa" w:w="2880"/>
          </w:tcPr>
          <w:p>
            <w:r>
              <w:rPr>
                <w:rFonts w:ascii="Times New Roman" w:hAnsi="Times New Roman"/>
                <w:sz w:val="18"/>
              </w:rPr>
              <w:t>OD 33.40 mm, ID 26.64 mm</w:t>
            </w:r>
          </w:p>
        </w:tc>
      </w:tr>
      <w:tr>
        <w:tc>
          <w:tcPr>
            <w:tcW w:type="dxa" w:w="2880"/>
          </w:tcPr>
          <w:p>
            <w:r>
              <w:rPr>
                <w:rFonts w:ascii="Times New Roman" w:hAnsi="Times New Roman"/>
                <w:sz w:val="18"/>
              </w:rPr>
              <w:t>3</w:t>
            </w:r>
          </w:p>
        </w:tc>
        <w:tc>
          <w:tcPr>
            <w:tcW w:type="dxa" w:w="2880"/>
          </w:tcPr>
          <w:p>
            <w:r>
              <w:rPr>
                <w:rFonts w:ascii="Times New Roman" w:hAnsi="Times New Roman"/>
                <w:sz w:val="18"/>
              </w:rPr>
              <w:t>32A</w:t>
            </w:r>
          </w:p>
        </w:tc>
        <w:tc>
          <w:tcPr>
            <w:tcW w:type="dxa" w:w="2880"/>
          </w:tcPr>
          <w:p>
            <w:r>
              <w:rPr>
                <w:rFonts w:ascii="Times New Roman" w:hAnsi="Times New Roman"/>
                <w:sz w:val="18"/>
              </w:rPr>
              <w:t>OD 42.16 mm, ID 35.04 mm</w:t>
            </w:r>
          </w:p>
        </w:tc>
      </w:tr>
      <w:tr>
        <w:tc>
          <w:tcPr>
            <w:tcW w:type="dxa" w:w="2880"/>
          </w:tcPr>
          <w:p>
            <w:r>
              <w:rPr>
                <w:rFonts w:ascii="Times New Roman" w:hAnsi="Times New Roman"/>
                <w:sz w:val="18"/>
              </w:rPr>
              <w:t>4–5</w:t>
            </w:r>
          </w:p>
        </w:tc>
        <w:tc>
          <w:tcPr>
            <w:tcW w:type="dxa" w:w="2880"/>
          </w:tcPr>
          <w:p>
            <w:r>
              <w:rPr>
                <w:rFonts w:ascii="Times New Roman" w:hAnsi="Times New Roman"/>
                <w:sz w:val="18"/>
              </w:rPr>
              <w:t>40A</w:t>
            </w:r>
          </w:p>
        </w:tc>
        <w:tc>
          <w:tcPr>
            <w:tcW w:type="dxa" w:w="2880"/>
          </w:tcPr>
          <w:p>
            <w:r>
              <w:rPr>
                <w:rFonts w:ascii="Times New Roman" w:hAnsi="Times New Roman"/>
                <w:sz w:val="18"/>
              </w:rPr>
              <w:t>OD 48.26 mm, ID 40.90 mm</w:t>
            </w:r>
          </w:p>
        </w:tc>
      </w:tr>
      <w:tr>
        <w:tc>
          <w:tcPr>
            <w:tcW w:type="dxa" w:w="2880"/>
          </w:tcPr>
          <w:p>
            <w:r>
              <w:rPr>
                <w:rFonts w:ascii="Times New Roman" w:hAnsi="Times New Roman"/>
                <w:sz w:val="18"/>
              </w:rPr>
              <w:t>6–11</w:t>
            </w:r>
          </w:p>
        </w:tc>
        <w:tc>
          <w:tcPr>
            <w:tcW w:type="dxa" w:w="2880"/>
          </w:tcPr>
          <w:p>
            <w:r>
              <w:rPr>
                <w:rFonts w:ascii="Times New Roman" w:hAnsi="Times New Roman"/>
                <w:sz w:val="18"/>
              </w:rPr>
              <w:t>50A</w:t>
            </w:r>
          </w:p>
        </w:tc>
        <w:tc>
          <w:tcPr>
            <w:tcW w:type="dxa" w:w="2880"/>
          </w:tcPr>
          <w:p>
            <w:r>
              <w:rPr>
                <w:rFonts w:ascii="Times New Roman" w:hAnsi="Times New Roman"/>
                <w:sz w:val="18"/>
              </w:rPr>
              <w:t>OD 60.33 mm, ID 52.51 mm</w:t>
            </w:r>
          </w:p>
        </w:tc>
      </w:tr>
      <w:tr>
        <w:tc>
          <w:tcPr>
            <w:tcW w:type="dxa" w:w="2880"/>
          </w:tcPr>
          <w:p>
            <w:r>
              <w:rPr>
                <w:rFonts w:ascii="Times New Roman" w:hAnsi="Times New Roman"/>
                <w:sz w:val="18"/>
              </w:rPr>
              <w:t>≥ 12</w:t>
            </w:r>
          </w:p>
        </w:tc>
        <w:tc>
          <w:tcPr>
            <w:tcW w:type="dxa" w:w="2880"/>
          </w:tcPr>
          <w:p>
            <w:r>
              <w:rPr>
                <w:rFonts w:ascii="Times New Roman" w:hAnsi="Times New Roman"/>
                <w:sz w:val="18"/>
              </w:rPr>
              <w:t>65A</w:t>
            </w:r>
          </w:p>
        </w:tc>
        <w:tc>
          <w:tcPr>
            <w:tcW w:type="dxa" w:w="2880"/>
          </w:tcPr>
          <w:p>
            <w:r>
              <w:rPr>
                <w:rFonts w:ascii="Times New Roman" w:hAnsi="Times New Roman"/>
                <w:sz w:val="18"/>
              </w:rPr>
              <w:t>OD 73.03 mm, ID 62.71 mm</w:t>
            </w:r>
          </w:p>
        </w:tc>
      </w:tr>
    </w:tbl>
    <w:p/>
    <w:p>
      <w:r>
        <w:rPr>
          <w:rFonts w:ascii="Times New Roman" w:hAnsi="Times New Roman"/>
          <w:b/>
          <w:sz w:val="20"/>
        </w:rPr>
        <w:t>Table 3. Cross-main pipe sizing based on total system head count.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Total System Heads</w:t>
            </w:r>
          </w:p>
        </w:tc>
        <w:tc>
          <w:tcPr>
            <w:tcW w:type="dxa" w:w="2880"/>
          </w:tcPr>
          <w:p>
            <w:pPr>
              <w:jc w:val="center"/>
            </w:pPr>
            <w:r>
              <w:rPr>
                <w:rFonts w:ascii="Times New Roman" w:hAnsi="Times New Roman"/>
                <w:b/>
                <w:sz w:val="18"/>
              </w:rPr>
              <w:t>Cross-Main Size</w:t>
            </w:r>
          </w:p>
        </w:tc>
        <w:tc>
          <w:tcPr>
            <w:tcW w:type="dxa" w:w="2880"/>
          </w:tcPr>
          <w:p>
            <w:pPr>
              <w:jc w:val="center"/>
            </w:pPr>
            <w:r>
              <w:rPr>
                <w:rFonts w:ascii="Times New Roman" w:hAnsi="Times New Roman"/>
                <w:b/>
                <w:sz w:val="18"/>
              </w:rPr>
              <w:t>Internal Diameter (mm)</w:t>
            </w:r>
          </w:p>
        </w:tc>
      </w:tr>
      <w:tr>
        <w:tc>
          <w:tcPr>
            <w:tcW w:type="dxa" w:w="2880"/>
          </w:tcPr>
          <w:p>
            <w:r>
              <w:rPr>
                <w:rFonts w:ascii="Times New Roman" w:hAnsi="Times New Roman"/>
                <w:sz w:val="18"/>
              </w:rPr>
              <w:t>&lt; 20</w:t>
            </w:r>
          </w:p>
        </w:tc>
        <w:tc>
          <w:tcPr>
            <w:tcW w:type="dxa" w:w="2880"/>
          </w:tcPr>
          <w:p>
            <w:r>
              <w:rPr>
                <w:rFonts w:ascii="Times New Roman" w:hAnsi="Times New Roman"/>
                <w:sz w:val="18"/>
              </w:rPr>
              <w:t>65A</w:t>
            </w:r>
          </w:p>
        </w:tc>
        <w:tc>
          <w:tcPr>
            <w:tcW w:type="dxa" w:w="2880"/>
          </w:tcPr>
          <w:p>
            <w:r>
              <w:rPr>
                <w:rFonts w:ascii="Times New Roman" w:hAnsi="Times New Roman"/>
                <w:sz w:val="18"/>
              </w:rPr>
              <w:t>62.71</w:t>
            </w:r>
          </w:p>
        </w:tc>
      </w:tr>
      <w:tr>
        <w:tc>
          <w:tcPr>
            <w:tcW w:type="dxa" w:w="2880"/>
          </w:tcPr>
          <w:p>
            <w:r>
              <w:rPr>
                <w:rFonts w:ascii="Times New Roman" w:hAnsi="Times New Roman"/>
                <w:sz w:val="18"/>
              </w:rPr>
              <w:t>20–39</w:t>
            </w:r>
          </w:p>
        </w:tc>
        <w:tc>
          <w:tcPr>
            <w:tcW w:type="dxa" w:w="2880"/>
          </w:tcPr>
          <w:p>
            <w:r>
              <w:rPr>
                <w:rFonts w:ascii="Times New Roman" w:hAnsi="Times New Roman"/>
                <w:sz w:val="18"/>
              </w:rPr>
              <w:t>80A</w:t>
            </w:r>
          </w:p>
        </w:tc>
        <w:tc>
          <w:tcPr>
            <w:tcW w:type="dxa" w:w="2880"/>
          </w:tcPr>
          <w:p>
            <w:r>
              <w:rPr>
                <w:rFonts w:ascii="Times New Roman" w:hAnsi="Times New Roman"/>
                <w:sz w:val="18"/>
              </w:rPr>
              <w:t>77.92</w:t>
            </w:r>
          </w:p>
        </w:tc>
      </w:tr>
      <w:tr>
        <w:tc>
          <w:tcPr>
            <w:tcW w:type="dxa" w:w="2880"/>
          </w:tcPr>
          <w:p>
            <w:r>
              <w:rPr>
                <w:rFonts w:ascii="Times New Roman" w:hAnsi="Times New Roman"/>
                <w:sz w:val="18"/>
              </w:rPr>
              <w:t>≥ 40</w:t>
            </w:r>
          </w:p>
        </w:tc>
        <w:tc>
          <w:tcPr>
            <w:tcW w:type="dxa" w:w="2880"/>
          </w:tcPr>
          <w:p>
            <w:r>
              <w:rPr>
                <w:rFonts w:ascii="Times New Roman" w:hAnsi="Times New Roman"/>
                <w:sz w:val="18"/>
              </w:rPr>
              <w:t>100A</w:t>
            </w:r>
          </w:p>
        </w:tc>
        <w:tc>
          <w:tcPr>
            <w:tcW w:type="dxa" w:w="2880"/>
          </w:tcPr>
          <w:p>
            <w:r>
              <w:rPr>
                <w:rFonts w:ascii="Times New Roman" w:hAnsi="Times New Roman"/>
                <w:sz w:val="18"/>
              </w:rPr>
              <w:t>102.26</w:t>
            </w:r>
          </w:p>
        </w:tc>
      </w:tr>
    </w:tbl>
    <w:p/>
    <w:p>
      <w:pPr>
        <w:pStyle w:val="Heading2"/>
      </w:pPr>
      <w:r>
        <w:rPr>
          <w:rFonts w:ascii="Times New Roman" w:hAnsi="Times New Roman"/>
          <w:color w:val="000000"/>
          <w:sz w:val="24"/>
        </w:rPr>
        <w:t>1.3 Grid Network Analysis: Hardy–Cross Method</w:t>
      </w:r>
    </w:p>
    <w:p>
      <w:r>
        <w:rPr>
          <w:rFonts w:ascii="Times New Roman" w:hAnsi="Times New Roman"/>
          <w:b w:val="0"/>
          <w:i w:val="0"/>
          <w:sz w:val="22"/>
        </w:rPr>
        <w:t>For grid (looped) piping configurations with both top and bottom cross-mains, the flow distribution cannot be determined by simple sequential calculation. The Hardy–Cross method (Cross, 1936) is employed to iteratively balance the flow in each closed loop until energy conservation is satisfied.</w:t>
      </w:r>
    </w:p>
    <w:p>
      <w:pPr>
        <w:pStyle w:val="Heading3"/>
      </w:pPr>
      <w:r>
        <w:rPr>
          <w:rFonts w:ascii="Times New Roman" w:hAnsi="Times New Roman"/>
          <w:color w:val="000000"/>
          <w:sz w:val="22"/>
        </w:rPr>
        <w:t>1.3.1 Formulation</w:t>
      </w:r>
    </w:p>
    <w:p>
      <w:r>
        <w:rPr>
          <w:rFonts w:ascii="Times New Roman" w:hAnsi="Times New Roman"/>
          <w:b w:val="0"/>
          <w:i w:val="0"/>
          <w:sz w:val="22"/>
        </w:rPr>
        <w:t>Consider a network with n branches forming n rectangular loops. For each loop L, the algebraic sum of head losses must equal zero (Kirchhoff's voltage law analogue):</w:t>
      </w:r>
    </w:p>
    <w:p>
      <w:pPr>
        <w:jc w:val="center"/>
      </w:pPr>
      <w:r>
        <w:rPr>
          <w:rFonts w:ascii="Cambria Math" w:hAnsi="Cambria Math"/>
          <w:i/>
          <w:sz w:val="22"/>
        </w:rPr>
        <w:t>Σ h_{f,i} · sign(Q_i) = 0    for each loop L</w:t>
      </w:r>
      <w:r>
        <w:rPr>
          <w:rFonts w:ascii="Times New Roman" w:hAnsi="Times New Roman"/>
          <w:sz w:val="22"/>
        </w:rPr>
        <w:t xml:space="preserve">    (10)</w:t>
      </w:r>
    </w:p>
    <w:p>
      <w:r>
        <w:rPr>
          <w:rFonts w:ascii="Times New Roman" w:hAnsi="Times New Roman"/>
          <w:b w:val="0"/>
          <w:i w:val="0"/>
          <w:sz w:val="22"/>
        </w:rPr>
        <w:t>The flow correction for loop L at each iteration is computed as:</w:t>
      </w:r>
    </w:p>
    <w:p>
      <w:pPr>
        <w:jc w:val="center"/>
      </w:pPr>
      <w:r>
        <w:rPr>
          <w:rFonts w:ascii="Cambria Math" w:hAnsi="Cambria Math"/>
          <w:i/>
          <w:sz w:val="22"/>
        </w:rPr>
        <w:t>ΔQ_L = − Σ h_{f,i} / Σ (∂h_{f,i}/∂Q_i)</w:t>
      </w:r>
      <w:r>
        <w:rPr>
          <w:rFonts w:ascii="Times New Roman" w:hAnsi="Times New Roman"/>
          <w:sz w:val="22"/>
        </w:rPr>
        <w:t xml:space="preserve">    (11)</w:t>
      </w:r>
    </w:p>
    <w:p>
      <w:r>
        <w:rPr>
          <w:rFonts w:ascii="Times New Roman" w:hAnsi="Times New Roman"/>
          <w:b w:val="0"/>
          <w:i w:val="0"/>
          <w:sz w:val="22"/>
        </w:rPr>
        <w:t>For turbulent flow, the head loss–flow relationship is approximately quadratic (h_f ∝ Q²), yielding the derivative approximation:</w:t>
      </w:r>
    </w:p>
    <w:p>
      <w:pPr>
        <w:jc w:val="center"/>
      </w:pPr>
      <w:r>
        <w:rPr>
          <w:rFonts w:ascii="Cambria Math" w:hAnsi="Cambria Math"/>
          <w:i/>
          <w:sz w:val="22"/>
        </w:rPr>
        <w:t>∂h_f/∂Q ≈ 2 · h_f / |Q|</w:t>
      </w:r>
      <w:r>
        <w:rPr>
          <w:rFonts w:ascii="Times New Roman" w:hAnsi="Times New Roman"/>
          <w:sz w:val="22"/>
        </w:rPr>
        <w:t xml:space="preserve">    (12)</w:t>
      </w:r>
    </w:p>
    <w:p>
      <w:r>
        <w:rPr>
          <w:rFonts w:ascii="Times New Roman" w:hAnsi="Times New Roman"/>
          <w:b w:val="0"/>
          <w:i w:val="0"/>
          <w:sz w:val="22"/>
        </w:rPr>
        <w:t>Each pipe's flow rate is then updated as:</w:t>
      </w:r>
    </w:p>
    <w:p>
      <w:pPr>
        <w:jc w:val="center"/>
      </w:pPr>
      <w:r>
        <w:rPr>
          <w:rFonts w:ascii="Cambria Math" w:hAnsi="Cambria Math"/>
          <w:i/>
          <w:sz w:val="22"/>
        </w:rPr>
        <w:t>Q_i^(k+1) = Q_i^(k) + ΔQ_L · d_i · ω</w:t>
      </w:r>
      <w:r>
        <w:rPr>
          <w:rFonts w:ascii="Times New Roman" w:hAnsi="Times New Roman"/>
          <w:sz w:val="22"/>
        </w:rPr>
        <w:t xml:space="preserve">    (13)</w:t>
      </w:r>
    </w:p>
    <w:p>
      <w:r>
        <w:rPr>
          <w:rFonts w:ascii="Times New Roman" w:hAnsi="Times New Roman"/>
          <w:b w:val="0"/>
          <w:i w:val="0"/>
          <w:sz w:val="22"/>
        </w:rPr>
        <w:t>where d_i is the direction coefficient (+1 or −1) indicating the pipe's orientation within the loop, ω is the under-relaxation factor (default 0.5, adjustable range 0.1–1.0), and k is the iteration index.</w:t>
      </w:r>
    </w:p>
    <w:p>
      <w:pPr>
        <w:pStyle w:val="Heading3"/>
      </w:pPr>
      <w:r>
        <w:rPr>
          <w:rFonts w:ascii="Times New Roman" w:hAnsi="Times New Roman"/>
          <w:color w:val="000000"/>
          <w:sz w:val="22"/>
        </w:rPr>
        <w:t>1.3.2 Convergence Criteria</w:t>
      </w:r>
    </w:p>
    <w:p>
      <w:r>
        <w:rPr>
          <w:rFonts w:ascii="Times New Roman" w:hAnsi="Times New Roman"/>
          <w:b w:val="0"/>
          <w:i w:val="0"/>
          <w:sz w:val="22"/>
        </w:rPr>
        <w:t>The iterative process is terminated when both of the following dual convergence criteria are simultaneously satisfied:</w:t>
      </w:r>
    </w:p>
    <w:p>
      <w:r>
        <w:rPr>
          <w:rFonts w:ascii="Times New Roman" w:hAnsi="Times New Roman"/>
          <w:b/>
          <w:sz w:val="20"/>
        </w:rPr>
        <w:t>Table 4. Hardy–Cross dual convergence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Criterion</w:t>
            </w:r>
          </w:p>
        </w:tc>
        <w:tc>
          <w:tcPr>
            <w:tcW w:type="dxa" w:w="2880"/>
          </w:tcPr>
          <w:p>
            <w:pPr>
              <w:jc w:val="center"/>
            </w:pPr>
            <w:r>
              <w:rPr>
                <w:rFonts w:ascii="Times New Roman" w:hAnsi="Times New Roman"/>
                <w:b/>
                <w:sz w:val="18"/>
              </w:rPr>
              <w:t>Tolerance</w:t>
            </w:r>
          </w:p>
        </w:tc>
        <w:tc>
          <w:tcPr>
            <w:tcW w:type="dxa" w:w="2880"/>
          </w:tcPr>
          <w:p>
            <w:pPr>
              <w:jc w:val="center"/>
            </w:pPr>
            <w:r>
              <w:rPr>
                <w:rFonts w:ascii="Times New Roman" w:hAnsi="Times New Roman"/>
                <w:b/>
                <w:sz w:val="18"/>
              </w:rPr>
              <w:t>Physical Meaning</w:t>
            </w:r>
          </w:p>
        </w:tc>
      </w:tr>
      <w:tr>
        <w:tc>
          <w:tcPr>
            <w:tcW w:type="dxa" w:w="2880"/>
          </w:tcPr>
          <w:p>
            <w:r>
              <w:rPr>
                <w:rFonts w:ascii="Times New Roman" w:hAnsi="Times New Roman"/>
                <w:sz w:val="18"/>
              </w:rPr>
              <w:t>max |Σh_f| over all loops</w:t>
            </w:r>
          </w:p>
        </w:tc>
        <w:tc>
          <w:tcPr>
            <w:tcW w:type="dxa" w:w="2880"/>
          </w:tcPr>
          <w:p>
            <w:r>
              <w:rPr>
                <w:rFonts w:ascii="Times New Roman" w:hAnsi="Times New Roman"/>
                <w:sz w:val="18"/>
              </w:rPr>
              <w:t>&lt; 0.001 m (≈ 0.01 kPa)</w:t>
            </w:r>
          </w:p>
        </w:tc>
        <w:tc>
          <w:tcPr>
            <w:tcW w:type="dxa" w:w="2880"/>
          </w:tcPr>
          <w:p>
            <w:r>
              <w:rPr>
                <w:rFonts w:ascii="Times New Roman" w:hAnsi="Times New Roman"/>
                <w:sz w:val="18"/>
              </w:rPr>
              <w:t>Loop energy imbalance</w:t>
            </w:r>
          </w:p>
        </w:tc>
      </w:tr>
      <w:tr>
        <w:tc>
          <w:tcPr>
            <w:tcW w:type="dxa" w:w="2880"/>
          </w:tcPr>
          <w:p>
            <w:r>
              <w:rPr>
                <w:rFonts w:ascii="Times New Roman" w:hAnsi="Times New Roman"/>
                <w:sz w:val="18"/>
              </w:rPr>
              <w:t>max |ΔQ| over all loops</w:t>
            </w:r>
          </w:p>
        </w:tc>
        <w:tc>
          <w:tcPr>
            <w:tcW w:type="dxa" w:w="2880"/>
          </w:tcPr>
          <w:p>
            <w:r>
              <w:rPr>
                <w:rFonts w:ascii="Times New Roman" w:hAnsi="Times New Roman"/>
                <w:sz w:val="18"/>
              </w:rPr>
              <w:t>&lt; 0.0001 LPM</w:t>
            </w:r>
          </w:p>
        </w:tc>
        <w:tc>
          <w:tcPr>
            <w:tcW w:type="dxa" w:w="2880"/>
          </w:tcPr>
          <w:p>
            <w:r>
              <w:rPr>
                <w:rFonts w:ascii="Times New Roman" w:hAnsi="Times New Roman"/>
                <w:sz w:val="18"/>
              </w:rPr>
              <w:t>Flow correction magnitude</w:t>
            </w:r>
          </w:p>
        </w:tc>
      </w:tr>
    </w:tbl>
    <w:p/>
    <w:p>
      <w:r>
        <w:rPr>
          <w:rFonts w:ascii="Times New Roman" w:hAnsi="Times New Roman"/>
          <w:b w:val="0"/>
          <w:i w:val="0"/>
          <w:sz w:val="22"/>
        </w:rPr>
        <w:t>The maximum number of iterations is set to 1,000. To detect divergence, the algorithm monitors whether the loop imbalance increases for three consecutive iterations; if so, the computation is terminated and a warning is issued. This dual convergence criterion ensures both energy balance accuracy (pressure) and mass conservation (flow) are satisfied to engineering precision.</w:t>
      </w:r>
    </w:p>
    <w:p>
      <w:pPr>
        <w:pStyle w:val="Heading3"/>
      </w:pPr>
      <w:r>
        <w:rPr>
          <w:rFonts w:ascii="Times New Roman" w:hAnsi="Times New Roman"/>
          <w:color w:val="000000"/>
          <w:sz w:val="22"/>
        </w:rPr>
        <w:t>1.3.3 Node Pressure Computation via BFS</w:t>
      </w:r>
    </w:p>
    <w:p>
      <w:r>
        <w:rPr>
          <w:rFonts w:ascii="Times New Roman" w:hAnsi="Times New Roman"/>
          <w:b w:val="0"/>
          <w:i w:val="0"/>
          <w:sz w:val="22"/>
        </w:rPr>
        <w:t>After flow convergence, node pressures are computed using a Breadth-First Search (BFS) traversal starting from the inlet node (known pressure boundary condition). For each pipe connecting nodes i and j with known pressure P_i, the downstream pressure is:</w:t>
      </w:r>
    </w:p>
    <w:p>
      <w:pPr>
        <w:jc w:val="center"/>
      </w:pPr>
      <w:r>
        <w:rPr>
          <w:rFonts w:ascii="Cambria Math" w:hAnsi="Cambria Math"/>
          <w:i/>
          <w:sz w:val="22"/>
        </w:rPr>
        <w:t>P_j = P_i − Δp_{i→j}(Q_{pipe})</w:t>
      </w:r>
      <w:r>
        <w:rPr>
          <w:rFonts w:ascii="Times New Roman" w:hAnsi="Times New Roman"/>
          <w:sz w:val="22"/>
        </w:rPr>
        <w:t xml:space="preserve">    (14)</w:t>
      </w:r>
    </w:p>
    <w:p>
      <w:r>
        <w:rPr>
          <w:rFonts w:ascii="Times New Roman" w:hAnsi="Times New Roman"/>
          <w:b w:val="0"/>
          <w:i w:val="0"/>
          <w:sz w:val="22"/>
        </w:rPr>
        <w:t>where Δp is the pressure drop computed from the converged flow rate using the Darcy–Weisbach equation with all applicable minor loss coefficients. This ensures consistent pressure distribution throughout the grid network.</w:t>
      </w:r>
    </w:p>
    <w:p>
      <w:pPr>
        <w:pStyle w:val="Heading2"/>
      </w:pPr>
      <w:r>
        <w:rPr>
          <w:rFonts w:ascii="Times New Roman" w:hAnsi="Times New Roman"/>
          <w:color w:val="000000"/>
          <w:sz w:val="24"/>
        </w:rPr>
        <w:t>1.4 Pump Performance Analysis</w:t>
      </w:r>
    </w:p>
    <w:p>
      <w:pPr>
        <w:pStyle w:val="Heading3"/>
      </w:pPr>
      <w:r>
        <w:rPr>
          <w:rFonts w:ascii="Times New Roman" w:hAnsi="Times New Roman"/>
          <w:color w:val="000000"/>
          <w:sz w:val="22"/>
        </w:rPr>
        <w:t>1.4.1 Pump Curve Interpolation</w:t>
      </w:r>
    </w:p>
    <w:p>
      <w:r>
        <w:rPr>
          <w:rFonts w:ascii="Times New Roman" w:hAnsi="Times New Roman"/>
          <w:b w:val="0"/>
          <w:i w:val="0"/>
          <w:sz w:val="22"/>
        </w:rPr>
        <w:t>Manufacturer-provided pump performance data (Q–H points) are interpolated using a cubic spline (SciPy interp1d, kind='cubic') to generate a continuous pump characteristic curve H_pump(Q). This approach preserves the physical shape of the pump curve, including the shut-off head and end-of-curve behavior, without requiring an assumed polynomial order.</w:t>
      </w:r>
    </w:p>
    <w:p>
      <w:pPr>
        <w:pStyle w:val="Heading3"/>
      </w:pPr>
      <w:r>
        <w:rPr>
          <w:rFonts w:ascii="Times New Roman" w:hAnsi="Times New Roman"/>
          <w:color w:val="000000"/>
          <w:sz w:val="22"/>
        </w:rPr>
        <w:t>1.4.2 System Resistance Curve</w:t>
      </w:r>
    </w:p>
    <w:p>
      <w:r>
        <w:rPr>
          <w:rFonts w:ascii="Times New Roman" w:hAnsi="Times New Roman"/>
          <w:b w:val="0"/>
          <w:i w:val="0"/>
          <w:sz w:val="22"/>
        </w:rPr>
        <w:t>The system resistance curve H_sys(Q) is constructed by computing the total head loss across the piping network at multiple flow rates. For each test flow Q_test, the full network simulation is executed and the total head loss is determined as:</w:t>
      </w:r>
    </w:p>
    <w:p>
      <w:pPr>
        <w:jc w:val="center"/>
      </w:pPr>
      <w:r>
        <w:rPr>
          <w:rFonts w:ascii="Cambria Math" w:hAnsi="Cambria Math"/>
          <w:i/>
          <w:sz w:val="22"/>
        </w:rPr>
        <w:t>H_sys(Q) = [P_inlet − P_terminal(Q)] · 10⁶ / (ρg) + H_min</w:t>
      </w:r>
      <w:r>
        <w:rPr>
          <w:rFonts w:ascii="Times New Roman" w:hAnsi="Times New Roman"/>
          <w:sz w:val="22"/>
        </w:rPr>
        <w:t xml:space="preserve">    (15)</w:t>
      </w:r>
    </w:p>
    <w:p>
      <w:r>
        <w:rPr>
          <w:rFonts w:ascii="Times New Roman" w:hAnsi="Times New Roman"/>
          <w:b w:val="0"/>
          <w:i w:val="0"/>
          <w:sz w:val="22"/>
        </w:rPr>
        <w:t>where H_min is the minimum terminal head requirement (corresponding to 0.1 MPa per design code).</w:t>
      </w:r>
    </w:p>
    <w:p>
      <w:pPr>
        <w:pStyle w:val="Heading3"/>
      </w:pPr>
      <w:r>
        <w:rPr>
          <w:rFonts w:ascii="Times New Roman" w:hAnsi="Times New Roman"/>
          <w:color w:val="000000"/>
          <w:sz w:val="22"/>
        </w:rPr>
        <w:t>1.4.3 Operating Point Determination</w:t>
      </w:r>
    </w:p>
    <w:p>
      <w:r>
        <w:rPr>
          <w:rFonts w:ascii="Times New Roman" w:hAnsi="Times New Roman"/>
          <w:b w:val="0"/>
          <w:i w:val="0"/>
          <w:sz w:val="22"/>
        </w:rPr>
        <w:t>The operating point is found at the intersection of the pump curve and the system resistance curve, i.e., the flow Q* satisfying:</w:t>
      </w:r>
    </w:p>
    <w:p>
      <w:pPr>
        <w:jc w:val="center"/>
      </w:pPr>
      <w:r>
        <w:rPr>
          <w:rFonts w:ascii="Cambria Math" w:hAnsi="Cambria Math"/>
          <w:i/>
          <w:sz w:val="22"/>
        </w:rPr>
        <w:t>H_pump(Q*) − H_sys(Q*) = 0</w:t>
      </w:r>
      <w:r>
        <w:rPr>
          <w:rFonts w:ascii="Times New Roman" w:hAnsi="Times New Roman"/>
          <w:sz w:val="22"/>
        </w:rPr>
        <w:t xml:space="preserve">    (16)</w:t>
      </w:r>
    </w:p>
    <w:p>
      <w:r>
        <w:rPr>
          <w:rFonts w:ascii="Times New Roman" w:hAnsi="Times New Roman"/>
          <w:b w:val="0"/>
          <w:i w:val="0"/>
          <w:sz w:val="22"/>
        </w:rPr>
        <w:t>This root-finding problem is solved using the Brent method (scipy.optimize.brentq) with a tolerance of ±0.1 LPM, which guarantees convergence for any continuous, monotonically diverging pump and system curves within the bracketed interval. The corresponding pump power consumption is then computed as:</w:t>
      </w:r>
    </w:p>
    <w:p>
      <w:pPr>
        <w:jc w:val="center"/>
      </w:pPr>
      <w:r>
        <w:rPr>
          <w:rFonts w:ascii="Cambria Math" w:hAnsi="Cambria Math"/>
          <w:i/>
          <w:sz w:val="22"/>
        </w:rPr>
        <w:t>P_pump = ρ · g · Q* · H* / η</w:t>
      </w:r>
      <w:r>
        <w:rPr>
          <w:rFonts w:ascii="Times New Roman" w:hAnsi="Times New Roman"/>
          <w:sz w:val="22"/>
        </w:rPr>
        <w:t xml:space="preserve">    (17)</w:t>
      </w:r>
    </w:p>
    <w:p>
      <w:r>
        <w:rPr>
          <w:rFonts w:ascii="Times New Roman" w:hAnsi="Times New Roman"/>
          <w:b w:val="0"/>
          <w:i w:val="0"/>
          <w:sz w:val="22"/>
        </w:rPr>
        <w:t>where η is the pump efficiency (decimal fraction) and Q* is expressed in m³/s.</w:t>
      </w:r>
    </w:p>
    <w:p>
      <w:pPr>
        <w:pStyle w:val="Heading2"/>
      </w:pPr>
      <w:r>
        <w:rPr>
          <w:rFonts w:ascii="Times New Roman" w:hAnsi="Times New Roman"/>
          <w:color w:val="000000"/>
          <w:sz w:val="24"/>
        </w:rPr>
        <w:t>1.5 Reliability and Accuracy Assurance</w:t>
      </w:r>
    </w:p>
    <w:p>
      <w:pPr>
        <w:pStyle w:val="Heading3"/>
      </w:pPr>
      <w:r>
        <w:rPr>
          <w:rFonts w:ascii="Times New Roman" w:hAnsi="Times New Roman"/>
          <w:color w:val="000000"/>
          <w:sz w:val="22"/>
        </w:rPr>
        <w:t>1.5.1 Input Validation</w:t>
      </w:r>
    </w:p>
    <w:p>
      <w:r>
        <w:rPr>
          <w:rFonts w:ascii="Times New Roman" w:hAnsi="Times New Roman"/>
          <w:b w:val="0"/>
          <w:i w:val="0"/>
          <w:sz w:val="22"/>
        </w:rPr>
        <w:t>All user-supplied parameters undergo boundary checking before computation. Invalid configurations (e.g., zero diameter, negative pressure, or head count exceeding physical limits) raise a ValidationError exception, preventing the propagation of nonsensical results.</w:t>
      </w:r>
    </w:p>
    <w:p>
      <w:pPr>
        <w:pStyle w:val="Heading3"/>
      </w:pPr>
      <w:r>
        <w:rPr>
          <w:rFonts w:ascii="Times New Roman" w:hAnsi="Times New Roman"/>
          <w:color w:val="000000"/>
          <w:sz w:val="22"/>
        </w:rPr>
        <w:t>1.5.2 Friction Factor Convergence Control</w:t>
      </w:r>
    </w:p>
    <w:p>
      <w:r>
        <w:rPr>
          <w:rFonts w:ascii="Times New Roman" w:hAnsi="Times New Roman"/>
          <w:b w:val="0"/>
          <w:i w:val="0"/>
          <w:sz w:val="22"/>
        </w:rPr>
        <w:t>The Colebrook–White iteration employs a relative convergence criterion of 10⁻⁸ with a maximum of 10 iterations. Since the Colebrook–White function is contractive in the turbulent regime, convergence is theoretically guaranteed (Brkić, 2011). The Swamee–Jain initial estimate provides an excellent starting point, typically reducing the required iterations to 3–5.</w:t>
      </w:r>
    </w:p>
    <w:p>
      <w:pPr>
        <w:pStyle w:val="Heading3"/>
      </w:pPr>
      <w:r>
        <w:rPr>
          <w:rFonts w:ascii="Times New Roman" w:hAnsi="Times New Roman"/>
          <w:color w:val="000000"/>
          <w:sz w:val="22"/>
        </w:rPr>
        <w:t>1.5.3 Hardy–Cross Stability Measures</w:t>
      </w:r>
    </w:p>
    <w:p>
      <w:r>
        <w:rPr>
          <w:rFonts w:ascii="Times New Roman" w:hAnsi="Times New Roman"/>
          <w:b w:val="0"/>
          <w:i w:val="0"/>
          <w:sz w:val="22"/>
        </w:rPr>
        <w:t>Three mechanisms are implemented to ensure robust convergence of the Hardy–Cross solver:</w:t>
      </w:r>
    </w:p>
    <w:p>
      <w:pPr>
        <w:pStyle w:val="ListBullet"/>
      </w:pPr>
      <w:r>
        <w:rPr>
          <w:sz w:val="22"/>
        </w:rPr>
        <w:t>Under-relaxation (ω = 0.5 default): Prevents oscillatory divergence in strongly coupled loops by damping the flow correction.</w:t>
      </w:r>
    </w:p>
    <w:p>
      <w:pPr>
        <w:pStyle w:val="ListBullet"/>
      </w:pPr>
      <w:r>
        <w:rPr>
          <w:sz w:val="22"/>
        </w:rPr>
        <w:t>Divergence detection: If the maximum loop imbalance increases for three consecutive iterations, the solver terminates early and reports a divergence warning rather than producing unreliable results.</w:t>
      </w:r>
    </w:p>
    <w:p>
      <w:pPr>
        <w:pStyle w:val="ListBullet"/>
      </w:pPr>
      <w:r>
        <w:rPr>
          <w:sz w:val="22"/>
        </w:rPr>
        <w:t>Dual convergence criteria: Both energy balance (head) and mass conservation (flow) must be satisfied simultaneously, preventing premature termination when only one criterion is met.</w:t>
      </w:r>
    </w:p>
    <w:p>
      <w:pPr>
        <w:pStyle w:val="Heading3"/>
      </w:pPr>
      <w:r>
        <w:rPr>
          <w:rFonts w:ascii="Times New Roman" w:hAnsi="Times New Roman"/>
          <w:color w:val="000000"/>
          <w:sz w:val="22"/>
        </w:rPr>
        <w:t>1.5.4 NFPC Code Compliance Verification</w:t>
      </w:r>
    </w:p>
    <w:p>
      <w:r>
        <w:rPr>
          <w:rFonts w:ascii="Times New Roman" w:hAnsi="Times New Roman"/>
          <w:b w:val="0"/>
          <w:i w:val="0"/>
          <w:sz w:val="22"/>
        </w:rPr>
        <w:t>Post-simulation, an automated compliance check verifies the results against the National Fire Protection Code (NFPC) requirements:</w:t>
      </w:r>
    </w:p>
    <w:p>
      <w:r>
        <w:rPr>
          <w:rFonts w:ascii="Times New Roman" w:hAnsi="Times New Roman"/>
          <w:b/>
          <w:sz w:val="20"/>
        </w:rPr>
        <w:t>Table 5. NFPC compliance verification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Criterion</w:t>
            </w:r>
          </w:p>
        </w:tc>
        <w:tc>
          <w:tcPr>
            <w:tcW w:type="dxa" w:w="2880"/>
          </w:tcPr>
          <w:p>
            <w:pPr>
              <w:jc w:val="center"/>
            </w:pPr>
            <w:r>
              <w:rPr>
                <w:rFonts w:ascii="Times New Roman" w:hAnsi="Times New Roman"/>
                <w:b/>
                <w:sz w:val="18"/>
              </w:rPr>
              <w:t>Requirement</w:t>
            </w:r>
          </w:p>
        </w:tc>
        <w:tc>
          <w:tcPr>
            <w:tcW w:type="dxa" w:w="2880"/>
          </w:tcPr>
          <w:p>
            <w:pPr>
              <w:jc w:val="center"/>
            </w:pPr>
            <w:r>
              <w:rPr>
                <w:rFonts w:ascii="Times New Roman" w:hAnsi="Times New Roman"/>
                <w:b/>
                <w:sz w:val="18"/>
              </w:rPr>
              <w:t>Verification Method</w:t>
            </w:r>
          </w:p>
        </w:tc>
      </w:tr>
      <w:tr>
        <w:tc>
          <w:tcPr>
            <w:tcW w:type="dxa" w:w="2880"/>
          </w:tcPr>
          <w:p>
            <w:r>
              <w:rPr>
                <w:rFonts w:ascii="Times New Roman" w:hAnsi="Times New Roman"/>
                <w:sz w:val="18"/>
              </w:rPr>
              <w:t>Branch pipe velocity</w:t>
            </w:r>
          </w:p>
        </w:tc>
        <w:tc>
          <w:tcPr>
            <w:tcW w:type="dxa" w:w="2880"/>
          </w:tcPr>
          <w:p>
            <w:r>
              <w:rPr>
                <w:rFonts w:ascii="Times New Roman" w:hAnsi="Times New Roman"/>
                <w:sz w:val="18"/>
              </w:rPr>
              <w:t>≤ 6.0 m/s</w:t>
            </w:r>
          </w:p>
        </w:tc>
        <w:tc>
          <w:tcPr>
            <w:tcW w:type="dxa" w:w="2880"/>
          </w:tcPr>
          <w:p>
            <w:r>
              <w:rPr>
                <w:rFonts w:ascii="Times New Roman" w:hAnsi="Times New Roman"/>
                <w:sz w:val="18"/>
              </w:rPr>
              <w:t>Check all segment velocities</w:t>
            </w:r>
          </w:p>
        </w:tc>
      </w:tr>
      <w:tr>
        <w:tc>
          <w:tcPr>
            <w:tcW w:type="dxa" w:w="2880"/>
          </w:tcPr>
          <w:p>
            <w:r>
              <w:rPr>
                <w:rFonts w:ascii="Times New Roman" w:hAnsi="Times New Roman"/>
                <w:sz w:val="18"/>
              </w:rPr>
              <w:t>Cross-main velocity</w:t>
            </w:r>
          </w:p>
        </w:tc>
        <w:tc>
          <w:tcPr>
            <w:tcW w:type="dxa" w:w="2880"/>
          </w:tcPr>
          <w:p>
            <w:r>
              <w:rPr>
                <w:rFonts w:ascii="Times New Roman" w:hAnsi="Times New Roman"/>
                <w:sz w:val="18"/>
              </w:rPr>
              <w:t>≤ 10.0 m/s</w:t>
            </w:r>
          </w:p>
        </w:tc>
        <w:tc>
          <w:tcPr>
            <w:tcW w:type="dxa" w:w="2880"/>
          </w:tcPr>
          <w:p>
            <w:r>
              <w:rPr>
                <w:rFonts w:ascii="Times New Roman" w:hAnsi="Times New Roman"/>
                <w:sz w:val="18"/>
              </w:rPr>
              <w:t>Compute V = Q/(πD²/4) for cross-main</w:t>
            </w:r>
          </w:p>
        </w:tc>
      </w:tr>
      <w:tr>
        <w:tc>
          <w:tcPr>
            <w:tcW w:type="dxa" w:w="2880"/>
          </w:tcPr>
          <w:p>
            <w:r>
              <w:rPr>
                <w:rFonts w:ascii="Times New Roman" w:hAnsi="Times New Roman"/>
                <w:sz w:val="18"/>
              </w:rPr>
              <w:t>Terminal pressure (min)</w:t>
            </w:r>
          </w:p>
        </w:tc>
        <w:tc>
          <w:tcPr>
            <w:tcW w:type="dxa" w:w="2880"/>
          </w:tcPr>
          <w:p>
            <w:r>
              <w:rPr>
                <w:rFonts w:ascii="Times New Roman" w:hAnsi="Times New Roman"/>
                <w:sz w:val="18"/>
              </w:rPr>
              <w:t>≥ 0.1 MPa</w:t>
            </w:r>
          </w:p>
        </w:tc>
        <w:tc>
          <w:tcPr>
            <w:tcW w:type="dxa" w:w="2880"/>
          </w:tcPr>
          <w:p>
            <w:r>
              <w:rPr>
                <w:rFonts w:ascii="Times New Roman" w:hAnsi="Times New Roman"/>
                <w:sz w:val="18"/>
              </w:rPr>
              <w:t>Check all branch terminal pressures</w:t>
            </w:r>
          </w:p>
        </w:tc>
      </w:tr>
      <w:tr>
        <w:tc>
          <w:tcPr>
            <w:tcW w:type="dxa" w:w="2880"/>
          </w:tcPr>
          <w:p>
            <w:r>
              <w:rPr>
                <w:rFonts w:ascii="Times New Roman" w:hAnsi="Times New Roman"/>
                <w:sz w:val="18"/>
              </w:rPr>
              <w:t>Terminal pressure (max)</w:t>
            </w:r>
          </w:p>
        </w:tc>
        <w:tc>
          <w:tcPr>
            <w:tcW w:type="dxa" w:w="2880"/>
          </w:tcPr>
          <w:p>
            <w:r>
              <w:rPr>
                <w:rFonts w:ascii="Times New Roman" w:hAnsi="Times New Roman"/>
                <w:sz w:val="18"/>
              </w:rPr>
              <w:t>≤ 1.2 MPa</w:t>
            </w:r>
          </w:p>
        </w:tc>
        <w:tc>
          <w:tcPr>
            <w:tcW w:type="dxa" w:w="2880"/>
          </w:tcPr>
          <w:p>
            <w:r>
              <w:rPr>
                <w:rFonts w:ascii="Times New Roman" w:hAnsi="Times New Roman"/>
                <w:sz w:val="18"/>
              </w:rPr>
              <w:t>Check all branch terminal pressures</w:t>
            </w:r>
          </w:p>
        </w:tc>
      </w:tr>
    </w:tbl>
    <w:p/>
    <w:p>
      <w:pPr>
        <w:pStyle w:val="Heading3"/>
      </w:pPr>
      <w:r>
        <w:rPr>
          <w:rFonts w:ascii="Times New Roman" w:hAnsi="Times New Roman"/>
          <w:color w:val="000000"/>
          <w:sz w:val="22"/>
        </w:rPr>
        <w:t>1.5.5 Regression Test Suite</w:t>
      </w:r>
    </w:p>
    <w:p>
      <w:r>
        <w:rPr>
          <w:rFonts w:ascii="Times New Roman" w:hAnsi="Times New Roman"/>
          <w:b w:val="0"/>
          <w:i w:val="0"/>
          <w:sz w:val="22"/>
        </w:rPr>
        <w:t>The simulation engine is validated by a comprehensive regression test suite comprising 130 unit and integration tests: 46 tests for grid network calculations (Hardy–Cross convergence, node pressure consistency, Kirchhoff law verification), 46 tests for integrated system behavior (Case A/B comparison, improvement percentage, pipe sizing), and 38 tests for weld bead loss model accuracy (K-factor scaling, random bead placement, segment mapping). All 130 tests must pass before any code modification is accepted, ensuring regression-free development.</w:t>
      </w:r>
    </w:p>
    <w:p>
      <w:r>
        <w:br w:type="page"/>
      </w:r>
    </w:p>
    <w:p>
      <w:pPr>
        <w:pStyle w:val="Heading1"/>
      </w:pPr>
      <w:r>
        <w:rPr>
          <w:rFonts w:ascii="Times New Roman" w:hAnsi="Times New Roman"/>
          <w:color w:val="000000"/>
          <w:sz w:val="28"/>
        </w:rPr>
        <w:t>2. Simulation Methods</w:t>
      </w:r>
    </w:p>
    <w:p>
      <w:pPr>
        <w:pStyle w:val="Heading2"/>
      </w:pPr>
      <w:r>
        <w:rPr>
          <w:rFonts w:ascii="Times New Roman" w:hAnsi="Times New Roman"/>
          <w:color w:val="000000"/>
          <w:sz w:val="24"/>
        </w:rPr>
        <w:t>2.1 Network Topology Configurations</w:t>
      </w:r>
    </w:p>
    <w:p>
      <w:r>
        <w:rPr>
          <w:rFonts w:ascii="Times New Roman" w:hAnsi="Times New Roman"/>
          <w:b w:val="0"/>
          <w:i w:val="0"/>
          <w:sz w:val="22"/>
        </w:rPr>
        <w:t>Two piping network topologies are supported to represent the range of configurations encountered in actual fire protection installations:</w:t>
      </w:r>
    </w:p>
    <w:p>
      <w:pPr>
        <w:pStyle w:val="Heading3"/>
      </w:pPr>
      <w:r>
        <w:rPr>
          <w:rFonts w:ascii="Times New Roman" w:hAnsi="Times New Roman"/>
          <w:color w:val="000000"/>
          <w:sz w:val="22"/>
        </w:rPr>
        <w:t>2.1.1 Tree (Branch) Topology</w:t>
      </w:r>
    </w:p>
    <w:p>
      <w:r>
        <w:rPr>
          <w:rFonts w:ascii="Times New Roman" w:hAnsi="Times New Roman"/>
          <w:b w:val="0"/>
          <w:i w:val="0"/>
          <w:sz w:val="22"/>
        </w:rPr>
        <w:t>A single cross-main pipe supplies n branch pipes, each serving m sprinkler heads. Flow proceeds unidirectionally from the cross-main inlet through each branch to the terminal head. Pressure is computed sequentially along each branch using Eqs. (1)–(9). This topology represents the most common installation pattern in small- to medium-scale buildings.</w:t>
      </w:r>
    </w:p>
    <w:p>
      <w:pPr>
        <w:pStyle w:val="Heading3"/>
      </w:pPr>
      <w:r>
        <w:rPr>
          <w:rFonts w:ascii="Times New Roman" w:hAnsi="Times New Roman"/>
          <w:color w:val="000000"/>
          <w:sz w:val="22"/>
        </w:rPr>
        <w:t>2.1.2 Full Grid (Looped) Topology</w:t>
      </w:r>
    </w:p>
    <w:p>
      <w:r>
        <w:rPr>
          <w:rFonts w:ascii="Times New Roman" w:hAnsi="Times New Roman"/>
          <w:b w:val="0"/>
          <w:i w:val="0"/>
          <w:sz w:val="22"/>
        </w:rPr>
        <w:t>Both the top and bottom ends of the branch pipes are connected to cross-mains, forming n closed rectangular loops. Flow is bidirectional, entering each branch from both ends. The Hardy–Cross iterative method (Section 1.3) is employed to determine the equilibrium flow distribution. This topology provides hydraulic redundancy and is mandated for large-scale or high-risk occupancies.</w:t>
      </w:r>
    </w:p>
    <w:p>
      <w:pPr>
        <w:pStyle w:val="Heading2"/>
      </w:pPr>
      <w:r>
        <w:rPr>
          <w:rFonts w:ascii="Times New Roman" w:hAnsi="Times New Roman"/>
          <w:color w:val="000000"/>
          <w:sz w:val="24"/>
        </w:rPr>
        <w:t>2.2 Comparative Case Analysis (Case A vs. Case B)</w:t>
      </w:r>
    </w:p>
    <w:p>
      <w:r>
        <w:rPr>
          <w:rFonts w:ascii="Times New Roman" w:hAnsi="Times New Roman"/>
          <w:b w:val="0"/>
          <w:i w:val="0"/>
          <w:sz w:val="22"/>
        </w:rPr>
        <w:t>Each simulation run produces a paired comparison between two welding technology scenarios under identical boundary conditions:</w:t>
      </w:r>
    </w:p>
    <w:p>
      <w:r>
        <w:rPr>
          <w:rFonts w:ascii="Times New Roman" w:hAnsi="Times New Roman"/>
          <w:b/>
          <w:sz w:val="20"/>
        </w:rPr>
        <w:t>Table 6. Comparative case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Parameter</w:t>
            </w:r>
          </w:p>
        </w:tc>
        <w:tc>
          <w:tcPr>
            <w:tcW w:type="dxa" w:w="2880"/>
          </w:tcPr>
          <w:p>
            <w:pPr>
              <w:jc w:val="center"/>
            </w:pPr>
            <w:r>
              <w:rPr>
                <w:rFonts w:ascii="Times New Roman" w:hAnsi="Times New Roman"/>
                <w:b/>
                <w:sz w:val="18"/>
              </w:rPr>
              <w:t>Case A (Conventional)</w:t>
            </w:r>
          </w:p>
        </w:tc>
        <w:tc>
          <w:tcPr>
            <w:tcW w:type="dxa" w:w="2880"/>
          </w:tcPr>
          <w:p>
            <w:pPr>
              <w:jc w:val="center"/>
            </w:pPr>
            <w:r>
              <w:rPr>
                <w:rFonts w:ascii="Times New Roman" w:hAnsi="Times New Roman"/>
                <w:b/>
                <w:sz w:val="18"/>
              </w:rPr>
              <w:t>Case B (Shape-Controlled)</w:t>
            </w:r>
          </w:p>
        </w:tc>
      </w:tr>
      <w:tr>
        <w:tc>
          <w:tcPr>
            <w:tcW w:type="dxa" w:w="2880"/>
          </w:tcPr>
          <w:p>
            <w:r>
              <w:rPr>
                <w:rFonts w:ascii="Times New Roman" w:hAnsi="Times New Roman"/>
                <w:sz w:val="18"/>
              </w:rPr>
              <w:t>Weld bead height h</w:t>
            </w:r>
          </w:p>
        </w:tc>
        <w:tc>
          <w:tcPr>
            <w:tcW w:type="dxa" w:w="2880"/>
          </w:tcPr>
          <w:p>
            <w:r>
              <w:rPr>
                <w:rFonts w:ascii="Times New Roman" w:hAnsi="Times New Roman"/>
                <w:sz w:val="18"/>
              </w:rPr>
              <w:t>User-defined (e.g., 1.5 mm)</w:t>
            </w:r>
          </w:p>
        </w:tc>
        <w:tc>
          <w:tcPr>
            <w:tcW w:type="dxa" w:w="2880"/>
          </w:tcPr>
          <w:p>
            <w:r>
              <w:rPr>
                <w:rFonts w:ascii="Times New Roman" w:hAnsi="Times New Roman"/>
                <w:sz w:val="18"/>
              </w:rPr>
              <w:t>0 mm (ideal joint)</w:t>
            </w:r>
          </w:p>
        </w:tc>
      </w:tr>
      <w:tr>
        <w:tc>
          <w:tcPr>
            <w:tcW w:type="dxa" w:w="2880"/>
          </w:tcPr>
          <w:p>
            <w:r>
              <w:rPr>
                <w:rFonts w:ascii="Times New Roman" w:hAnsi="Times New Roman"/>
                <w:sz w:val="18"/>
              </w:rPr>
              <w:t>Fitting loss K₁</w:t>
            </w:r>
          </w:p>
        </w:tc>
        <w:tc>
          <w:tcPr>
            <w:tcW w:type="dxa" w:w="2880"/>
          </w:tcPr>
          <w:p>
            <w:r>
              <w:rPr>
                <w:rFonts w:ascii="Times New Roman" w:hAnsi="Times New Roman"/>
                <w:sz w:val="18"/>
              </w:rPr>
              <w:t>K₁,base · (D/D_eff)⁴</w:t>
            </w:r>
          </w:p>
        </w:tc>
        <w:tc>
          <w:tcPr>
            <w:tcW w:type="dxa" w:w="2880"/>
          </w:tcPr>
          <w:p>
            <w:r>
              <w:rPr>
                <w:rFonts w:ascii="Times New Roman" w:hAnsi="Times New Roman"/>
                <w:sz w:val="18"/>
              </w:rPr>
              <w:t>K₁,base = 0.5</w:t>
            </w:r>
          </w:p>
        </w:tc>
      </w:tr>
      <w:tr>
        <w:tc>
          <w:tcPr>
            <w:tcW w:type="dxa" w:w="2880"/>
          </w:tcPr>
          <w:p>
            <w:r>
              <w:rPr>
                <w:rFonts w:ascii="Times New Roman" w:hAnsi="Times New Roman"/>
                <w:sz w:val="18"/>
              </w:rPr>
              <w:t>Physical meaning</w:t>
            </w:r>
          </w:p>
        </w:tc>
        <w:tc>
          <w:tcPr>
            <w:tcW w:type="dxa" w:w="2880"/>
          </w:tcPr>
          <w:p>
            <w:r>
              <w:rPr>
                <w:rFonts w:ascii="Times New Roman" w:hAnsi="Times New Roman"/>
                <w:sz w:val="18"/>
              </w:rPr>
              <w:t>Existing welding technology</w:t>
            </w:r>
          </w:p>
        </w:tc>
        <w:tc>
          <w:tcPr>
            <w:tcW w:type="dxa" w:w="2880"/>
          </w:tcPr>
          <w:p>
            <w:r>
              <w:rPr>
                <w:rFonts w:ascii="Times New Roman" w:hAnsi="Times New Roman"/>
                <w:sz w:val="18"/>
              </w:rPr>
              <w:t>Advanced shape-control technology</w:t>
            </w:r>
          </w:p>
        </w:tc>
      </w:tr>
    </w:tbl>
    <w:p/>
    <w:p>
      <w:r>
        <w:rPr>
          <w:rFonts w:ascii="Times New Roman" w:hAnsi="Times New Roman"/>
          <w:b w:val="0"/>
          <w:i w:val="0"/>
          <w:sz w:val="22"/>
        </w:rPr>
        <w:t>The improvement metric is computed as the percentage change in the worst-case terminal pressure:</w:t>
      </w:r>
    </w:p>
    <w:p>
      <w:pPr>
        <w:jc w:val="center"/>
      </w:pPr>
      <w:r>
        <w:rPr>
          <w:rFonts w:ascii="Cambria Math" w:hAnsi="Cambria Math"/>
          <w:i/>
          <w:sz w:val="22"/>
        </w:rPr>
        <w:t>Improvement (%) = (P_B − P_A) / |P_A| × 100</w:t>
      </w:r>
      <w:r>
        <w:rPr>
          <w:rFonts w:ascii="Times New Roman" w:hAnsi="Times New Roman"/>
          <w:sz w:val="22"/>
        </w:rPr>
        <w:t xml:space="preserve">    (18)</w:t>
      </w:r>
    </w:p>
    <w:p>
      <w:pPr>
        <w:pStyle w:val="Heading2"/>
      </w:pPr>
      <w:r>
        <w:rPr>
          <w:rFonts w:ascii="Times New Roman" w:hAnsi="Times New Roman"/>
          <w:color w:val="000000"/>
          <w:sz w:val="24"/>
        </w:rPr>
        <w:t>2.3 Monte Carlo Probabilistic Analysis</w:t>
      </w:r>
    </w:p>
    <w:p>
      <w:pPr>
        <w:pStyle w:val="Heading3"/>
      </w:pPr>
      <w:r>
        <w:rPr>
          <w:rFonts w:ascii="Times New Roman" w:hAnsi="Times New Roman"/>
          <w:color w:val="000000"/>
          <w:sz w:val="22"/>
        </w:rPr>
        <w:t>2.3.1 Stochastic Defect Modeling</w:t>
      </w:r>
    </w:p>
    <w:p>
      <w:r>
        <w:rPr>
          <w:rFonts w:ascii="Times New Roman" w:hAnsi="Times New Roman"/>
          <w:b w:val="0"/>
          <w:i w:val="0"/>
          <w:sz w:val="22"/>
        </w:rPr>
        <w:t>To assess the probabilistic impact of weld defect location variability, a Monte Carlo simulation framework is implemented. In each trial i (i = 1, 2, ..., N):</w:t>
      </w:r>
    </w:p>
    <w:p>
      <w:pPr>
        <w:pStyle w:val="ListNumber"/>
      </w:pPr>
      <w:r>
        <w:rPr>
          <w:sz w:val="22"/>
        </w:rPr>
        <w:t>The number of defective fittings n_d is sampled uniformly from [n_min, n_max].</w:t>
      </w:r>
    </w:p>
    <w:p>
      <w:pPr>
        <w:pStyle w:val="ListNumber"/>
      </w:pPr>
      <w:r>
        <w:rPr>
          <w:sz w:val="22"/>
        </w:rPr>
        <w:t>The n_d defect positions are selected without replacement from the set of all fitting locations {0, 1, ..., n×m − 1} using NumPy's default_rng random generator (PCG64 algorithm).</w:t>
      </w:r>
    </w:p>
    <w:p>
      <w:pPr>
        <w:pStyle w:val="ListNumber"/>
      </w:pPr>
      <w:r>
        <w:rPr>
          <w:sz w:val="22"/>
        </w:rPr>
        <w:t>If straight-pipe weld beads are enabled (beads_per_branch &gt; 0), the bead positions are re-randomized within each branch using a uniform distribution over the branch length, simulating construction variability.</w:t>
      </w:r>
    </w:p>
    <w:p>
      <w:pPr>
        <w:pStyle w:val="ListNumber"/>
      </w:pPr>
      <w:r>
        <w:rPr>
          <w:sz w:val="22"/>
        </w:rPr>
        <w:t>The full system hydraulic calculation is executed, and the worst-case terminal pressure P_terminal,i is recorded.</w:t>
      </w:r>
    </w:p>
    <w:p>
      <w:pPr>
        <w:pStyle w:val="Heading3"/>
      </w:pPr>
      <w:r>
        <w:rPr>
          <w:rFonts w:ascii="Times New Roman" w:hAnsi="Times New Roman"/>
          <w:color w:val="000000"/>
          <w:sz w:val="22"/>
        </w:rPr>
        <w:t>2.3.2 Statistical Output Metrics</w:t>
      </w:r>
    </w:p>
    <w:p>
      <w:r>
        <w:rPr>
          <w:rFonts w:ascii="Times New Roman" w:hAnsi="Times New Roman"/>
          <w:b w:val="0"/>
          <w:i w:val="0"/>
          <w:sz w:val="22"/>
        </w:rPr>
        <w:t>The following statistics are computed from the N terminal pressure samples {P₁, P₂, ..., P_N}:</w:t>
      </w:r>
    </w:p>
    <w:p>
      <w:pPr>
        <w:jc w:val="center"/>
      </w:pPr>
      <w:r>
        <w:rPr>
          <w:rFonts w:ascii="Cambria Math" w:hAnsi="Cambria Math"/>
          <w:i/>
          <w:sz w:val="22"/>
        </w:rPr>
        <w:t>μ = (1/N) · Σ P_i</w:t>
      </w:r>
      <w:r>
        <w:rPr>
          <w:rFonts w:ascii="Times New Roman" w:hAnsi="Times New Roman"/>
          <w:sz w:val="22"/>
        </w:rPr>
        <w:t xml:space="preserve">    (19)</w:t>
      </w:r>
    </w:p>
    <w:p>
      <w:pPr>
        <w:jc w:val="center"/>
      </w:pPr>
      <w:r>
        <w:rPr>
          <w:rFonts w:ascii="Cambria Math" w:hAnsi="Cambria Math"/>
          <w:i/>
          <w:sz w:val="22"/>
        </w:rPr>
        <w:t>σ = √[ Σ(P_i − μ)² / (N − 1) ]</w:t>
      </w:r>
      <w:r>
        <w:rPr>
          <w:rFonts w:ascii="Times New Roman" w:hAnsi="Times New Roman"/>
          <w:sz w:val="22"/>
        </w:rPr>
        <w:t xml:space="preserve">    (20)</w:t>
      </w:r>
    </w:p>
    <w:p>
      <w:r>
        <w:rPr>
          <w:rFonts w:ascii="Times New Roman" w:hAnsi="Times New Roman"/>
          <w:b w:val="0"/>
          <w:i w:val="0"/>
          <w:sz w:val="22"/>
        </w:rPr>
        <w:t>Note that the sample standard deviation (Bessel-corrected, N − 1 denominator) is used rather than the population standard deviation to provide an unbiased estimate. The failure probability P_fail is computed as the empirical proportion of trials where the terminal pressure falls below the regulatory minimum:</w:t>
      </w:r>
    </w:p>
    <w:p>
      <w:pPr>
        <w:jc w:val="center"/>
      </w:pPr>
      <w:r>
        <w:rPr>
          <w:rFonts w:ascii="Cambria Math" w:hAnsi="Cambria Math"/>
          <w:i/>
          <w:sz w:val="22"/>
        </w:rPr>
        <w:t>P_fail = (1/N) · Σ I(P_i &lt; 0.1 MPa)</w:t>
      </w:r>
      <w:r>
        <w:rPr>
          <w:rFonts w:ascii="Times New Roman" w:hAnsi="Times New Roman"/>
          <w:sz w:val="22"/>
        </w:rPr>
        <w:t xml:space="preserve">    (21)</w:t>
      </w:r>
    </w:p>
    <w:p>
      <w:r>
        <w:rPr>
          <w:rFonts w:ascii="Times New Roman" w:hAnsi="Times New Roman"/>
          <w:b w:val="0"/>
          <w:i w:val="0"/>
          <w:sz w:val="22"/>
        </w:rPr>
        <w:t>where I(·) is the indicator function. For N = 1,000 iterations, this estimator has a standard error of at most √[0.5 × 0.5 / 1000] = 0.016, providing adequate precision for engineering decision-making. For higher precision, N can be increased up to 10,000.</w:t>
      </w:r>
    </w:p>
    <w:p>
      <w:pPr>
        <w:pStyle w:val="Heading2"/>
      </w:pPr>
      <w:r>
        <w:rPr>
          <w:rFonts w:ascii="Times New Roman" w:hAnsi="Times New Roman"/>
          <w:color w:val="000000"/>
          <w:sz w:val="24"/>
        </w:rPr>
        <w:t>2.4 Deterministic Sensitivity Analysis</w:t>
      </w:r>
    </w:p>
    <w:p>
      <w:r>
        <w:rPr>
          <w:rFonts w:ascii="Times New Roman" w:hAnsi="Times New Roman"/>
          <w:b w:val="0"/>
          <w:i w:val="0"/>
          <w:sz w:val="22"/>
        </w:rPr>
        <w:t>A single-bead perturbation analysis is performed to identify the most hydraulically sensitive positions within the piping network. The procedure is as follows:</w:t>
      </w:r>
    </w:p>
    <w:p>
      <w:pPr>
        <w:pStyle w:val="ListNumber"/>
      </w:pPr>
      <w:r>
        <w:rPr>
          <w:sz w:val="22"/>
        </w:rPr>
        <w:t>Baseline computation: The system is simulated with no fitting bead protrusions (K₁ = K₁,base for all fittings), yielding the baseline terminal pressure P_base.</w:t>
      </w:r>
    </w:p>
    <w:p>
      <w:pPr>
        <w:pStyle w:val="ListNumber"/>
      </w:pPr>
      <w:r>
        <w:rPr>
          <w:sz w:val="22"/>
        </w:rPr>
        <w:t>For each head position j (j = 1, ..., m) in the worst-case branch, a single bead of height h is placed at position j while all other positions remain at h = 0.</w:t>
      </w:r>
    </w:p>
    <w:p>
      <w:pPr>
        <w:pStyle w:val="ListNumber"/>
      </w:pPr>
      <w:r>
        <w:rPr>
          <w:sz w:val="22"/>
        </w:rPr>
        <w:t>The pressure drop due to the single bead is computed as Δp_j = P_base − P_j.</w:t>
      </w:r>
    </w:p>
    <w:p>
      <w:pPr>
        <w:pStyle w:val="ListNumber"/>
      </w:pPr>
      <w:r>
        <w:rPr>
          <w:sz w:val="22"/>
        </w:rPr>
        <w:t>Positions are ranked by Δp_j in descending order. The position with the largest Δp is designated the critical point.</w:t>
      </w:r>
    </w:p>
    <w:p>
      <w:r>
        <w:rPr>
          <w:rFonts w:ascii="Times New Roman" w:hAnsi="Times New Roman"/>
          <w:b w:val="0"/>
          <w:i w:val="0"/>
          <w:sz w:val="22"/>
        </w:rPr>
        <w:t>This analysis reveals which joint locations have the greatest leverage on system performance, providing actionable guidance for quality control prioritization during construction.</w:t>
      </w:r>
    </w:p>
    <w:p>
      <w:pPr>
        <w:pStyle w:val="Heading2"/>
      </w:pPr>
      <w:r>
        <w:rPr>
          <w:rFonts w:ascii="Times New Roman" w:hAnsi="Times New Roman"/>
          <w:color w:val="000000"/>
          <w:sz w:val="24"/>
        </w:rPr>
        <w:t>2.5 Variable Sweep (Parametric Study)</w:t>
      </w:r>
    </w:p>
    <w:p>
      <w:r>
        <w:rPr>
          <w:rFonts w:ascii="Times New Roman" w:hAnsi="Times New Roman"/>
          <w:b w:val="0"/>
          <w:i w:val="0"/>
          <w:sz w:val="22"/>
        </w:rPr>
        <w:t>To identify the system's operational envelope and failure boundaries, a variable sweep analysis systematically varies a single design parameter while holding all other parameters constant. The sweep procedure executes a full Case A/B comparison at each parameter value and records:</w:t>
      </w:r>
    </w:p>
    <w:p>
      <w:pPr>
        <w:pStyle w:val="ListBullet"/>
      </w:pPr>
      <w:r>
        <w:rPr>
          <w:sz w:val="22"/>
        </w:rPr>
        <w:t>The worst-case terminal pressure for both Case A and Case B.</w:t>
      </w:r>
    </w:p>
    <w:p>
      <w:pPr>
        <w:pStyle w:val="ListBullet"/>
      </w:pPr>
      <w:r>
        <w:rPr>
          <w:sz w:val="22"/>
        </w:rPr>
        <w:t>The improvement percentage.</w:t>
      </w:r>
    </w:p>
    <w:p>
      <w:pPr>
        <w:pStyle w:val="ListBullet"/>
      </w:pPr>
      <w:r>
        <w:rPr>
          <w:sz w:val="22"/>
        </w:rPr>
        <w:t>The PASS/FAIL status against the 0.1 MPa minimum threshold.</w:t>
      </w:r>
    </w:p>
    <w:p>
      <w:r>
        <w:rPr>
          <w:rFonts w:ascii="Times New Roman" w:hAnsi="Times New Roman"/>
          <w:b w:val="0"/>
          <w:i w:val="0"/>
          <w:sz w:val="22"/>
        </w:rPr>
        <w:t>The critical point Q_crit (or P_crit, h_crit, etc.) is defined as the parameter value at which the system first transitions from PASS to FAIL. The following design parameters are available for sweep analysis: design flow rate (LPM), inlet pressure (MPa), weld bead height (mm), and number of heads per branch.</w:t>
      </w:r>
    </w:p>
    <w:p>
      <w:pPr>
        <w:pStyle w:val="Heading2"/>
      </w:pPr>
      <w:r>
        <w:rPr>
          <w:rFonts w:ascii="Times New Roman" w:hAnsi="Times New Roman"/>
          <w:color w:val="000000"/>
          <w:sz w:val="24"/>
        </w:rPr>
        <w:t>2.6 Economic Analysis (Life-Cycle Cost)</w:t>
      </w:r>
    </w:p>
    <w:p>
      <w:r>
        <w:rPr>
          <w:rFonts w:ascii="Times New Roman" w:hAnsi="Times New Roman"/>
          <w:b w:val="0"/>
          <w:i w:val="0"/>
          <w:sz w:val="22"/>
        </w:rPr>
        <w:t>The energy savings resulting from reduced hydraulic resistance (Case B vs. Case A) are quantified through a Life-Cycle Cost (LCC) analysis. At each operating point, the pump power consumption is computed using Eq. (17), and the differential power is:</w:t>
      </w:r>
    </w:p>
    <w:p>
      <w:pPr>
        <w:jc w:val="center"/>
      </w:pPr>
      <w:r>
        <w:rPr>
          <w:rFonts w:ascii="Cambria Math" w:hAnsi="Cambria Math"/>
          <w:i/>
          <w:sz w:val="22"/>
        </w:rPr>
        <w:t>ΔP = P_pump,A − P_pump,B</w:t>
      </w:r>
      <w:r>
        <w:rPr>
          <w:rFonts w:ascii="Times New Roman" w:hAnsi="Times New Roman"/>
          <w:sz w:val="22"/>
        </w:rPr>
        <w:t xml:space="preserve">    (22)</w:t>
      </w:r>
    </w:p>
    <w:p>
      <w:pPr>
        <w:jc w:val="center"/>
      </w:pPr>
      <w:r>
        <w:rPr>
          <w:rFonts w:ascii="Cambria Math" w:hAnsi="Cambria Math"/>
          <w:i/>
          <w:sz w:val="22"/>
        </w:rPr>
        <w:t>Annual Energy Savings = ΔP × t_op  (kWh/year)</w:t>
      </w:r>
      <w:r>
        <w:rPr>
          <w:rFonts w:ascii="Times New Roman" w:hAnsi="Times New Roman"/>
          <w:sz w:val="22"/>
        </w:rPr>
        <w:t xml:space="preserve">    (23)</w:t>
      </w:r>
    </w:p>
    <w:p>
      <w:pPr>
        <w:jc w:val="center"/>
      </w:pPr>
      <w:r>
        <w:rPr>
          <w:rFonts w:ascii="Cambria Math" w:hAnsi="Cambria Math"/>
          <w:i/>
          <w:sz w:val="22"/>
        </w:rPr>
        <w:t>Annual Cost Savings = ΔP × t_op × C_e  (KRW/year)</w:t>
      </w:r>
      <w:r>
        <w:rPr>
          <w:rFonts w:ascii="Times New Roman" w:hAnsi="Times New Roman"/>
          <w:sz w:val="22"/>
        </w:rPr>
        <w:t xml:space="preserve">    (24)</w:t>
      </w:r>
    </w:p>
    <w:p>
      <w:r>
        <w:rPr>
          <w:rFonts w:ascii="Times New Roman" w:hAnsi="Times New Roman"/>
          <w:b w:val="0"/>
          <w:i w:val="0"/>
          <w:sz w:val="22"/>
        </w:rPr>
        <w:t>where t_op is the annual pump operating hours (default 2,000 h/yr) and C_e is the unit electricity cost (default 120 KRW/kWh). These default values can be adjusted by the user to reflect site-specific conditions.</w:t>
      </w:r>
    </w:p>
    <w:p>
      <w:r>
        <w:br w:type="page"/>
      </w:r>
    </w:p>
    <w:p>
      <w:pPr>
        <w:pStyle w:val="Heading2"/>
      </w:pPr>
      <w:r>
        <w:rPr>
          <w:rFonts w:ascii="Times New Roman" w:hAnsi="Times New Roman"/>
          <w:color w:val="000000"/>
          <w:sz w:val="24"/>
        </w:rPr>
        <w:t>2.7 Physical Properties and Constants</w:t>
      </w:r>
    </w:p>
    <w:p>
      <w:r>
        <w:rPr>
          <w:rFonts w:ascii="Times New Roman" w:hAnsi="Times New Roman"/>
          <w:b/>
          <w:sz w:val="20"/>
        </w:rPr>
        <w:t>Table 7. Physical properties and design constants used in the simulation.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Property</w:t>
            </w:r>
          </w:p>
        </w:tc>
        <w:tc>
          <w:tcPr>
            <w:tcW w:type="dxa" w:w="1728"/>
          </w:tcPr>
          <w:p>
            <w:pPr>
              <w:jc w:val="center"/>
            </w:pPr>
            <w:r>
              <w:rPr>
                <w:rFonts w:ascii="Times New Roman" w:hAnsi="Times New Roman"/>
                <w:b/>
                <w:sz w:val="18"/>
              </w:rPr>
              <w:t>Symbol</w:t>
            </w:r>
          </w:p>
        </w:tc>
        <w:tc>
          <w:tcPr>
            <w:tcW w:type="dxa" w:w="1728"/>
          </w:tcPr>
          <w:p>
            <w:pPr>
              <w:jc w:val="center"/>
            </w:pPr>
            <w:r>
              <w:rPr>
                <w:rFonts w:ascii="Times New Roman" w:hAnsi="Times New Roman"/>
                <w:b/>
                <w:sz w:val="18"/>
              </w:rPr>
              <w:t>Value</w:t>
            </w:r>
          </w:p>
        </w:tc>
        <w:tc>
          <w:tcPr>
            <w:tcW w:type="dxa" w:w="1728"/>
          </w:tcPr>
          <w:p>
            <w:pPr>
              <w:jc w:val="center"/>
            </w:pPr>
            <w:r>
              <w:rPr>
                <w:rFonts w:ascii="Times New Roman" w:hAnsi="Times New Roman"/>
                <w:b/>
                <w:sz w:val="18"/>
              </w:rPr>
              <w:t>Unit</w:t>
            </w:r>
          </w:p>
        </w:tc>
        <w:tc>
          <w:tcPr>
            <w:tcW w:type="dxa" w:w="1728"/>
          </w:tcPr>
          <w:p>
            <w:pPr>
              <w:jc w:val="center"/>
            </w:pPr>
            <w:r>
              <w:rPr>
                <w:rFonts w:ascii="Times New Roman" w:hAnsi="Times New Roman"/>
                <w:b/>
                <w:sz w:val="18"/>
              </w:rPr>
              <w:t>Source</w:t>
            </w:r>
          </w:p>
        </w:tc>
      </w:tr>
      <w:tr>
        <w:tc>
          <w:tcPr>
            <w:tcW w:type="dxa" w:w="1728"/>
          </w:tcPr>
          <w:p>
            <w:r>
              <w:rPr>
                <w:rFonts w:ascii="Times New Roman" w:hAnsi="Times New Roman"/>
                <w:sz w:val="18"/>
              </w:rPr>
              <w:t>Water density (20°C)</w:t>
            </w:r>
          </w:p>
        </w:tc>
        <w:tc>
          <w:tcPr>
            <w:tcW w:type="dxa" w:w="1728"/>
          </w:tcPr>
          <w:p>
            <w:r>
              <w:rPr>
                <w:rFonts w:ascii="Times New Roman" w:hAnsi="Times New Roman"/>
                <w:sz w:val="18"/>
              </w:rPr>
              <w:t>ρ</w:t>
            </w:r>
          </w:p>
        </w:tc>
        <w:tc>
          <w:tcPr>
            <w:tcW w:type="dxa" w:w="1728"/>
          </w:tcPr>
          <w:p>
            <w:r>
              <w:rPr>
                <w:rFonts w:ascii="Times New Roman" w:hAnsi="Times New Roman"/>
                <w:sz w:val="18"/>
              </w:rPr>
              <w:t>998.0</w:t>
            </w:r>
          </w:p>
        </w:tc>
        <w:tc>
          <w:tcPr>
            <w:tcW w:type="dxa" w:w="1728"/>
          </w:tcPr>
          <w:p>
            <w:r>
              <w:rPr>
                <w:rFonts w:ascii="Times New Roman" w:hAnsi="Times New Roman"/>
                <w:sz w:val="18"/>
              </w:rPr>
              <w:t>kg/m³</w:t>
            </w:r>
          </w:p>
        </w:tc>
        <w:tc>
          <w:tcPr>
            <w:tcW w:type="dxa" w:w="1728"/>
          </w:tcPr>
          <w:p>
            <w:r>
              <w:rPr>
                <w:rFonts w:ascii="Times New Roman" w:hAnsi="Times New Roman"/>
                <w:sz w:val="18"/>
              </w:rPr>
              <w:t>Engineering data</w:t>
            </w:r>
          </w:p>
        </w:tc>
      </w:tr>
      <w:tr>
        <w:tc>
          <w:tcPr>
            <w:tcW w:type="dxa" w:w="1728"/>
          </w:tcPr>
          <w:p>
            <w:r>
              <w:rPr>
                <w:rFonts w:ascii="Times New Roman" w:hAnsi="Times New Roman"/>
                <w:sz w:val="18"/>
              </w:rPr>
              <w:t>Kinematic viscosity (20°C)</w:t>
            </w:r>
          </w:p>
        </w:tc>
        <w:tc>
          <w:tcPr>
            <w:tcW w:type="dxa" w:w="1728"/>
          </w:tcPr>
          <w:p>
            <w:r>
              <w:rPr>
                <w:rFonts w:ascii="Times New Roman" w:hAnsi="Times New Roman"/>
                <w:sz w:val="18"/>
              </w:rPr>
              <w:t>ν</w:t>
            </w:r>
          </w:p>
        </w:tc>
        <w:tc>
          <w:tcPr>
            <w:tcW w:type="dxa" w:w="1728"/>
          </w:tcPr>
          <w:p>
            <w:r>
              <w:rPr>
                <w:rFonts w:ascii="Times New Roman" w:hAnsi="Times New Roman"/>
                <w:sz w:val="18"/>
              </w:rPr>
              <w:t>1.004 × 10⁻⁶</w:t>
            </w:r>
          </w:p>
        </w:tc>
        <w:tc>
          <w:tcPr>
            <w:tcW w:type="dxa" w:w="1728"/>
          </w:tcPr>
          <w:p>
            <w:r>
              <w:rPr>
                <w:rFonts w:ascii="Times New Roman" w:hAnsi="Times New Roman"/>
                <w:sz w:val="18"/>
              </w:rPr>
              <w:t>m²/s</w:t>
            </w:r>
          </w:p>
        </w:tc>
        <w:tc>
          <w:tcPr>
            <w:tcW w:type="dxa" w:w="1728"/>
          </w:tcPr>
          <w:p>
            <w:r>
              <w:rPr>
                <w:rFonts w:ascii="Times New Roman" w:hAnsi="Times New Roman"/>
                <w:sz w:val="18"/>
              </w:rPr>
              <w:t>Engineering data</w:t>
            </w:r>
          </w:p>
        </w:tc>
      </w:tr>
      <w:tr>
        <w:tc>
          <w:tcPr>
            <w:tcW w:type="dxa" w:w="1728"/>
          </w:tcPr>
          <w:p>
            <w:r>
              <w:rPr>
                <w:rFonts w:ascii="Times New Roman" w:hAnsi="Times New Roman"/>
                <w:sz w:val="18"/>
              </w:rPr>
              <w:t>Dynamic viscosity (20°C)</w:t>
            </w:r>
          </w:p>
        </w:tc>
        <w:tc>
          <w:tcPr>
            <w:tcW w:type="dxa" w:w="1728"/>
          </w:tcPr>
          <w:p>
            <w:r>
              <w:rPr>
                <w:rFonts w:ascii="Times New Roman" w:hAnsi="Times New Roman"/>
                <w:sz w:val="18"/>
              </w:rPr>
              <w:t>μ</w:t>
            </w:r>
          </w:p>
        </w:tc>
        <w:tc>
          <w:tcPr>
            <w:tcW w:type="dxa" w:w="1728"/>
          </w:tcPr>
          <w:p>
            <w:r>
              <w:rPr>
                <w:rFonts w:ascii="Times New Roman" w:hAnsi="Times New Roman"/>
                <w:sz w:val="18"/>
              </w:rPr>
              <w:t>1.002 × 10⁻³</w:t>
            </w:r>
          </w:p>
        </w:tc>
        <w:tc>
          <w:tcPr>
            <w:tcW w:type="dxa" w:w="1728"/>
          </w:tcPr>
          <w:p>
            <w:r>
              <w:rPr>
                <w:rFonts w:ascii="Times New Roman" w:hAnsi="Times New Roman"/>
                <w:sz w:val="18"/>
              </w:rPr>
              <w:t>Pa·s</w:t>
            </w:r>
          </w:p>
        </w:tc>
        <w:tc>
          <w:tcPr>
            <w:tcW w:type="dxa" w:w="1728"/>
          </w:tcPr>
          <w:p>
            <w:r>
              <w:rPr>
                <w:rFonts w:ascii="Times New Roman" w:hAnsi="Times New Roman"/>
                <w:sz w:val="18"/>
              </w:rPr>
              <w:t>Engineering data</w:t>
            </w:r>
          </w:p>
        </w:tc>
      </w:tr>
      <w:tr>
        <w:tc>
          <w:tcPr>
            <w:tcW w:type="dxa" w:w="1728"/>
          </w:tcPr>
          <w:p>
            <w:r>
              <w:rPr>
                <w:rFonts w:ascii="Times New Roman" w:hAnsi="Times New Roman"/>
                <w:sz w:val="18"/>
              </w:rPr>
              <w:t>Gravitational acceleration</w:t>
            </w:r>
          </w:p>
        </w:tc>
        <w:tc>
          <w:tcPr>
            <w:tcW w:type="dxa" w:w="1728"/>
          </w:tcPr>
          <w:p>
            <w:r>
              <w:rPr>
                <w:rFonts w:ascii="Times New Roman" w:hAnsi="Times New Roman"/>
                <w:sz w:val="18"/>
              </w:rPr>
              <w:t>g</w:t>
            </w:r>
          </w:p>
        </w:tc>
        <w:tc>
          <w:tcPr>
            <w:tcW w:type="dxa" w:w="1728"/>
          </w:tcPr>
          <w:p>
            <w:r>
              <w:rPr>
                <w:rFonts w:ascii="Times New Roman" w:hAnsi="Times New Roman"/>
                <w:sz w:val="18"/>
              </w:rPr>
              <w:t>9.81</w:t>
            </w:r>
          </w:p>
        </w:tc>
        <w:tc>
          <w:tcPr>
            <w:tcW w:type="dxa" w:w="1728"/>
          </w:tcPr>
          <w:p>
            <w:r>
              <w:rPr>
                <w:rFonts w:ascii="Times New Roman" w:hAnsi="Times New Roman"/>
                <w:sz w:val="18"/>
              </w:rPr>
              <w:t>m/s²</w:t>
            </w:r>
          </w:p>
        </w:tc>
        <w:tc>
          <w:tcPr>
            <w:tcW w:type="dxa" w:w="1728"/>
          </w:tcPr>
          <w:p>
            <w:r>
              <w:rPr>
                <w:rFonts w:ascii="Times New Roman" w:hAnsi="Times New Roman"/>
                <w:sz w:val="18"/>
              </w:rPr>
              <w:t>—</w:t>
            </w:r>
          </w:p>
        </w:tc>
      </w:tr>
      <w:tr>
        <w:tc>
          <w:tcPr>
            <w:tcW w:type="dxa" w:w="1728"/>
          </w:tcPr>
          <w:p>
            <w:r>
              <w:rPr>
                <w:rFonts w:ascii="Times New Roman" w:hAnsi="Times New Roman"/>
                <w:sz w:val="18"/>
              </w:rPr>
              <w:t>Pipe roughness (carbon steel)</w:t>
            </w:r>
          </w:p>
        </w:tc>
        <w:tc>
          <w:tcPr>
            <w:tcW w:type="dxa" w:w="1728"/>
          </w:tcPr>
          <w:p>
            <w:r>
              <w:rPr>
                <w:rFonts w:ascii="Times New Roman" w:hAnsi="Times New Roman"/>
                <w:sz w:val="18"/>
              </w:rPr>
              <w:t>ε</w:t>
            </w:r>
          </w:p>
        </w:tc>
        <w:tc>
          <w:tcPr>
            <w:tcW w:type="dxa" w:w="1728"/>
          </w:tcPr>
          <w:p>
            <w:r>
              <w:rPr>
                <w:rFonts w:ascii="Times New Roman" w:hAnsi="Times New Roman"/>
                <w:sz w:val="18"/>
              </w:rPr>
              <w:t>0.045</w:t>
            </w:r>
          </w:p>
        </w:tc>
        <w:tc>
          <w:tcPr>
            <w:tcW w:type="dxa" w:w="1728"/>
          </w:tcPr>
          <w:p>
            <w:r>
              <w:rPr>
                <w:rFonts w:ascii="Times New Roman" w:hAnsi="Times New Roman"/>
                <w:sz w:val="18"/>
              </w:rPr>
              <w:t>mm</w:t>
            </w:r>
          </w:p>
        </w:tc>
        <w:tc>
          <w:tcPr>
            <w:tcW w:type="dxa" w:w="1728"/>
          </w:tcPr>
          <w:p>
            <w:r>
              <w:rPr>
                <w:rFonts w:ascii="Times New Roman" w:hAnsi="Times New Roman"/>
                <w:sz w:val="18"/>
              </w:rPr>
              <w:t>Moody (1944)</w:t>
            </w:r>
          </w:p>
        </w:tc>
      </w:tr>
      <w:tr>
        <w:tc>
          <w:tcPr>
            <w:tcW w:type="dxa" w:w="1728"/>
          </w:tcPr>
          <w:p>
            <w:r>
              <w:rPr>
                <w:rFonts w:ascii="Times New Roman" w:hAnsi="Times New Roman"/>
                <w:sz w:val="18"/>
              </w:rPr>
              <w:t>Base fitting loss coefficient</w:t>
            </w:r>
          </w:p>
        </w:tc>
        <w:tc>
          <w:tcPr>
            <w:tcW w:type="dxa" w:w="1728"/>
          </w:tcPr>
          <w:p>
            <w:r>
              <w:rPr>
                <w:rFonts w:ascii="Times New Roman" w:hAnsi="Times New Roman"/>
                <w:sz w:val="18"/>
              </w:rPr>
              <w:t>K₁,base</w:t>
            </w:r>
          </w:p>
        </w:tc>
        <w:tc>
          <w:tcPr>
            <w:tcW w:type="dxa" w:w="1728"/>
          </w:tcPr>
          <w:p>
            <w:r>
              <w:rPr>
                <w:rFonts w:ascii="Times New Roman" w:hAnsi="Times New Roman"/>
                <w:sz w:val="18"/>
              </w:rPr>
              <w:t>0.5</w:t>
            </w:r>
          </w:p>
        </w:tc>
        <w:tc>
          <w:tcPr>
            <w:tcW w:type="dxa" w:w="1728"/>
          </w:tcPr>
          <w:p>
            <w:r>
              <w:rPr>
                <w:rFonts w:ascii="Times New Roman" w:hAnsi="Times New Roman"/>
                <w:sz w:val="18"/>
              </w:rPr>
              <w:t>—</w:t>
            </w:r>
          </w:p>
        </w:tc>
        <w:tc>
          <w:tcPr>
            <w:tcW w:type="dxa" w:w="1728"/>
          </w:tcPr>
          <w:p>
            <w:r>
              <w:rPr>
                <w:rFonts w:ascii="Times New Roman" w:hAnsi="Times New Roman"/>
                <w:sz w:val="18"/>
              </w:rPr>
              <w:t>Idelchik (1986)</w:t>
            </w:r>
          </w:p>
        </w:tc>
      </w:tr>
      <w:tr>
        <w:tc>
          <w:tcPr>
            <w:tcW w:type="dxa" w:w="1728"/>
          </w:tcPr>
          <w:p>
            <w:r>
              <w:rPr>
                <w:rFonts w:ascii="Times New Roman" w:hAnsi="Times New Roman"/>
                <w:sz w:val="18"/>
              </w:rPr>
              <w:t>Sprinkler head loss coefficient</w:t>
            </w:r>
          </w:p>
        </w:tc>
        <w:tc>
          <w:tcPr>
            <w:tcW w:type="dxa" w:w="1728"/>
          </w:tcPr>
          <w:p>
            <w:r>
              <w:rPr>
                <w:rFonts w:ascii="Times New Roman" w:hAnsi="Times New Roman"/>
                <w:sz w:val="18"/>
              </w:rPr>
              <w:t>K₂</w:t>
            </w:r>
          </w:p>
        </w:tc>
        <w:tc>
          <w:tcPr>
            <w:tcW w:type="dxa" w:w="1728"/>
          </w:tcPr>
          <w:p>
            <w:r>
              <w:rPr>
                <w:rFonts w:ascii="Times New Roman" w:hAnsi="Times New Roman"/>
                <w:sz w:val="18"/>
              </w:rPr>
              <w:t>2.5</w:t>
            </w:r>
          </w:p>
        </w:tc>
        <w:tc>
          <w:tcPr>
            <w:tcW w:type="dxa" w:w="1728"/>
          </w:tcPr>
          <w:p>
            <w:r>
              <w:rPr>
                <w:rFonts w:ascii="Times New Roman" w:hAnsi="Times New Roman"/>
                <w:sz w:val="18"/>
              </w:rPr>
              <w:t>—</w:t>
            </w:r>
          </w:p>
        </w:tc>
        <w:tc>
          <w:tcPr>
            <w:tcW w:type="dxa" w:w="1728"/>
          </w:tcPr>
          <w:p>
            <w:r>
              <w:rPr>
                <w:rFonts w:ascii="Times New Roman" w:hAnsi="Times New Roman"/>
                <w:sz w:val="18"/>
              </w:rPr>
              <w:t>NFSC 103</w:t>
            </w:r>
          </w:p>
        </w:tc>
      </w:tr>
      <w:tr>
        <w:tc>
          <w:tcPr>
            <w:tcW w:type="dxa" w:w="1728"/>
          </w:tcPr>
          <w:p>
            <w:r>
              <w:rPr>
                <w:rFonts w:ascii="Times New Roman" w:hAnsi="Times New Roman"/>
                <w:sz w:val="18"/>
              </w:rPr>
              <w:t>Branch entry loss coefficient</w:t>
            </w:r>
          </w:p>
        </w:tc>
        <w:tc>
          <w:tcPr>
            <w:tcW w:type="dxa" w:w="1728"/>
          </w:tcPr>
          <w:p>
            <w:r>
              <w:rPr>
                <w:rFonts w:ascii="Times New Roman" w:hAnsi="Times New Roman"/>
                <w:sz w:val="18"/>
              </w:rPr>
              <w:t>K₃</w:t>
            </w:r>
          </w:p>
        </w:tc>
        <w:tc>
          <w:tcPr>
            <w:tcW w:type="dxa" w:w="1728"/>
          </w:tcPr>
          <w:p>
            <w:r>
              <w:rPr>
                <w:rFonts w:ascii="Times New Roman" w:hAnsi="Times New Roman"/>
                <w:sz w:val="18"/>
              </w:rPr>
              <w:t>1.0</w:t>
            </w:r>
          </w:p>
        </w:tc>
        <w:tc>
          <w:tcPr>
            <w:tcW w:type="dxa" w:w="1728"/>
          </w:tcPr>
          <w:p>
            <w:r>
              <w:rPr>
                <w:rFonts w:ascii="Times New Roman" w:hAnsi="Times New Roman"/>
                <w:sz w:val="18"/>
              </w:rPr>
              <w:t>—</w:t>
            </w:r>
          </w:p>
        </w:tc>
        <w:tc>
          <w:tcPr>
            <w:tcW w:type="dxa" w:w="1728"/>
          </w:tcPr>
          <w:p>
            <w:r>
              <w:rPr>
                <w:rFonts w:ascii="Times New Roman" w:hAnsi="Times New Roman"/>
                <w:sz w:val="18"/>
              </w:rPr>
              <w:t>NFSC 103</w:t>
            </w:r>
          </w:p>
        </w:tc>
      </w:tr>
      <w:tr>
        <w:tc>
          <w:tcPr>
            <w:tcW w:type="dxa" w:w="1728"/>
          </w:tcPr>
          <w:p>
            <w:r>
              <w:rPr>
                <w:rFonts w:ascii="Times New Roman" w:hAnsi="Times New Roman"/>
                <w:sz w:val="18"/>
              </w:rPr>
              <w:t>Min. terminal pressure</w:t>
            </w:r>
          </w:p>
        </w:tc>
        <w:tc>
          <w:tcPr>
            <w:tcW w:type="dxa" w:w="1728"/>
          </w:tcPr>
          <w:p>
            <w:r>
              <w:rPr>
                <w:rFonts w:ascii="Times New Roman" w:hAnsi="Times New Roman"/>
                <w:sz w:val="18"/>
              </w:rPr>
              <w:t>P_min</w:t>
            </w:r>
          </w:p>
        </w:tc>
        <w:tc>
          <w:tcPr>
            <w:tcW w:type="dxa" w:w="1728"/>
          </w:tcPr>
          <w:p>
            <w:r>
              <w:rPr>
                <w:rFonts w:ascii="Times New Roman" w:hAnsi="Times New Roman"/>
                <w:sz w:val="18"/>
              </w:rPr>
              <w:t>0.1</w:t>
            </w:r>
          </w:p>
        </w:tc>
        <w:tc>
          <w:tcPr>
            <w:tcW w:type="dxa" w:w="1728"/>
          </w:tcPr>
          <w:p>
            <w:r>
              <w:rPr>
                <w:rFonts w:ascii="Times New Roman" w:hAnsi="Times New Roman"/>
                <w:sz w:val="18"/>
              </w:rPr>
              <w:t>MPa</w:t>
            </w:r>
          </w:p>
        </w:tc>
        <w:tc>
          <w:tcPr>
            <w:tcW w:type="dxa" w:w="1728"/>
          </w:tcPr>
          <w:p>
            <w:r>
              <w:rPr>
                <w:rFonts w:ascii="Times New Roman" w:hAnsi="Times New Roman"/>
                <w:sz w:val="18"/>
              </w:rPr>
              <w:t>NFPC</w:t>
            </w:r>
          </w:p>
        </w:tc>
      </w:tr>
      <w:tr>
        <w:tc>
          <w:tcPr>
            <w:tcW w:type="dxa" w:w="1728"/>
          </w:tcPr>
          <w:p>
            <w:r>
              <w:rPr>
                <w:rFonts w:ascii="Times New Roman" w:hAnsi="Times New Roman"/>
                <w:sz w:val="18"/>
              </w:rPr>
              <w:t>Max. terminal pressure</w:t>
            </w:r>
          </w:p>
        </w:tc>
        <w:tc>
          <w:tcPr>
            <w:tcW w:type="dxa" w:w="1728"/>
          </w:tcPr>
          <w:p>
            <w:r>
              <w:rPr>
                <w:rFonts w:ascii="Times New Roman" w:hAnsi="Times New Roman"/>
                <w:sz w:val="18"/>
              </w:rPr>
              <w:t>P_max</w:t>
            </w:r>
          </w:p>
        </w:tc>
        <w:tc>
          <w:tcPr>
            <w:tcW w:type="dxa" w:w="1728"/>
          </w:tcPr>
          <w:p>
            <w:r>
              <w:rPr>
                <w:rFonts w:ascii="Times New Roman" w:hAnsi="Times New Roman"/>
                <w:sz w:val="18"/>
              </w:rPr>
              <w:t>1.2</w:t>
            </w:r>
          </w:p>
        </w:tc>
        <w:tc>
          <w:tcPr>
            <w:tcW w:type="dxa" w:w="1728"/>
          </w:tcPr>
          <w:p>
            <w:r>
              <w:rPr>
                <w:rFonts w:ascii="Times New Roman" w:hAnsi="Times New Roman"/>
                <w:sz w:val="18"/>
              </w:rPr>
              <w:t>MPa</w:t>
            </w:r>
          </w:p>
        </w:tc>
        <w:tc>
          <w:tcPr>
            <w:tcW w:type="dxa" w:w="1728"/>
          </w:tcPr>
          <w:p>
            <w:r>
              <w:rPr>
                <w:rFonts w:ascii="Times New Roman" w:hAnsi="Times New Roman"/>
                <w:sz w:val="18"/>
              </w:rPr>
              <w:t>NFPC</w:t>
            </w:r>
          </w:p>
        </w:tc>
      </w:tr>
      <w:tr>
        <w:tc>
          <w:tcPr>
            <w:tcW w:type="dxa" w:w="1728"/>
          </w:tcPr>
          <w:p>
            <w:r>
              <w:rPr>
                <w:rFonts w:ascii="Times New Roman" w:hAnsi="Times New Roman"/>
                <w:sz w:val="18"/>
              </w:rPr>
              <w:t>Max. branch pipe velocity</w:t>
            </w:r>
          </w:p>
        </w:tc>
        <w:tc>
          <w:tcPr>
            <w:tcW w:type="dxa" w:w="1728"/>
          </w:tcPr>
          <w:p>
            <w:r>
              <w:rPr>
                <w:rFonts w:ascii="Times New Roman" w:hAnsi="Times New Roman"/>
                <w:sz w:val="18"/>
              </w:rPr>
              <w:t>V_max,br</w:t>
            </w:r>
          </w:p>
        </w:tc>
        <w:tc>
          <w:tcPr>
            <w:tcW w:type="dxa" w:w="1728"/>
          </w:tcPr>
          <w:p>
            <w:r>
              <w:rPr>
                <w:rFonts w:ascii="Times New Roman" w:hAnsi="Times New Roman"/>
                <w:sz w:val="18"/>
              </w:rPr>
              <w:t>6.0</w:t>
            </w:r>
          </w:p>
        </w:tc>
        <w:tc>
          <w:tcPr>
            <w:tcW w:type="dxa" w:w="1728"/>
          </w:tcPr>
          <w:p>
            <w:r>
              <w:rPr>
                <w:rFonts w:ascii="Times New Roman" w:hAnsi="Times New Roman"/>
                <w:sz w:val="18"/>
              </w:rPr>
              <w:t>m/s</w:t>
            </w:r>
          </w:p>
        </w:tc>
        <w:tc>
          <w:tcPr>
            <w:tcW w:type="dxa" w:w="1728"/>
          </w:tcPr>
          <w:p>
            <w:r>
              <w:rPr>
                <w:rFonts w:ascii="Times New Roman" w:hAnsi="Times New Roman"/>
                <w:sz w:val="18"/>
              </w:rPr>
              <w:t>NFPC</w:t>
            </w:r>
          </w:p>
        </w:tc>
      </w:tr>
      <w:tr>
        <w:tc>
          <w:tcPr>
            <w:tcW w:type="dxa" w:w="1728"/>
          </w:tcPr>
          <w:p>
            <w:r>
              <w:rPr>
                <w:rFonts w:ascii="Times New Roman" w:hAnsi="Times New Roman"/>
                <w:sz w:val="18"/>
              </w:rPr>
              <w:t>Max. cross-main velocity</w:t>
            </w:r>
          </w:p>
        </w:tc>
        <w:tc>
          <w:tcPr>
            <w:tcW w:type="dxa" w:w="1728"/>
          </w:tcPr>
          <w:p>
            <w:r>
              <w:rPr>
                <w:rFonts w:ascii="Times New Roman" w:hAnsi="Times New Roman"/>
                <w:sz w:val="18"/>
              </w:rPr>
              <w:t>V_max,cm</w:t>
            </w:r>
          </w:p>
        </w:tc>
        <w:tc>
          <w:tcPr>
            <w:tcW w:type="dxa" w:w="1728"/>
          </w:tcPr>
          <w:p>
            <w:r>
              <w:rPr>
                <w:rFonts w:ascii="Times New Roman" w:hAnsi="Times New Roman"/>
                <w:sz w:val="18"/>
              </w:rPr>
              <w:t>10.0</w:t>
            </w:r>
          </w:p>
        </w:tc>
        <w:tc>
          <w:tcPr>
            <w:tcW w:type="dxa" w:w="1728"/>
          </w:tcPr>
          <w:p>
            <w:r>
              <w:rPr>
                <w:rFonts w:ascii="Times New Roman" w:hAnsi="Times New Roman"/>
                <w:sz w:val="18"/>
              </w:rPr>
              <w:t>m/s</w:t>
            </w:r>
          </w:p>
        </w:tc>
        <w:tc>
          <w:tcPr>
            <w:tcW w:type="dxa" w:w="1728"/>
          </w:tcPr>
          <w:p>
            <w:r>
              <w:rPr>
                <w:rFonts w:ascii="Times New Roman" w:hAnsi="Times New Roman"/>
                <w:sz w:val="18"/>
              </w:rPr>
              <w:t>NFPC</w:t>
            </w:r>
          </w:p>
        </w:tc>
      </w:tr>
    </w:tbl>
    <w:p/>
    <w:p>
      <w:r>
        <w:br w:type="page"/>
      </w:r>
    </w:p>
    <w:p>
      <w:pPr>
        <w:pStyle w:val="Heading1"/>
      </w:pPr>
      <w:r>
        <w:rPr>
          <w:rFonts w:ascii="Times New Roman" w:hAnsi="Times New Roman"/>
          <w:color w:val="000000"/>
          <w:sz w:val="28"/>
        </w:rPr>
        <w:t>References</w:t>
      </w:r>
    </w:p>
    <w:p>
      <w:pPr>
        <w:pStyle w:val="ListNumber"/>
      </w:pPr>
      <w:r>
        <w:rPr>
          <w:rFonts w:ascii="Times New Roman" w:hAnsi="Times New Roman"/>
          <w:sz w:val="20"/>
        </w:rPr>
        <w:t>Brkić, D. (2011). Review of explicit approximations to the Colebrook relation for flow friction. Journal of Petroleum Science and Engineering, 77(1), 34–48.</w:t>
      </w:r>
    </w:p>
    <w:p>
      <w:pPr>
        <w:pStyle w:val="ListNumber"/>
      </w:pPr>
      <w:r>
        <w:rPr>
          <w:rFonts w:ascii="Times New Roman" w:hAnsi="Times New Roman"/>
          <w:sz w:val="20"/>
        </w:rPr>
        <w:t>Colebrook, C. F. (1939). Turbulent flow in pipes, with particular reference to the transition region between the smooth and rough pipe laws. Journal of the Institution of Civil Engineers, 11(4), 133–156.</w:t>
      </w:r>
    </w:p>
    <w:p>
      <w:pPr>
        <w:pStyle w:val="ListNumber"/>
      </w:pPr>
      <w:r>
        <w:rPr>
          <w:rFonts w:ascii="Times New Roman" w:hAnsi="Times New Roman"/>
          <w:sz w:val="20"/>
        </w:rPr>
        <w:t>Cross, H. (1936). Analysis of flow in networks of conduits or conductors. Bulletin No. 286, University of Illinois Engineering Experiment Station.</w:t>
      </w:r>
    </w:p>
    <w:p>
      <w:pPr>
        <w:pStyle w:val="ListNumber"/>
      </w:pPr>
      <w:r>
        <w:rPr>
          <w:rFonts w:ascii="Times New Roman" w:hAnsi="Times New Roman"/>
          <w:sz w:val="20"/>
        </w:rPr>
        <w:t>Idelchik, I. E. (1986). Handbook of Hydraulic Resistance, 2nd ed. Hemisphere Publishing.</w:t>
      </w:r>
    </w:p>
    <w:p>
      <w:pPr>
        <w:pStyle w:val="ListNumber"/>
      </w:pPr>
      <w:r>
        <w:rPr>
          <w:rFonts w:ascii="Times New Roman" w:hAnsi="Times New Roman"/>
          <w:sz w:val="20"/>
        </w:rPr>
        <w:t>Moody, L. F. (1944). Friction factors for pipe flow. Transactions of the ASME, 66(8), 671–684.</w:t>
      </w:r>
    </w:p>
    <w:p>
      <w:pPr>
        <w:pStyle w:val="ListNumber"/>
      </w:pPr>
      <w:r>
        <w:rPr>
          <w:rFonts w:ascii="Times New Roman" w:hAnsi="Times New Roman"/>
          <w:sz w:val="20"/>
        </w:rPr>
        <w:t>Swamee, P. K., &amp; Jain, A. K. (1976). Explicit equations for pipe-flow problems. Journal of the Hydraulics Division, 102(5), 657–664.</w:t>
      </w:r>
    </w:p>
    <w:p>
      <w:pPr>
        <w:pStyle w:val="ListNumber"/>
      </w:pPr>
      <w:r>
        <w:rPr>
          <w:rFonts w:ascii="Times New Roman" w:hAnsi="Times New Roman"/>
          <w:sz w:val="20"/>
        </w:rPr>
        <w:t>National Fire Protection Code (NFPC), Republic of Korea.</w:t>
      </w:r>
    </w:p>
    <w:p>
      <w:pPr>
        <w:pStyle w:val="ListNumber"/>
      </w:pPr>
      <w:r>
        <w:rPr>
          <w:rFonts w:ascii="Times New Roman" w:hAnsi="Times New Roman"/>
          <w:sz w:val="20"/>
        </w:rPr>
        <w:t>National Fire Safety Code 103 (NFSC 103): Sprinkler system design standards, Republic of Korea.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