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Allianz Facility - PD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依目前上線版本整理，只列此 Facility 的 Property 選用、固定條款及日期差異；全險種共用的建帳、收付、銷帳、權限與理賠流程不重列。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險種須為 Property，再保人須為 Allianz Global Corporate &amp; Specialty SE, Hong Kong Branch (Facility)。本文件以 PD 稱呼系統的 Property；判斷以 Class of Business 為準。</w:t>
      </w:r>
    </w:p>
    <w:p>
      <w:pPr>
        <w:pStyle w:val="Normal"/>
      </w:pPr>
      <w:r>
        <w:t xml:space="preserve">Property 的 QS、XOL 均可適用。非 Property 不提供這家 Facility；已選用後若要切換其他險種，須先移除 Allianz，系統保留已填資料並阻擋不符組合。</w:t>
      </w:r>
    </w:p>
    <w:p>
      <w:pPr>
        <w:pStyle w:val="Heading1"/>
      </w:pPr>
      <w:bookmarkStart w:id="2" w:name="heading_2"/>
      <w:r>
        <w:t xml:space="preserve">二、Property 固定條款</w:t>
      </w:r>
      <w:bookmarkEnd w:id="2"/>
    </w:p>
    <w:p>
      <w:pPr>
        <w:pStyle w:val="Normal"/>
      </w:pPr>
      <w:r>
        <w:t xml:space="preserve">目前主檔對 Allianz Facility 的 Property 指定以下19項固定條款。名稱依目前條款主檔原文列示；沒有獨立條款主檔者，沿用 Facility 所指定的名稱。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ALLIANZ_SANCTION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Allianz Standard Sanction Clause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CLAIMS_COOP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Claims Co-operation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EXCL_ECO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Exclude Extra Contractual Obligation, declaratory judgement expenses and loss in excess of policy limits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EXCL_NPDBI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Exclude Non-Physical Damage Business Interruption and Contingent BI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EXCL_OFFSHORE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Exclude Offshore Risks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EX-GRATIA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Excluding Ex-Gratia and without prejudice payments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FOLLOW_FORTUNES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Follow Fortunes Clause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FUNGI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Fungi Coverage Limitation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LMA5018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LMA5018 Micro-Organism Exclusion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LMA5019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LMA5019 Asbestos Endorsement</w:t>
            </w:r>
          </w:p>
        </w:tc>
      </w:tr>
    </w:tbl>
    <w:p>
      <w:pPr>
        <w:pStyle w:val="TableSpacer"/>
      </w:pPr>
      <w:r>
        <w:t xml:space="preserve"/>
      </w:r>
    </w:p>
    <w:p>
      <w:pPr>
        <w:pageBreakBefore/>
        <w:pStyle w:val="Heading1"/>
      </w:pPr>
      <w:bookmarkStart w:id="3" w:name="heading_3"/>
      <w:r>
        <w:t xml:space="preserve">二、Property 固定條款（續）</w:t>
      </w:r>
      <w:bookmarkEnd w:id="3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LMA5393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LMA5393 Communicable Disease Endorsement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LMA5401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LMA5401 Property Cyber and Data Exclusion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LPO438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LPO438 Simultaneous Settlements Clause (Reinsurance)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NMA1622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NMA1622 Radioactive Contamination and Explosive Nuclear Assemblies Exclusion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NMA2560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NMA2560 Seepage and/or Pollution and/or Contamination Exclusion Clause + Industries Seepage(amended), Pollution and Contamination Clause no. 3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NMA2919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NMA2919 War and Terrorism Exclusion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NMA2962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NMA2962 Chemical and Biological Exclusion Clause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NUCLEAR_ENERGY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Nuclear Energy Risks Exclusion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PROP_FAC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Proportional Facultative Reinsurance Clause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bookmarkStart w:id="4" w:name="heading_4"/>
      <w:r>
        <w:t xml:space="preserve">三、Allianz PD 日期重點</w:t>
      </w:r>
      <w:bookmarkEnd w:id="4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w="2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帳款對象</w:t>
            </w:r>
          </w:p>
        </w:tc>
        <w:tc>
          <w:tcPr>
            <w:tcW w:w="31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提醒日</w:t>
            </w:r>
          </w:p>
        </w:tc>
        <w:tc>
          <w:tcPr>
            <w:tcW w:w="31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約定期限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top"/>
          </w:tcPr>
          <w:p>
            <w:pPr>
              <w:pStyle w:val="TableText"/>
            </w:pPr>
            <w:r>
              <w:t xml:space="preserve">保險公司端（Cedant）</w:t>
            </w:r>
          </w:p>
        </w:tc>
        <w:tc>
          <w:tcPr>
            <w:tcW w:w="3150" w:type="dxa"/>
            <w:shd w:fill="FFFFFF"/>
            <w:vAlign w:val="top"/>
          </w:tcPr>
          <w:p>
            <w:pPr>
              <w:pStyle w:val="TableText"/>
            </w:pPr>
            <w:r>
              <w:t xml:space="preserve">基準日 B＋75天</w:t>
            </w:r>
          </w:p>
        </w:tc>
        <w:tc>
          <w:tcPr>
            <w:tcW w:w="3150" w:type="dxa"/>
            <w:shd w:fill="FFFFFF"/>
            <w:vAlign w:val="top"/>
          </w:tcPr>
          <w:p>
            <w:pPr>
              <w:pStyle w:val="TableText"/>
            </w:pPr>
            <w:r>
              <w:t xml:space="preserve">基準日 B＋90天</w:t>
            </w:r>
          </w:p>
        </w:tc>
      </w:tr>
      <w:tr>
        <w:trPr>
          <w:cantSplit/>
        </w:trPr>
        <w:tc>
          <w:tcPr>
            <w:tcW w:w="2700" w:type="dxa"/>
            <w:shd w:fill="F1F5F8"/>
            <w:vAlign w:val="top"/>
          </w:tcPr>
          <w:p>
            <w:pPr>
              <w:pStyle w:val="TableText"/>
            </w:pPr>
            <w:r>
              <w:t xml:space="preserve">Allianz 保費及退保費</w:t>
            </w:r>
          </w:p>
        </w:tc>
        <w:tc>
          <w:tcPr>
            <w:tcW w:w="3150" w:type="dxa"/>
            <w:shd w:fill="F1F5F8"/>
            <w:vAlign w:val="top"/>
          </w:tcPr>
          <w:p>
            <w:pPr>
              <w:pStyle w:val="TableText"/>
            </w:pPr>
            <w:r>
              <w:t xml:space="preserve">基準月份月底 M＋80天</w:t>
            </w:r>
          </w:p>
        </w:tc>
        <w:tc>
          <w:tcPr>
            <w:tcW w:w="3150" w:type="dxa"/>
            <w:shd w:fill="F1F5F8"/>
            <w:vAlign w:val="top"/>
          </w:tcPr>
          <w:p>
            <w:pPr>
              <w:pStyle w:val="TableText"/>
            </w:pPr>
            <w:r>
              <w:t xml:space="preserve">同一月底 M＋90天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Allianz PD 組合的保險公司收款天數固定90天；Allianz 端的90天則由基準月份月底起算。兩端起算點不同，提醒日與到期日須分開看。</w:t>
      </w:r>
    </w:p>
    <w:p>
      <w:pPr>
        <w:pStyle w:val="Note"/>
      </w:pPr>
      <w:r>
        <w:t xml:space="preserve">本文公式均採日曆天，週末及假日不另行順延。Allianz 的＋80天為開始提醒日期，實際匯款另行安排，約定期限仍是月底＋90天。</w:t>
      </w:r>
    </w:p>
    <w:p>
      <w:pPr>
        <w:pStyle w:val="Heading1"/>
      </w:pPr>
      <w:bookmarkStart w:id="5" w:name="heading_5"/>
      <w:r>
        <w:t xml:space="preserve">四、Accounting 的 Allianz 專屬日期</w:t>
      </w:r>
      <w:bookmarkEnd w:id="5"/>
    </w:p>
    <w:p>
      <w:pPr>
        <w:pStyle w:val="Normal"/>
      </w:pPr>
      <w:r>
        <w:t xml:space="preserve">Allianz 帳款列的 Accounting 顯示月底＋80天提醒日，Contract／Allianz due 顯示月底＋90天約定期限。分期按各期 Payment Base Date 分開顯示，付款天數固定90天。</w:t>
      </w:r>
    </w:p>
    <w:p>
      <w:pPr>
        <w:pStyle w:val="Note"/>
      </w:pPr>
      <w:r>
        <w:t xml:space="preserve">核對時間：2026/10/29 10:21（台灣時間）。依正式執行中程式、Accounting 畫面及 Allianz Facility 主檔整理；日期例子均為合成案例。本次僅更新指南。</w:t>
      </w:r>
    </w:p>
    <w:p>
      <w:pPr>
        <w:pageBreakBefore/>
        <w:pStyle w:val="Heading1"/>
      </w:pPr>
      <w:bookmarkStart w:id="6" w:name="heading_6"/>
      <w:r>
        <w:t xml:space="preserve">五、結算基準與歸屬月份</w:t>
      </w:r>
      <w:bookmarkEnd w:id="6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款項類型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 B／Allianz 基準月份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原保單／續保保費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以保單生效日所在月份，取該月實際月底。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各期以自己的 Payment Base Date 所在月份，分別取月底。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加費批單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批改生效日與成功 Announce 的台灣日期，取較晚日期所在月份。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退費／退保批單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同樣取批改／退保生效日與成功 Announce 的台灣日期較晚者所在月份；退款亦採月底＋80天提醒、＋90天期限。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混合再保人案件的月底公式只用於 Allianz 該列；其他再保人仍按各自規則計算。</w:t>
      </w:r>
    </w:p>
    <w:p>
      <w:pPr>
        <w:pStyle w:val="Heading1"/>
      </w:pPr>
      <w:bookmarkStart w:id="7" w:name="heading_7"/>
      <w:r>
        <w:t xml:space="preserve">六、日期例子</w:t>
      </w:r>
      <w:bookmarkEnd w:id="7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00"/>
        <w:gridCol w:w="2100"/>
        <w:gridCol w:w="2100"/>
      </w:tblGrid>
      <w:tr>
        <w:trPr>
          <w:cantSplit/>
          <w:tblHeader/>
        </w:trPr>
        <w:tc>
          <w:tcPr>
            <w:tcW w:w="4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</w:t>
            </w:r>
          </w:p>
        </w:tc>
        <w:tc>
          <w:tcPr>
            <w:tcW w:w="2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Allianz 提醒日</w:t>
            </w:r>
          </w:p>
        </w:tc>
        <w:tc>
          <w:tcPr>
            <w:tcW w:w="2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Allianz 到期日</w:t>
            </w:r>
          </w:p>
        </w:tc>
      </w:tr>
      <w:tr>
        <w:trPr>
          <w:cantSplit/>
        </w:trPr>
        <w:tc>
          <w:tcPr>
            <w:tcW w:w="4800" w:type="dxa"/>
            <w:shd w:fill="FFFFFF"/>
            <w:vAlign w:val="top"/>
          </w:tcPr>
          <w:p>
            <w:pPr>
              <w:pStyle w:val="TableText"/>
            </w:pPr>
            <w:r>
              <w:t xml:space="preserve">2026/01/01～01/31生效的原單／續保，基準月底為01/31。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2026/04/21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2026/05/01</w:t>
            </w:r>
          </w:p>
        </w:tc>
      </w:tr>
      <w:tr>
        <w:trPr>
          <w:cantSplit/>
        </w:trPr>
        <w:tc>
          <w:tcPr>
            <w:tcW w:w="4800" w:type="dxa"/>
            <w:shd w:fill="F1F5F8"/>
            <w:vAlign w:val="top"/>
          </w:tcPr>
          <w:p>
            <w:pPr>
              <w:pStyle w:val="TableText"/>
            </w:pPr>
            <w:r>
              <w:t xml:space="preserve">某分期的 Payment Base Date 為2026/02/10，基準月底為02/28。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2026/05/19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2026/05/29</w:t>
            </w:r>
          </w:p>
        </w:tc>
      </w:tr>
      <w:tr>
        <w:trPr>
          <w:cantSplit/>
        </w:trPr>
        <w:tc>
          <w:tcPr>
            <w:tcW w:w="4800" w:type="dxa"/>
            <w:shd w:fill="FFFFFF"/>
            <w:vAlign w:val="top"/>
          </w:tcPr>
          <w:p>
            <w:pPr>
              <w:pStyle w:val="TableText"/>
            </w:pPr>
            <w:r>
              <w:t xml:space="preserve">加費或退費：生效日2026/01/20，成功 Announce 的台灣日期2026/02/03，採02月底。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2026/05/19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2026/05/29</w:t>
            </w:r>
          </w:p>
        </w:tc>
      </w:tr>
      <w:tr>
        <w:trPr>
          <w:cantSplit/>
        </w:trPr>
        <w:tc>
          <w:tcPr>
            <w:tcW w:w="4800" w:type="dxa"/>
            <w:shd w:fill="F1F5F8"/>
            <w:vAlign w:val="top"/>
          </w:tcPr>
          <w:p>
            <w:pPr>
              <w:pStyle w:val="TableText"/>
            </w:pPr>
            <w:r>
              <w:t xml:space="preserve">2026/12/20生效，基準月底為12/31，跨年照算。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2027/03/21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2027/03/31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結算點依各基準月份計算；例如2026年1月及2月案件的到期日，分別是05/01與05/29，兩個結算點可落在同一曆月。</w:t>
      </w:r>
    </w:p>
    <w:p>
      <w:pPr>
        <w:pStyle w:val="Heading1"/>
      </w:pPr>
      <w:bookmarkStart w:id="8" w:name="heading_8"/>
      <w:r>
        <w:t xml:space="preserve">七、未清款與延期</w:t>
      </w:r>
      <w:bookmarkEnd w:id="8"/>
    </w:p>
    <w:p>
      <w:pPr>
        <w:pStyle w:val="Normal"/>
      </w:pPr>
      <w:r>
        <w:t xml:space="preserve">保險公司款項未收齊時，Allianz 的原基準月及原到期日維持不變，不自動移到下一個月；目前沒有直接手動指定新結算日、逐期延期或延期同意流程。</w:t>
      </w:r>
    </w:p>
    <w:p>
      <w:pPr>
        <w:pStyle w:val="Normal"/>
      </w:pPr>
      <w:r>
        <w:t xml:space="preserve">超過原月底＋90天仍未付清，依原期限顯示逾期。補登較晚的實際收付款日期，也不會重算 Allianz 原結算日。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Allianz Facility · Property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Allianz Facility - PD 專屬規則</dc:title>
  <dc:creator>Reinsurance Department System</dc:creator>
  <dc:description>Allianz Facility - PD 專屬規則；2026-10-29</dc:description>
  <dcterms:created xsi:type="dcterms:W3CDTF">2026-10-29T02:21:32.758358+00:00</dcterms:created>
</cp:coreProperties>
</file>