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Great American Facility - PD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依目前上線版本整理。只列本 Facility 的 Property 差異及適用的 Facility 固定條件；日期範例均為合成案例。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再保人須為 Great American Insurance Company, Singapore Branch (Facility)，險種為 Property。本文件以 PD 稱呼；不套用至同名但未含「(Facility)」的一般再保人。</w:t>
      </w:r>
    </w:p>
    <w:p>
      <w:pPr>
        <w:pStyle w:val="Normal"/>
      </w:pPr>
      <w:r>
        <w:t xml:space="preserve">本 Facility 僅可選 Property，QS、XOL 均可適用。與其他再保人共同參與時，Great American 的再保人保費及退保費採本文件的曆年季末規則。</w:t>
      </w:r>
    </w:p>
    <w:p>
      <w:pPr>
        <w:pStyle w:val="Heading1"/>
      </w:pPr>
      <w:bookmarkStart w:id="2" w:name="heading_2"/>
      <w:r>
        <w:t xml:space="preserve">二、Property 固定條款</w:t>
      </w:r>
      <w:bookmarkEnd w:id="2"/>
    </w:p>
    <w:p>
      <w:pPr>
        <w:pStyle w:val="Normal"/>
      </w:pPr>
      <w:r>
        <w:t xml:space="preserve">目前 Great American Facility 主檔對 Property 指定以下12項固定條款；名稱按現行 Clause 主檔原文列示。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EX-GRATIA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Excluding Ex-Gratia and without prejudice payments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FOLLOW_FORTUNES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Follow Fortunes Clause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LMA3100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LMA3100 Sanctions Limitations and Exclusion Clause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LMA5018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LMA5018 Micro-Organism Exclusion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LMA5019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LMA5019 Asbestos Endorsement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LMA5393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LMA5393 Communicable Disease Endorsement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LMA5411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LMA5411 Cyber Loss Exclusion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LPO438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LPO438 Simultaneous Settlements Clause (Reinsurance)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NMA1622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NMA1622 Radioactive Contamination and Explosive Nuclear Assemblies Exclusion Clause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NMA2919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NMA2919 War and Terrorism Exclusion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top"/>
          </w:tcPr>
          <w:p>
            <w:pPr>
              <w:pStyle w:val="TableText"/>
            </w:pPr>
            <w:r>
              <w:t xml:space="preserve">NMA2962</w:t>
            </w:r>
          </w:p>
        </w:tc>
        <w:tc>
          <w:tcPr>
            <w:tcW w:w="6800" w:type="dxa"/>
            <w:shd w:fill="FFFFFF"/>
            <w:vAlign w:val="top"/>
          </w:tcPr>
          <w:p>
            <w:pPr>
              <w:pStyle w:val="TableText"/>
            </w:pPr>
            <w:r>
              <w:t xml:space="preserve">NMA2962 Chemical and Biological Exclusion Clause</w:t>
            </w:r>
          </w:p>
        </w:tc>
      </w:tr>
      <w:tr>
        <w:trPr>
          <w:cantSplit/>
        </w:trPr>
        <w:tc>
          <w:tcPr>
            <w:tcW w:w="2200" w:type="dxa"/>
            <w:shd w:fill="F1F5F8"/>
            <w:vAlign w:val="top"/>
          </w:tcPr>
          <w:p>
            <w:pPr>
              <w:pStyle w:val="TableText"/>
            </w:pPr>
            <w:r>
              <w:t xml:space="preserve">PROP_FAC</w:t>
            </w:r>
          </w:p>
        </w:tc>
        <w:tc>
          <w:tcPr>
            <w:tcW w:w="6800" w:type="dxa"/>
            <w:shd w:fill="F1F5F8"/>
            <w:vAlign w:val="top"/>
          </w:tcPr>
          <w:p>
            <w:pPr>
              <w:pStyle w:val="TableText"/>
            </w:pPr>
            <w:r>
              <w:t xml:space="preserve">Proportional Facultative Reinsurance Clause</w:t>
            </w:r>
          </w:p>
        </w:tc>
      </w:tr>
    </w:tbl>
    <w:p>
      <w:pPr>
        <w:pStyle w:val="TableSpacer"/>
      </w:pPr>
      <w:r>
        <w:t xml:space="preserve"/>
      </w:r>
    </w:p>
    <w:p>
      <w:pPr>
        <w:pageBreakBefore/>
        <w:pStyle w:val="Heading1"/>
      </w:pPr>
      <w:bookmarkStart w:id="3" w:name="heading_3"/>
      <w:r>
        <w:t xml:space="preserve">三、日期與固定天數</w:t>
      </w:r>
      <w:bookmarkEnd w:id="3"/>
    </w:p>
    <w:p>
      <w:pPr>
        <w:pStyle w:val="Normal"/>
      </w:pPr>
      <w:r>
        <w:t xml:space="preserve">B 為該筆保費的基準日；Q 為 B 所在曆年季度的最後一天。保險公司端按 B 起算，Great American 端按 Q 起算。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00"/>
        <w:gridCol w:w="2950"/>
        <w:gridCol w:w="2950"/>
      </w:tblGrid>
      <w:tr>
        <w:trPr>
          <w:cantSplit/>
          <w:tblHeader/>
        </w:trPr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畫面提醒日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約定到期日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保險公司（Cedant）端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B＋75 個日曆天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B＋90 個日曆天</w:t>
            </w:r>
          </w:p>
        </w:tc>
      </w:tr>
      <w:tr>
        <w:trPr>
          <w:cantSplit/>
        </w:trPr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Great American 保費／退保費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Q＋80 個日曆天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Q＋90 個日曆天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Cedant Collection Days 固定90天；Great American 的 Payment Terms 固定90天，實際期限須先取季末再加90天。原單、各期及批單均沿用此固定天數，不能改用自訂付款天數。Accounting 以「Great American due」標示原到期日。</w:t>
      </w:r>
    </w:p>
    <w:p>
      <w:pPr>
        <w:pStyle w:val="Heading2"/>
      </w:pPr>
      <w:bookmarkStart w:id="4" w:name="heading_4"/>
      <w:r>
        <w:t xml:space="preserve">曆年季度與2026年日期</w:t>
      </w:r>
      <w:bookmarkEnd w:id="4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1900"/>
        <w:gridCol w:w="1950"/>
        <w:gridCol w:w="1950"/>
      </w:tblGrid>
      <w:tr>
        <w:trPr>
          <w:cantSplit/>
          <w:tblHeader/>
        </w:trPr>
        <w:tc>
          <w:tcPr>
            <w:tcW w:w="32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 B 所在區間</w:t>
            </w:r>
          </w:p>
        </w:tc>
        <w:tc>
          <w:tcPr>
            <w:tcW w:w="19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季度末 Q</w:t>
            </w:r>
          </w:p>
        </w:tc>
        <w:tc>
          <w:tcPr>
            <w:tcW w:w="1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 提醒日</w:t>
            </w:r>
          </w:p>
        </w:tc>
        <w:tc>
          <w:tcPr>
            <w:tcW w:w="1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 到期日</w:t>
            </w:r>
          </w:p>
        </w:tc>
      </w:tr>
      <w:tr>
        <w:trPr>
          <w:cantSplit/>
        </w:trPr>
        <w:tc>
          <w:tcPr>
            <w:tcW w:w="3200" w:type="dxa"/>
            <w:shd w:fill="FFFFFF"/>
            <w:vAlign w:val="top"/>
          </w:tcPr>
          <w:p>
            <w:pPr>
              <w:pStyle w:val="TableText"/>
            </w:pPr>
            <w:r>
              <w:t xml:space="preserve">2026/01/01～03/31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t xml:space="preserve">2026/03/31</w:t>
            </w:r>
          </w:p>
        </w:tc>
        <w:tc>
          <w:tcPr>
            <w:tcW w:w="1950" w:type="dxa"/>
            <w:shd w:fill="FFFFFF"/>
            <w:vAlign w:val="top"/>
          </w:tcPr>
          <w:p>
            <w:pPr>
              <w:pStyle w:val="TableText"/>
            </w:pPr>
            <w:r>
              <w:t xml:space="preserve">2026/06/19</w:t>
            </w:r>
          </w:p>
        </w:tc>
        <w:tc>
          <w:tcPr>
            <w:tcW w:w="1950" w:type="dxa"/>
            <w:shd w:fill="FFFFFF"/>
            <w:vAlign w:val="top"/>
          </w:tcPr>
          <w:p>
            <w:pPr>
              <w:pStyle w:val="TableText"/>
            </w:pPr>
            <w:r>
              <w:t xml:space="preserve">2026/06/29</w:t>
            </w:r>
          </w:p>
        </w:tc>
      </w:tr>
      <w:tr>
        <w:trPr>
          <w:cantSplit/>
        </w:trPr>
        <w:tc>
          <w:tcPr>
            <w:tcW w:w="3200" w:type="dxa"/>
            <w:shd w:fill="F1F5F8"/>
            <w:vAlign w:val="top"/>
          </w:tcPr>
          <w:p>
            <w:pPr>
              <w:pStyle w:val="TableText"/>
            </w:pPr>
            <w:r>
              <w:t xml:space="preserve">2026/04/01～06/30</w:t>
            </w:r>
          </w:p>
        </w:tc>
        <w:tc>
          <w:tcPr>
            <w:tcW w:w="1900" w:type="dxa"/>
            <w:shd w:fill="F1F5F8"/>
            <w:vAlign w:val="top"/>
          </w:tcPr>
          <w:p>
            <w:pPr>
              <w:pStyle w:val="TableText"/>
            </w:pPr>
            <w:r>
              <w:t xml:space="preserve">2026/06/30</w:t>
            </w:r>
          </w:p>
        </w:tc>
        <w:tc>
          <w:tcPr>
            <w:tcW w:w="1950" w:type="dxa"/>
            <w:shd w:fill="F1F5F8"/>
            <w:vAlign w:val="top"/>
          </w:tcPr>
          <w:p>
            <w:pPr>
              <w:pStyle w:val="TableText"/>
            </w:pPr>
            <w:r>
              <w:t xml:space="preserve">2026/09/18</w:t>
            </w:r>
          </w:p>
        </w:tc>
        <w:tc>
          <w:tcPr>
            <w:tcW w:w="1950" w:type="dxa"/>
            <w:shd w:fill="F1F5F8"/>
            <w:vAlign w:val="top"/>
          </w:tcPr>
          <w:p>
            <w:pPr>
              <w:pStyle w:val="TableText"/>
            </w:pPr>
            <w:r>
              <w:t xml:space="preserve">2026/09/28</w:t>
            </w:r>
          </w:p>
        </w:tc>
      </w:tr>
      <w:tr>
        <w:trPr>
          <w:cantSplit/>
        </w:trPr>
        <w:tc>
          <w:tcPr>
            <w:tcW w:w="3200" w:type="dxa"/>
            <w:shd w:fill="FFFFFF"/>
            <w:vAlign w:val="top"/>
          </w:tcPr>
          <w:p>
            <w:pPr>
              <w:pStyle w:val="TableText"/>
            </w:pPr>
            <w:r>
              <w:t xml:space="preserve">2026/07/01～09/30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t xml:space="preserve">2026/09/30</w:t>
            </w:r>
          </w:p>
        </w:tc>
        <w:tc>
          <w:tcPr>
            <w:tcW w:w="1950" w:type="dxa"/>
            <w:shd w:fill="FFFFFF"/>
            <w:vAlign w:val="top"/>
          </w:tcPr>
          <w:p>
            <w:pPr>
              <w:pStyle w:val="TableText"/>
            </w:pPr>
            <w:r>
              <w:t xml:space="preserve">2026/12/19</w:t>
            </w:r>
          </w:p>
        </w:tc>
        <w:tc>
          <w:tcPr>
            <w:tcW w:w="1950" w:type="dxa"/>
            <w:shd w:fill="FFFFFF"/>
            <w:vAlign w:val="top"/>
          </w:tcPr>
          <w:p>
            <w:pPr>
              <w:pStyle w:val="TableText"/>
            </w:pPr>
            <w:r>
              <w:t xml:space="preserve">2026/12/29</w:t>
            </w:r>
          </w:p>
        </w:tc>
      </w:tr>
      <w:tr>
        <w:trPr>
          <w:cantSplit/>
        </w:trPr>
        <w:tc>
          <w:tcPr>
            <w:tcW w:w="3200" w:type="dxa"/>
            <w:shd w:fill="F1F5F8"/>
            <w:vAlign w:val="top"/>
          </w:tcPr>
          <w:p>
            <w:pPr>
              <w:pStyle w:val="TableText"/>
            </w:pPr>
            <w:r>
              <w:t xml:space="preserve">2026/10/01～12/31</w:t>
            </w:r>
          </w:p>
        </w:tc>
        <w:tc>
          <w:tcPr>
            <w:tcW w:w="1900" w:type="dxa"/>
            <w:shd w:fill="F1F5F8"/>
            <w:vAlign w:val="top"/>
          </w:tcPr>
          <w:p>
            <w:pPr>
              <w:pStyle w:val="TableText"/>
            </w:pPr>
            <w:r>
              <w:t xml:space="preserve">2026/12/31</w:t>
            </w:r>
          </w:p>
        </w:tc>
        <w:tc>
          <w:tcPr>
            <w:tcW w:w="1950" w:type="dxa"/>
            <w:shd w:fill="F1F5F8"/>
            <w:vAlign w:val="top"/>
          </w:tcPr>
          <w:p>
            <w:pPr>
              <w:pStyle w:val="TableText"/>
            </w:pPr>
            <w:r>
              <w:t xml:space="preserve">2027/03/21</w:t>
            </w:r>
          </w:p>
        </w:tc>
        <w:tc>
          <w:tcPr>
            <w:tcW w:w="1950" w:type="dxa"/>
            <w:shd w:fill="F1F5F8"/>
            <w:vAlign w:val="top"/>
          </w:tcPr>
          <w:p>
            <w:pPr>
              <w:pStyle w:val="TableText"/>
            </w:pPr>
            <w:r>
              <w:t xml:space="preserve">2027/03/31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GA 為 Great American 的簡稱。第一季至第四季分別以03/31、06/30、09/30、12/31為季末，不依保單的承保年度重新分季。</w:t>
      </w:r>
    </w:p>
    <w:p>
      <w:pPr>
        <w:pStyle w:val="Heading2"/>
      </w:pPr>
      <w:bookmarkStart w:id="5" w:name="heading_5"/>
      <w:r>
        <w:t xml:space="preserve">跨年、閏年及假日</w:t>
      </w:r>
      <w:bookmarkEnd w:id="5"/>
    </w:p>
    <w:p>
      <w:pPr>
        <w:pStyle w:val="Normal"/>
      </w:pPr>
      <w:r>
        <w:t xml:space="preserve">提醒日與到期日均按實際日曆加天數；遇週末或國定假日不調整。跨年或閏年也照算，因此不是每年固定四個到期日期。</w:t>
      </w:r>
    </w:p>
    <w:p>
      <w:pPr>
        <w:pStyle w:val="Normal"/>
      </w:pPr>
      <w:r>
        <w:t xml:space="preserve">例如2027年第四季：季末為2027/12/31，提醒日為2028/03/20，到期日為2028/03/30；下一年為閏年，不能直接套成03/31。</w:t>
      </w:r>
    </w:p>
    <w:p>
      <w:pPr>
        <w:pStyle w:val="Heading2"/>
      </w:pPr>
      <w:bookmarkStart w:id="6" w:name="heading_6"/>
      <w:r>
        <w:t xml:space="preserve">原期限與逾期</w:t>
      </w:r>
      <w:bookmarkEnd w:id="6"/>
    </w:p>
    <w:p>
      <w:pPr>
        <w:pStyle w:val="Normal"/>
      </w:pPr>
      <w:r>
        <w:t xml:space="preserve">未收妥 Cedant 款項不會把 Great American 原季別或原到期日往後順延；超過原到期日且款項仍未完成時，依原期限顯示逾期。Great American 沒有另設自動延至下一季或延期申請／同意流程。</w:t>
      </w:r>
    </w:p>
    <w:p>
      <w:pPr>
        <w:pageBreakBefore/>
        <w:pStyle w:val="Heading1"/>
      </w:pPr>
      <w:bookmarkStart w:id="7" w:name="heading_7"/>
      <w:r>
        <w:t xml:space="preserve">四、原單、分期與批單的歸季</w:t>
      </w:r>
      <w:bookmarkEnd w:id="7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00"/>
        <w:gridCol w:w="6100"/>
      </w:tblGrid>
      <w:tr>
        <w:trPr>
          <w:cantSplit/>
          <w:tblHeader/>
        </w:trPr>
        <w:tc>
          <w:tcPr>
            <w:tcW w:w="29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案件情況</w:t>
            </w:r>
          </w:p>
        </w:tc>
        <w:tc>
          <w:tcPr>
            <w:tcW w:w="6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 B 的取法</w:t>
            </w:r>
          </w:p>
        </w:tc>
      </w:tr>
      <w:tr>
        <w:trPr>
          <w:cantSplit/>
        </w:trPr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t xml:space="preserve">原單／續保（未分期）</w:t>
            </w:r>
          </w:p>
        </w:tc>
        <w:tc>
          <w:tcPr>
            <w:tcW w:w="6100" w:type="dxa"/>
            <w:shd w:fill="FFFFFF"/>
            <w:vAlign w:val="top"/>
          </w:tcPr>
          <w:p>
            <w:pPr>
              <w:pStyle w:val="TableText"/>
            </w:pPr>
            <w:r>
              <w:t xml:space="preserve">保單生效日。</w:t>
            </w:r>
          </w:p>
        </w:tc>
      </w:tr>
      <w:tr>
        <w:trPr>
          <w:cantSplit/>
        </w:trPr>
        <w:tc>
          <w:tcPr>
            <w:tcW w:w="2900" w:type="dxa"/>
            <w:shd w:fill="F1F5F8"/>
            <w:vAlign w:val="top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6100" w:type="dxa"/>
            <w:shd w:fill="F1F5F8"/>
            <w:vAlign w:val="top"/>
          </w:tcPr>
          <w:p>
            <w:pPr>
              <w:pStyle w:val="TableText"/>
            </w:pPr>
            <w:r>
              <w:t xml:space="preserve">各期自己的 Payment Base Date；每期分別判斷所屬季度。</w:t>
            </w:r>
          </w:p>
        </w:tc>
      </w:tr>
      <w:tr>
        <w:trPr>
          <w:cantSplit/>
        </w:trPr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t xml:space="preserve">加費／退費批單</w:t>
            </w:r>
          </w:p>
        </w:tc>
        <w:tc>
          <w:tcPr>
            <w:tcW w:w="610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批改生效日與實際成功 Announce 的台灣日期，取較晚者；再取其所在曆年季末。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批單尚未成功 Announce 或缺少有效日期時，季末及期限列待確認；系統不以草稿建立日代替實際 Announce 日。</w:t>
      </w:r>
    </w:p>
    <w:p>
      <w:pPr>
        <w:pStyle w:val="Heading2"/>
      </w:pPr>
      <w:bookmarkStart w:id="8" w:name="heading_8"/>
      <w:r>
        <w:t xml:space="preserve">日期例子</w:t>
      </w:r>
      <w:bookmarkEnd w:id="8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900"/>
        <w:gridCol w:w="5100"/>
      </w:tblGrid>
      <w:tr>
        <w:trPr>
          <w:cantSplit/>
          <w:tblHeader/>
        </w:trPr>
        <w:tc>
          <w:tcPr>
            <w:tcW w:w="39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</w:t>
            </w:r>
          </w:p>
        </w:tc>
        <w:tc>
          <w:tcPr>
            <w:tcW w:w="5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Great American 歸季及期限</w:t>
            </w:r>
          </w:p>
        </w:tc>
      </w:tr>
      <w:tr>
        <w:trPr>
          <w:cantSplit/>
        </w:trPr>
        <w:tc>
          <w:tcPr>
            <w:tcW w:w="3900" w:type="dxa"/>
            <w:shd w:fill="FFFFFF"/>
            <w:vAlign w:val="top"/>
          </w:tcPr>
          <w:p>
            <w:pPr>
              <w:pStyle w:val="TableText"/>
            </w:pPr>
            <w:r>
              <w:t xml:space="preserve">保單2026/03/20生效。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pStyle w:val="TableText"/>
            </w:pPr>
            <w:r>
              <w:t xml:space="preserve">歸2026年第一季，季末03/31；06/19提醒、06/29到期。Cedant 自03/20加90天，到期日為06/18。</w:t>
            </w:r>
          </w:p>
        </w:tc>
      </w:tr>
      <w:tr>
        <w:trPr>
          <w:cantSplit/>
        </w:trPr>
        <w:tc>
          <w:tcPr>
            <w:tcW w:w="3900" w:type="dxa"/>
            <w:shd w:fill="F1F5F8"/>
            <w:vAlign w:val="top"/>
          </w:tcPr>
          <w:p>
            <w:pPr>
              <w:pStyle w:val="TableText"/>
            </w:pPr>
            <w:r>
              <w:t xml:space="preserve">同案第一期基準日03/31，第二期04/01。</w:t>
            </w:r>
          </w:p>
        </w:tc>
        <w:tc>
          <w:tcPr>
            <w:tcW w:w="5100" w:type="dxa"/>
            <w:shd w:fill="F1F5F8"/>
            <w:vAlign w:val="top"/>
          </w:tcPr>
          <w:p>
            <w:pPr>
              <w:pStyle w:val="TableText"/>
            </w:pPr>
            <w:r>
              <w:t xml:space="preserve">第一期歸第一季，06/29到期；第二期歸第二季，09/28到期。依各期基準日判斷。</w:t>
            </w:r>
          </w:p>
        </w:tc>
      </w:tr>
      <w:tr>
        <w:trPr>
          <w:cantSplit/>
        </w:trPr>
        <w:tc>
          <w:tcPr>
            <w:tcW w:w="390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批改生效日03/31；成功 Announce 為2026/03/31 17:00 UTC，即台灣04/01 01:00。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pStyle w:val="TableText"/>
            </w:pPr>
            <w:r>
              <w:t xml:space="preserve">B 取04/01，歸第二季；09/18提醒、09/28到期。Cedant 自04/01加90天，到期日為06/30。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bookmarkStart w:id="9" w:name="heading_9"/>
      <w:r>
        <w:t xml:space="preserve">五、退保費的兩端期限</w:t>
      </w:r>
      <w:bookmarkEnd w:id="9"/>
    </w:p>
    <w:p>
      <w:pPr>
        <w:pStyle w:val="Normal"/>
      </w:pPr>
      <w:r>
        <w:t xml:space="preserve">Great American 應退回的保費，依同一批單 B 所在季末＋90天為原應收期限，季末＋80天開始畫面提醒。保險公司端則維持 B＋90天的應退款期限及 B＋75天提醒；兩端不是同一個到期日。</w:t>
      </w:r>
    </w:p>
    <w:p>
      <w:pPr>
        <w:pStyle w:val="Normal"/>
      </w:pPr>
      <w:r>
        <w:t xml:space="preserve">例如批改生效日與成功 Announce 台灣日期均為2026/05/01：Cedant 端07/15提醒、07/30到期；Great American 端09/18提醒、09/28到期。Great American 的退款季結較晚，不會把 Cedant 端期限一併延至09/28。</w:t>
      </w:r>
    </w:p>
    <w:p>
      <w:pPr>
        <w:pStyle w:val="Heading2"/>
      </w:pPr>
      <w:bookmarkStart w:id="10" w:name="heading_10"/>
      <w:r>
        <w:t xml:space="preserve">版本依據</w:t>
      </w:r>
      <w:bookmarkEnd w:id="10"/>
    </w:p>
    <w:p>
      <w:pPr>
        <w:pStyle w:val="Note"/>
      </w:pPr>
      <w:r>
        <w:t xml:space="preserve">核對時間：2026/10/29 10:14（台灣時間）。依執行中後端、目前部署的 Accounting 畫面及 Great American Facility／Clause 主檔整理；本次僅更新指南，不調整業務規則。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Great American Facility · Property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 American Facility - PD 專屬規則</dc:title>
  <dc:creator>Reinsurance Department System</dc:creator>
  <dc:description>目前 VM 完整說明；2026-10-29</dc:description>
  <dcterms:created xsi:type="dcterms:W3CDTF">2026-10-29T02:14:00.925085+00:00</dcterms:created>
</cp:coreProperties>
</file>