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Reinsurance Department System</w:t>
      </w:r>
    </w:p>
    <w:p>
      <w:pPr>
        <w:pStyle w:val="Title"/>
      </w:pPr>
      <w:r>
        <w:t xml:space="preserve">MDM 主檔管理說明</w:t>
      </w:r>
    </w:p>
    <w:p>
      <w:pPr>
        <w:pStyle w:val="Subtitle"/>
      </w:pPr>
      <w:r>
        <w:t xml:space="preserve">目前 VM 完整說明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00"/>
        <w:gridCol w:w="7100"/>
      </w:tblGrid>
      <w:tr>
        <w:trPr>
          <w:cantSplit/>
          <w:tblHeader/>
        </w:trPr>
        <w:tc>
          <w:tcPr>
            <w:tcW w:w="1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文件資訊</w:t>
            </w:r>
          </w:p>
        </w:tc>
        <w:tc>
          <w:tcPr>
            <w:tcW w:w="7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版本日期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2026-10-27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現況核對時間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2026-10-27 23:33:54（台灣時間）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公告核對期間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2026-10-21 09:11 至本次核對時間；本文為完整現況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資料來源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VM 實際資料庫中繼資料、執行中容器、部署原始碼及設定。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適用系統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http://ri-dev.tw-insure.com（公司 VM 正式系統）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文件範圍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包含畫面、後端規則、儲存結構、權限及維護事項。內容只說明目前部署現況。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閱讀方式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欄位及型態以資料庫為準；API 名稱使用 camelCase，SQL 欄位使用 snake_case。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te"/>
      </w:pPr>
      <w:r>
        <w:t xml:space="preserve">文件不含帳號密碼、金鑰、SMTP 憑證或實際案件資料。</w:t>
      </w:r>
    </w:p>
    <w:p>
      <w:r>
        <w:br w:type="page"/>
      </w:r>
    </w:p>
    <w:p>
      <w:pPr>
        <w:pStyle w:val="Heading1"/>
      </w:pPr>
      <w:bookmarkStart w:id="1" w:name="contents"/>
      <w:r>
        <w:t xml:space="preserve">目錄</w:t>
      </w:r>
      <w:bookmarkEnd w:id="1"/>
    </w:p>
    <w:p>
      <w:pPr>
        <w:pStyle w:val="TOC1"/>
      </w:pPr>
      <w:hyperlink w:anchor="sec1">
        <w:r>
          <w:rPr>
            <w:color w:val="245C80"/>
          </w:rPr>
          <w:t xml:space="preserve">1. 主檔架構與目前狀態</w:t>
        </w:r>
      </w:hyperlink>
    </w:p>
    <w:p>
      <w:pPr>
        <w:pStyle w:val="TOC1"/>
      </w:pPr>
      <w:hyperlink w:anchor="sec2">
        <w:r>
          <w:rPr>
            <w:color w:val="245C80"/>
          </w:rPr>
          <w:t xml:space="preserve">2. 六類業務主檔欄位</w:t>
        </w:r>
      </w:hyperlink>
    </w:p>
    <w:p>
      <w:pPr>
        <w:pStyle w:val="TOC1"/>
      </w:pPr>
      <w:hyperlink w:anchor="sec3">
        <w:r>
          <w:rPr>
            <w:color w:val="245C80"/>
          </w:rPr>
          <w:t xml:space="preserve">3. Insured Master 被保險人目錄</w:t>
        </w:r>
      </w:hyperlink>
    </w:p>
    <w:p>
      <w:pPr>
        <w:pStyle w:val="TOC1"/>
      </w:pPr>
      <w:hyperlink w:anchor="sec4">
        <w:r>
          <w:rPr>
            <w:color w:val="245C80"/>
          </w:rPr>
          <w:t xml:space="preserve">4. Lloyd’s Market 與信評</w:t>
        </w:r>
      </w:hyperlink>
    </w:p>
    <w:p>
      <w:pPr>
        <w:pStyle w:val="TOC1"/>
      </w:pPr>
      <w:hyperlink w:anchor="sec5">
        <w:r>
          <w:rPr>
            <w:color w:val="245C80"/>
          </w:rPr>
          <w:t xml:space="preserve">5. Personnel、帳號、匯率與目標</w:t>
        </w:r>
      </w:hyperlink>
    </w:p>
    <w:p>
      <w:pPr>
        <w:pStyle w:val="TOC1"/>
      </w:pPr>
      <w:hyperlink w:anchor="sec6">
        <w:r>
          <w:rPr>
            <w:color w:val="245C80"/>
          </w:rPr>
          <w:t xml:space="preserve">6. 權限矩陣</w:t>
        </w:r>
      </w:hyperlink>
    </w:p>
    <w:p>
      <w:pPr>
        <w:pStyle w:val="TOC1"/>
      </w:pPr>
      <w:hyperlink w:anchor="sec7">
        <w:r>
          <w:rPr>
            <w:color w:val="245C80"/>
          </w:rPr>
          <w:t xml:space="preserve">7. 案件與Facility依賴</w:t>
        </w:r>
      </w:hyperlink>
    </w:p>
    <w:p>
      <w:pPr>
        <w:pStyle w:val="TOC1"/>
      </w:pPr>
      <w:hyperlink w:anchor="sec8">
        <w:r>
          <w:rPr>
            <w:color w:val="245C80"/>
          </w:rPr>
          <w:t xml:space="preserve">8. 會計及文件規則邊界</w:t>
        </w:r>
      </w:hyperlink>
    </w:p>
    <w:p>
      <w:pPr>
        <w:pStyle w:val="TOC1"/>
      </w:pPr>
      <w:hyperlink w:anchor="sec9">
        <w:r>
          <w:rPr>
            <w:color w:val="245C80"/>
          </w:rPr>
          <w:t xml:space="preserve">9. 參考文件與維護</w:t>
        </w:r>
      </w:hyperlink>
    </w:p>
    <w:p>
      <w:pPr>
        <w:pStyle w:val="TOC1"/>
      </w:pPr>
      <w:hyperlink w:anchor="sec10">
        <w:r>
          <w:rPr>
            <w:color w:val="245C80"/>
          </w:rPr>
          <w:t xml:space="preserve">10. 核對來源</w:t>
        </w:r>
      </w:hyperlink>
    </w:p>
    <w:p>
      <w:pPr>
        <w:pStyle w:val="Note"/>
      </w:pPr>
      <w:r>
        <w:t xml:space="preserve">點選章節名稱可跳至本文。資料表欄位、索引與約束另列於各表下方。</w:t>
      </w:r>
    </w:p>
    <w:p>
      <w:r>
        <w:br w:type="page"/>
      </w:r>
    </w:p>
    <w:p>
      <w:pPr>
        <w:pStyle w:val="Heading1"/>
      </w:pPr>
      <w:bookmarkStart w:id="2" w:name="sec1"/>
      <w:r>
        <w:t xml:space="preserve">1. 主檔架構與目前狀態</w:t>
      </w:r>
      <w:bookmarkEnd w:id="2"/>
    </w:p>
    <w:p>
      <w:pPr>
        <w:pStyle w:val="Normal"/>
      </w:pPr>
      <w:r>
        <w:t xml:space="preserve">原六類主檔共用ri_master_records；新增insured身分也在同表，但走獨立Insured Master服務。Lloyd’s集中評等在ri_market_rating_profiles；Personnel、FX及Targets有獨立表。這是完整現況，不只本週差異。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6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目前狀態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系統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VM 為正式系統及唯一規格；Alpha 搬遷已完成。HTTP http://ri-dev.tw-insure.com。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Audit／Snapshot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AUDIT_LOG_ENABLED=true、AUDIT_LOG_PAUSED=true；事件暫停，Entity Snapshot 正常。重新啟用不補寫暫停期間事件。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寄信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EMAIL_ENABLED=false；忘記密碼入口隱藏。財務 PAYMENT_REMINDER_REQUESTED=true，但 SMTP 未配置，PAYMENT_REMINDER_EMAIL_ENABLED=false；提醒有預覽／紀錄，不實際寄送。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文件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只提供 Word；PDF API 回 410，正式 Gotenberg 服務已移除。離線預覽不屬正式 PDF 功能。案件附件上限 30 MiB，System Reference 模板仍為 10 MiB。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Session／維運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閒置三小時、提前五分鐘提示；GET／背景讀取不續期，未存內容不自動保存。HTTPS 及排程備份尚未配置。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3" w:name="sec2"/>
      <w:r>
        <w:t xml:space="preserve">2. 六類業務主檔欄位</w:t>
      </w:r>
      <w:bookmarkEnd w:id="3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ae／reinsurer／reinsured／class／foreign_broker／clause／insured；前六種用 Master Data API，insured 用獨立被保險人目錄服務。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業務代碼；主檔 API 轉大寫，空白代碼存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display_order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0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排序欄位，預設 0；目前 API 列表按種類、啟用狀態、名稱、ID 排序。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 JSON 內容；型態、子欄位及後端規則另見資料字典。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ae = AE；reinsurer = Reinsurer；reinsured = Reinsured；class = Class；foreign_broker = Foreign RI Broker；clause = Clause；insured = Original Insured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ri_master_r_entity__e81e05_idx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is_active)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ri_master_records_type_code_unique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(entity_type, code)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ri_master_records_type_name_unique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name)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entity_type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欄位與維護規則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Account Executive：name≤240、可選code≤80，payload正常{}；不是登入帳號／人員Email目錄。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reinsured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name、可選code；payload.abbreviation≤80、address≤1000；Case FK及名稱快照並存。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reinsurer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name、可選code；payload.abbreviation、fixedClauses、ratings；foreignBroker在Case而非RI主檔。信評規則見第4章。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class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code≤80，不限兩碼；payload.fixedClauses最多100，每筆code/title，不帶classIds。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foreign_broker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name及可選code，payload.abbreviation≤80；Case以名稱保存結算對象，非RI FK。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clause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code必填轉大寫≤80、name全名≤240，payload{}。LMA3333及INTERMEDIARY由程式管理，不能另建／改／停用。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同類name及非空code唯一，含停用列，utf8mb4_0900_ai_ci不分大小寫/重音。新增版本1、修改需rowVersion，409衝突應重讀；停用保留引用及唯一性，不實體刪除。</w:t>
      </w:r>
    </w:p>
    <w:p>
      <w:pPr>
        <w:pStyle w:val="Bullet"/>
      </w:pPr>
      <w:r>
        <w:t xml:space="preserve">• payload須物件或可解析物件字串，拒絕NULL/陣列/NaN/Infinity；PUT省略保留舊值，傳入按種類整理。GET包含啟用/停用，counts只計啟用。/api/master-data只處理原六類，insured另用專用API。</w:t>
      </w:r>
    </w:p>
    <w:p>
      <w:pPr>
        <w:pStyle w:val="Bullet"/>
      </w:pPr>
      <w:r>
        <w:t xml:space="preserve">• fixedClauses最多100，code≤80轉大寫/空白底線，title≤300且必填；RI可選classIds≤100，省略或NULL=All classes，明確陣列不可空，ID須存在（含停用）。通用LMA3333/INTERMEDIARY不得當固定或人工條款重複加入。</w:t>
      </w:r>
    </w:p>
    <w:p>
      <w:pPr>
        <w:pStyle w:val="Bullet"/>
      </w:pPr>
      <w:r>
        <w:t xml:space="preserve">• Case已選Code不因主檔變動自動增刪；Title依最新Clause.name、Class/RI固定Title、Case自訂Title順序。已停用選用主檔仍可供Title，普通Case存檔保存當次文字，純讀取／生成不批次改歷史。</w:t>
      </w:r>
    </w:p>
    <w:p>
      <w:pPr>
        <w:pStyle w:val="Heading1"/>
      </w:pPr>
      <w:bookmarkStart w:id="4" w:name="sec3"/>
      <w:r>
        <w:t xml:space="preserve">3. Insured Master 被保險人目錄</w:t>
      </w:r>
      <w:bookmarkEnd w:id="4"/>
    </w:p>
    <w:p>
      <w:pPr>
        <w:pStyle w:val="Normal"/>
      </w:pPr>
      <w:r>
        <w:t xml:space="preserve">Insured Master 以 Original Insured (CN) 為固定身分名稱、顯示與搜尋主鍵，沒有集團階層。相同中文名重用身分，即使英文不同；Case 的英文／中文名稱仍為各案快照。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操作</w:t>
            </w:r>
          </w:p>
        </w:tc>
        <w:tc>
          <w:tcPr>
            <w:tcW w:w="6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現行行為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入口／權限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Sidebar Insured Master，或 Account List → Case Overview → Insured master。Reinsurance Staff／General Manager／Admin 可建與改名，Finance 唯讀；案件連結仍受可見範圍限制。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建立／繼承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新原單、續保與批單連至目錄；Draft 可缺中文，Announce 前必填且新連結案件須有身分。續保／批單繼承來源 ID；歷史未連結來源不批次回填。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改名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已連結案件修改中文名，會更名同一主檔並更新當前案快照；其他案件名稱／英文不批次變更。未改動的舊快照不能把主檔改回舊名。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重名合併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若新名已屬另一個身分，回 insured_merge_required，須人工確認 sourceId/targetId、雙方 rowVersion 與名稱；過期確認拒絕。保留兩邊歷史、aliases、mergedInto；固定舊連結解析至存續身分。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保存位置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ri_master_records.entity_type=insured；payload 有 aliases[]、history[]、mergedInto 等。ri_cases.insured_master_id 為可空 FK；不是新資料表，不透過 /api/master-data 任意改寫。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歷史及並行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名稱／合併 history 保存於主檔，即使一般 Audit 暫停仍保留。共用 production_sources 鎖及版本檢查；合併移轉關聯會增加相關 Case row_version，財務及保單參考不變。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API /api/insured-masters：GET 列表 search/page（每頁50），GET ?id=... 顯示身分、歷史與可見案件（每頁100）；POST 新增或帶 id/rowVersion 改名，合併需明確 insuredMerge。GET 使用 dashboard.read，POST 使用 cases.write，不使 Finance 取得 MDM 寫入權。</w:t>
      </w:r>
    </w:p>
    <w:p>
      <w:pPr>
        <w:pStyle w:val="Heading1"/>
      </w:pPr>
      <w:bookmarkStart w:id="5" w:name="sec4"/>
      <w:r>
        <w:t xml:space="preserve">4. Lloyd’s Market 與信評</w:t>
      </w:r>
      <w:bookmarkEnd w:id="5"/>
    </w:p>
    <w:p>
      <w:pPr>
        <w:pStyle w:val="Normal"/>
      </w:pPr>
      <w:r>
        <w:t xml:space="preserve">普通再保人各自保存評等；Lloyd’s Underwriter Syndicate No. 前綴成員共用 Lloyd’s Market 的 Lloyd’s of London Financial Strength 評等，含停用及未來成員，不能個別覆寫。Market 群組置頂，可展開／收合。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6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現在限制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agency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必填下拉 S&amp;P Global／A.M. Best／Moody’s／Fitch；API 中 Moody’s 使用 ASCII apostrophe。舊 AM Best／Fitch Ratings 在表單正規化顯示，其他歷史機構保留但編輯須改選或移除。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grade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必填，≤80 字；agency≤120。系統不判定特定機構的 Grade 是否符合外部等級表。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asOfDate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每筆必填有效 YYYY-MM-DD；不得為缺日期舊評等補造日期。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ratingType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固定 Financial Strength，畫面唯讀，API 強制。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checkedAt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選填，有填須有效 YYYY-MM-DD；新儲存保留，不再由 Lloyd’s API 強制清空。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歷史 metadata</w:t>
            </w:r>
          </w:p>
        </w:tc>
        <w:tc>
          <w:tcPr>
            <w:tcW w:w="6900" w:type="dxa"/>
            <w:shd w:fill="F1F5F8"/>
            <w:vAlign w:val="top"/>
          </w:tcPr>
          <w:p>
            <w:pPr>
              <w:pStyle w:val="TableText"/>
            </w:pPr>
            <w:r>
              <w:t xml:space="preserve">Outlook／Status／一般 Legal entity／Source URL 不再作為表單欄位；舊隱藏內容保留。Lloyd’s legalEntity 固定 Lloyd’s of London；未恢復官方連結及 Checked 顯示一行。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筆數／相容</w:t>
            </w:r>
          </w:p>
        </w:tc>
        <w:tc>
          <w:tcPr>
            <w:tcW w:w="6900" w:type="dxa"/>
            <w:shd w:fill="FFFFFF"/>
            <w:vAlign w:val="top"/>
          </w:tcPr>
          <w:p>
            <w:pPr>
              <w:pStyle w:val="TableText"/>
            </w:pPr>
            <w:r>
              <w:t xml:space="preserve">普通再保人可無評等，Lloyd’s 至少1筆，最多50筆。未更動舊評等的停用／其他欄位更新及個別 Lloyd’s 繼承相容，不宣稱日期已補齊。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普通再保人用 Add rating 加入列或直接編輯已加入列再儲存；Lloyd’s 用市場標題 Edit。共用 GET／PUT /api/master-data/lloyds-ratings 分別需 mdm.read／mdm.write；首次未儲存回 rowVersion=0，PUT 建版本1，其後鎖列核對版本，衝突409。僅寫集中 profile 與 Snapshot，不批次改寫成員或案件。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market_code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市場識別主鍵；現行使用 lloyds，varchar(40)。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ratings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共用評等 JSON 陣列；格式由評等 API 驗證，1–50 筆。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(market_code)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6" w:name="sec5"/>
      <w:r>
        <w:t xml:space="preserve">5. Personnel、帳號、匯率與目標</w:t>
      </w:r>
      <w:bookmarkEnd w:id="6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email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Email；人員 API 轉小寫、去首尾空白，空值存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八種部門，詳見 choices。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七種業務角色；不依 auth_group 授權。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is_split_eligible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是否可參與 Performance Split；API 預設會依部門／角色調整。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not_configured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not_configured／pending／active／disabled；與在職狀態分開。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supervisor_name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主管名稱文字；目前沒有 supervisor_id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supervisor_email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解析主管時帶入其 Email；並非獨立輸入。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auth_user.id 的文字識別；UNIQUE，但不是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account_invited_by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建立帳號者文字識別。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account_invited_at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建立／邀請帳號時間。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帳號啟用時間。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account_disabled_by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帳號停用者。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account_disabled_at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帳號停用時間。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must_change_password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首次登入／重設／重新啟用後強制改密碼旗標。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board_of_directors = Board of Directors；business_1 = Business 1；business_2 = Business 2；special_risk = Special Risk；reinsurance = Reinsurance；finance = Finance；admin = Admin；business_development = Business Development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president = President；sales = Sales；accounting = Accounting；accounting_manager = Accounting Manager；general_manager = General Manager；admin = Admin；viewer = Viewer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not_configured = Not configured；pending = Pending；active = Active；disabled = Disabled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(auth_user_id)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ri_personnel_active_idx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(is_active, is_split_eligible)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ri_personnel_email_unique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(email)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ri_personnel_name_department_unique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(name, department)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ri_personnel_account_status_check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(`account_status` in (_utf8mb4\'not_configured\',_utf8mb4\'pending\',_utf8mb4\'active\',_utf8mb4\'disabled\'))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ri_personnel_department_check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(`department` in (_utf8mb4\'board_of_directors\',_utf8mb4\'business_1\',_utf8mb4\'business_2\',_utf8mb4\'special_risk\',_utf8mb4\'reinsurance\',_utf8mb4\'finance\',_utf8mb4\'admin\',_utf8mb4\'business_development\'))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ri_personnel_role_check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(`role_code` in (_utf8mb4\'president\',_utf8mb4\'sales\',_utf8mb4\'accounting\',_utf8mb4\'accounting_manager\',_utf8mb4\'general_manager\',_utf8mb4\'admin\',_utf8mb4\'viewer\'))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7" w:name="heading_7"/>
      <w:r>
        <w:t xml:space="preserve">人員、帳號與主管</w:t>
      </w:r>
      <w:bookmarkEnd w:id="7"/>
    </w:p>
    <w:p>
      <w:pPr>
        <w:pStyle w:val="Bullet"/>
      </w:pPr>
      <w:r>
        <w:t xml:space="preserve">• 八部門：Board of Directors、Business1/2、Special Risk、Reinsurance、Finance、Admin、Business Development。角色七種另行授權，不依Django auth_group；姓名≤160，同部門唯一。Email可空，非空格式驗證、轉小寫且全域唯一。</w:t>
      </w:r>
    </w:p>
    <w:p>
      <w:pPr>
        <w:pStyle w:val="Bullet"/>
      </w:pPr>
      <w:r>
        <w:t xml:space="preserve">• is_active為在職，account_status為not_configured/pending/active/disabled，與auth_user.is_active分開；每次API重新檢查。auth_user_id為唯一文字而非FK；主管依姓名/Email動態解析，非supervisor_id。</w:t>
      </w:r>
    </w:p>
    <w:p>
      <w:pPr>
        <w:pStyle w:val="Bullet"/>
      </w:pPr>
      <w:r>
        <w:t xml:space="preserve">• 主管為同部門在職者、General Manager或President，不可自己。主管可讀自己及直接同部門下屬，新增一般職員及替尚無帳號下屬建帳；不可跨部門／提升角色／編輯既有人員。President不取得這些新增權。</w:t>
      </w:r>
    </w:p>
    <w:p>
      <w:pPr>
        <w:pStyle w:val="Bullet"/>
      </w:pPr>
      <w:r>
        <w:t xml:space="preserve">• 建立帳號通常直接active，pending不代表有邀請寄信流程。username3–150，首字英數、可._@+-且轉小寫；停用不釋出。密碼8–128含英文字母與數字；可指定或產20字初始密碼（僅產生者回傳一次），只存雜湊。</w:t>
      </w:r>
    </w:p>
    <w:p>
      <w:pPr>
        <w:pStyle w:val="Bullet"/>
      </w:pPr>
      <w:r>
        <w:t xml:space="preserve">• 首次／重設／重新啟用後強制改密碼；未改拒絕業務API。停用使現有session失效，不可停用自己或最後一名active在職Admin，admin_accounts鎖保護競爭；已綁帳人員變Email前先停用帳號。</w:t>
      </w:r>
    </w:p>
    <w:p>
      <w:pPr>
        <w:pStyle w:val="Bullet"/>
      </w:pPr>
      <w:r>
        <w:t xml:space="preserve">• 忘記密碼token3600秒且防重用，目前入口隱藏、SMTP未啟用。isSplitEligible新增預設依部門/角色，不等於ORM default=true。</w:t>
      </w:r>
    </w:p>
    <w:p>
      <w:pPr>
        <w:pStyle w:val="Heading2"/>
      </w:pPr>
      <w:bookmarkStart w:id="8" w:name="heading_8"/>
      <w:r>
        <w:t xml:space="preserve">匯率</w:t>
      </w:r>
      <w:bookmarkEnd w:id="8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三碼幣別；匯率主檔僅限 USD／EUR／JPY／GBP／HKD／MYR。案件仍保有自己的幣別。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一單位外幣兌 TWD；decimal(18,6)。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is_locked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關帳後鎖定；API 也檢查整個月份是否已關帳。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locked_at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鎖定時間。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lock_reason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USD = USD；EUR = EUR；JPY = JPY；GBP = GBP；HKD = HKD；MYR = MYR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ri_fx_rates_month_currency_unique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ri_fx_rates_month_idx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USD/EUR/JPY/GBP/HKD/MYR，一外幣兌TWD，TWD=1。一次提交整月六筆，每幣一次；有限0&lt;rate≤1000，ROUND_HALF_UP到六位後仍&gt;0，整月原子寫入及rowVersion保護。</w:t>
      </w:r>
    </w:p>
    <w:p>
      <w:pPr>
        <w:pStyle w:val="Bullet"/>
      </w:pPr>
      <w:r>
        <w:t xml:space="preserve">• 已關帳月份整月禁止修改／補寫，不只看單筆is_locked；月份互斥鎖與關帳共用。未認列暫估/認列後正式換算規則另見會計。</w:t>
      </w:r>
    </w:p>
    <w:p>
      <w:pPr>
        <w:pStyle w:val="Heading2"/>
      </w:pPr>
      <w:bookmarkStart w:id="9" w:name="heading_9"/>
      <w:r>
        <w:t xml:space="preserve">Dashboard目標</w:t>
      </w:r>
      <w:bookmarkEnd w:id="9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period_type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annual／monthly。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period_key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annual 為 YYYY，monthly 為 YYYY-MM；期間不可修改。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金額；SQL decimal 或 JSON 數值的精度依各表／API 規則。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ri_dash_targets_period_idx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(period_key, period_type)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ri_dashboard_targets_period_unique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(period_type, period_key)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ri_dashboard_targets_amount_check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(`amount` &gt;= 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ri_dashboard_targets_key_check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((regexp_like(`period_key`,_utf8mb4\'^[0-9]{4}$\',_utf8mb4\'c\') and (`period_type` = _utf8mb4\'annual\')) or (regexp_like(`period_key`,_utf8mb4\'^[0-9]{4}-(0[1-9]|1[0-2])$\',_utf8mb4\'c\') and (`period_type` = _utf8mb4\'monthly\')))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ri_dashboard_targets_type_check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(`period_type` in (_utf8mb4\'annual\',_utf8mb4\'monthly\'))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annual=YYYY、monthly=YYYY-MM，同期間唯一含停用列；非負上限9,999,999,999,999,999，兩位。期間建立後不可修改；Admin/General Manager管理，President僅讀。</w:t>
      </w:r>
    </w:p>
    <w:p>
      <w:pPr>
        <w:pStyle w:val="Heading1"/>
      </w:pPr>
      <w:bookmarkStart w:id="10" w:name="sec6"/>
      <w:r>
        <w:t xml:space="preserve">6. 權限矩陣</w:t>
      </w:r>
      <w:bookmarkEnd w:id="10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2400"/>
        <w:gridCol w:w="2100"/>
        <w:gridCol w:w="2700"/>
      </w:tblGrid>
      <w:tr>
        <w:trPr>
          <w:cantSplit/>
          <w:tblHeader/>
        </w:trPr>
        <w:tc>
          <w:tcPr>
            <w:tcW w:w="1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角色</w:t>
            </w:r>
          </w:p>
        </w:tc>
        <w:tc>
          <w:tcPr>
            <w:tcW w:w="2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案件／文件</w:t>
            </w:r>
          </w:p>
        </w:tc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Insured／MDM</w:t>
            </w:r>
          </w:p>
        </w:tc>
        <w:tc>
          <w:tcPr>
            <w:tcW w:w="2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會計／其他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System Administrator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全部讀寫／公告／文件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全部讀寫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財務、Production管理、帳號與System Reference</w:t>
            </w:r>
          </w:p>
        </w:tc>
      </w:tr>
      <w:tr>
        <w:trPr>
          <w:cantSplit/>
        </w:trPr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Reinsurance Staff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全案讀寫／公告／文件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Insured及六類MDM讀寫</w:t>
            </w:r>
          </w:p>
        </w:tc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Accounting唯讀、既有Production/FX讀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General Manager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同Reinsurance Staff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同Reinsurance Staff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Accounting唯讀；Personnel全讀、Targets管理</w:t>
            </w:r>
          </w:p>
        </w:tc>
      </w:tr>
      <w:tr>
        <w:trPr>
          <w:cantSplit/>
        </w:trPr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Finance Staff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全案唯讀，無文件存取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Insured唯讀，無MDM</w:t>
            </w:r>
          </w:p>
        </w:tc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財務寫、Production/FX讀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Finance Manager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全案唯讀，無文件存取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Insured唯讀，無MDM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財務寫、FX寫、Production產生/排除/關帳</w:t>
            </w:r>
          </w:p>
        </w:tc>
      </w:tr>
      <w:tr>
        <w:trPr>
          <w:cantSplit/>
        </w:trPr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President</w:t>
            </w:r>
          </w:p>
        </w:tc>
        <w:tc>
          <w:tcPr>
            <w:tcW w:w="2400" w:type="dxa"/>
            <w:shd w:fill="F1F5F8"/>
            <w:vAlign w:val="top"/>
          </w:tcPr>
          <w:p>
            <w:pPr>
              <w:pStyle w:val="TableText"/>
            </w:pPr>
            <w:r>
              <w:t xml:space="preserve">全案唯讀，無文件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Insured及MDM讀</w:t>
            </w:r>
          </w:p>
        </w:tc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Accounting/Personnel/Production/FX讀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Case Viewer</w:t>
            </w:r>
          </w:p>
        </w:tc>
        <w:tc>
          <w:tcPr>
            <w:tcW w:w="2400" w:type="dxa"/>
            <w:shd w:fill="FFFFFF"/>
            <w:vAlign w:val="top"/>
          </w:tcPr>
          <w:p>
            <w:pPr>
              <w:pStyle w:val="TableText"/>
            </w:pPr>
            <w:r>
              <w:t xml:space="preserve">僅自己／分績範圍，無文件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Insured僅可見案件範圍</w:t>
            </w:r>
          </w:p>
        </w:tc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無財務/MDM管理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主管是動態附加範圍，不是第八角色。permissions由伺服器再次檢查；Insured讀取不給Finance MDM權限。Production寫限Admin/Finance Manager，System Reference及Audit/回收桶限Admin。對帳號碼專用編輯需cases.write，Finance不因此獲案件修改權。</w:t>
      </w:r>
    </w:p>
    <w:p>
      <w:pPr>
        <w:pStyle w:val="Heading1"/>
      </w:pPr>
      <w:bookmarkStart w:id="11" w:name="sec7"/>
      <w:r>
        <w:t xml:space="preserve">7. 案件與Facility依賴</w:t>
      </w:r>
      <w:bookmarkEnd w:id="1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200"/>
        <w:gridCol w:w="2800"/>
      </w:tblGrid>
      <w:tr>
        <w:trPr>
          <w:cantSplit/>
          <w:tblHeader/>
        </w:trPr>
        <w:tc>
          <w:tcPr>
            <w:tcW w:w="6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精確 Facility 名稱（忽略大小寫及連續空白）</w:t>
            </w:r>
          </w:p>
        </w:tc>
        <w:tc>
          <w:tcPr>
            <w:tcW w:w="2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可用 Class／結構</w:t>
            </w:r>
          </w:p>
        </w:tc>
      </w:tr>
      <w:tr>
        <w:trPr>
          <w:cantSplit/>
        </w:trPr>
        <w:tc>
          <w:tcPr>
            <w:tcW w:w="6200" w:type="dxa"/>
            <w:shd w:fill="FFFFFF"/>
            <w:vAlign w:val="top"/>
          </w:tcPr>
          <w:p>
            <w:pPr>
              <w:pStyle w:val="TableText"/>
            </w:pPr>
            <w:r>
              <w:t xml:space="preserve">Lloyd's Underwriter Syndicate No. 0609 AUW (Facility)</w:t>
            </w:r>
          </w:p>
        </w:tc>
        <w:tc>
          <w:tcPr>
            <w:tcW w:w="2800" w:type="dxa"/>
            <w:shd w:fill="FFFFFF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1F5F8"/>
            <w:vAlign w:val="top"/>
          </w:tcPr>
          <w:p>
            <w:pPr>
              <w:pStyle w:val="TableText"/>
            </w:pPr>
            <w:r>
              <w:t xml:space="preserve">Allianz Global Corporate &amp; Specialty SE, Hong Kong Branch (Facility)</w:t>
            </w:r>
          </w:p>
        </w:tc>
        <w:tc>
          <w:tcPr>
            <w:tcW w:w="2800" w:type="dxa"/>
            <w:shd w:fill="F1F5F8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FFFFF"/>
            <w:vAlign w:val="top"/>
          </w:tcPr>
          <w:p>
            <w:pPr>
              <w:pStyle w:val="TableText"/>
            </w:pPr>
            <w:r>
              <w:t xml:space="preserve">Great American Insurance Company, Singapore Branch (Facility)</w:t>
            </w:r>
          </w:p>
        </w:tc>
        <w:tc>
          <w:tcPr>
            <w:tcW w:w="2800" w:type="dxa"/>
            <w:shd w:fill="FFFFFF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1F5F8"/>
            <w:vAlign w:val="top"/>
          </w:tcPr>
          <w:p>
            <w:pPr>
              <w:pStyle w:val="TableText"/>
            </w:pPr>
            <w:r>
              <w:t xml:space="preserve">QBE Hongkong &amp; Shanghai Insurance Limited (Facility)</w:t>
            </w:r>
          </w:p>
        </w:tc>
        <w:tc>
          <w:tcPr>
            <w:tcW w:w="2800" w:type="dxa"/>
            <w:shd w:fill="F1F5F8"/>
            <w:vAlign w:val="top"/>
          </w:tcPr>
          <w:p>
            <w:pPr>
              <w:pStyle w:val="TableText"/>
            </w:pPr>
            <w:r>
              <w:t xml:space="preserve">Property</w:t>
            </w:r>
          </w:p>
        </w:tc>
      </w:tr>
      <w:tr>
        <w:trPr>
          <w:cantSplit/>
        </w:trPr>
        <w:tc>
          <w:tcPr>
            <w:tcW w:w="6200" w:type="dxa"/>
            <w:shd w:fill="FFFFFF"/>
            <w:vAlign w:val="top"/>
          </w:tcPr>
          <w:p>
            <w:pPr>
              <w:pStyle w:val="TableText"/>
            </w:pPr>
            <w:r>
              <w:t xml:space="preserve">Swiss Re Asia Pte. Ltd., Hong Kong Branch (Facility)</w:t>
            </w:r>
          </w:p>
        </w:tc>
        <w:tc>
          <w:tcPr>
            <w:tcW w:w="2800" w:type="dxa"/>
            <w:shd w:fill="FFFFFF"/>
            <w:vAlign w:val="top"/>
          </w:tcPr>
          <w:p>
            <w:pPr>
              <w:pStyle w:val="TableText"/>
            </w:pPr>
            <w:r>
              <w:t xml:space="preserve">Property；Commercial General Liability 僅 QS，禁止 XOL／Treaty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Class／Structure 切換若造成無效組合，保留原內容並提示先移除對應 Facility；不自動刪再保人或金額。前後端新建、編輯、自動草稿、Review／Announce、續保／批單、文件及付款天數補填共同驗證；舊無效草稿可檢視及修正。限制不依 Class Code，非指定名稱的一般再保人保留其規則。</w:t>
      </w:r>
    </w:p>
    <w:p>
      <w:pPr>
        <w:pStyle w:val="Normal"/>
      </w:pPr>
      <w:r>
        <w:t xml:space="preserve">AUW 固定 Tax=0、Foreign RI Broker=Howden Specialty Limited，Deductions 預設10%可改；RI天數120。AUW 手填 TW Ref. 草稿即必填，純 AUW 以此為主編號、不消耗自動序號；混合另存 manualTwRef，唯一性含歷史／回收案。含固定 Facility 時 Cedant 統一90天，取代舊 AUW Cedant 120 說明。</w:t>
      </w:r>
    </w:p>
    <w:p>
      <w:pPr>
        <w:pStyle w:val="Heading2"/>
      </w:pPr>
      <w:bookmarkStart w:id="12" w:name="heading_12"/>
      <w:r>
        <w:t xml:space="preserve">草稿、自動儲存與正式檢查</w:t>
      </w:r>
      <w:bookmarkEnd w:id="12"/>
    </w:p>
    <w:p>
      <w:pPr>
        <w:pStyle w:val="Bullet"/>
      </w:pPr>
      <w:r>
        <w:t xml:space="preserve">• 一般 Property QS、一般 CGL QS 及 Swiss CGL QS 的原單／續保 Draft：選定 Structure/Class 後，由人工修改、離開欄位才自動儲存；單純系統預填不自動建案，批單／XOL／已公告／已確認／Reversed 不套此流程。</w:t>
      </w:r>
    </w:p>
    <w:p>
      <w:pPr>
        <w:pStyle w:val="Bullet"/>
      </w:pPr>
      <w:r>
        <w:t xml:space="preserve">• draftInput／pendingClause 保留未完成或錯誤數字、日期及未加入條款原文，重新開啟可還原；安全計算值另存。首次建案用可重試識別，寫入依序及 rowVersion 防重複／覆蓋。Announce 重驗原文，成功後移除 raw draft 資料。</w:t>
      </w:r>
    </w:p>
    <w:p>
      <w:pPr>
        <w:pStyle w:val="Bullet"/>
      </w:pPr>
      <w:r>
        <w:t xml:space="preserve">• Review／Announce 保留正式必填與付款條件驗證；新 Insured 中文名 Announce 必填。一般 Property／CGL QS 原單續保需正保費、Order合計≤100%，到期日須晚於生效日，佣金／稅可0。Case Owner在Announce必填，AE Email在文件產生前必填。</w:t>
      </w:r>
    </w:p>
    <w:p>
      <w:pPr>
        <w:pStyle w:val="Bullet"/>
      </w:pPr>
      <w:r>
        <w:t xml:space="preserve">• CGL QS 幣別 TWD/USD，新案 USD、New、Commercial General Liability；可選 Products Liability。Principal Address 至少一筆且地址必填，郵遞區號選填、有填3–6數字。Limit of Indemnity正額，Aggregate Limit隱藏但保留舊值。PWS broker的一般CGL QS仍用CGL Information。</w:t>
      </w:r>
    </w:p>
    <w:p>
      <w:pPr>
        <w:pStyle w:val="Bullet"/>
      </w:pPr>
      <w:r>
        <w:t xml:space="preserve">• CGL Policy Form／Claims-Made Retroactive Date／ERP、Territory與Other、Business／Products、Turnover、Special Agreement維持條件必填。Original Exclusions選填；Sub-Limits／SIR／Notices／Website等選填，Website不驗URL。</w:t>
      </w:r>
    </w:p>
    <w:p>
      <w:pPr>
        <w:pStyle w:val="Bullet"/>
      </w:pPr>
      <w:r>
        <w:t xml:space="preserve">• New可0年無Loss明細，Renew至少1年；Property／CGL QS新增損失明細需日期、原因、正Loss Amount。Annual只控制Cover標示；LMA3100/LMA5396/Ex-Gratia人工勾選、預設不勾。Clause Title依當前MDM原文，不額外拼Code。</w:t>
      </w:r>
    </w:p>
    <w:p>
      <w:pPr>
        <w:pStyle w:val="Bullet"/>
      </w:pPr>
      <w:r>
        <w:t xml:space="preserve">• 啟用分期至少兩期，各期正保費合計100%保費；首期預帶生效日／月份，後期人工選。每期天數可獨立修改。Property／CGL QS分績關閉為預設，啟用一位Reinsurance及一位Other Staff，只允40/60或70/30。</w:t>
      </w:r>
    </w:p>
    <w:p>
      <w:pPr>
        <w:pStyle w:val="Bullet"/>
      </w:pPr>
      <w:r>
        <w:t xml:space="preserve">• 批單保費為實際承保期間差額，可加／減；付款天數沿來源保單，固定Facility政策優先。續保逐筆以差額×365÷（原到期−批單生效天數）年化，排除到期日；採最後批單名單按名累計，被移除者不帶；未完成／較新批單阻擋續保並顯示原因。退保流程仍以已核准功能為準，不虛構新類型。</w:t>
      </w:r>
    </w:p>
    <w:p>
      <w:pPr>
        <w:pStyle w:val="Heading2"/>
      </w:pPr>
      <w:bookmarkStart w:id="13" w:name="heading_13"/>
      <w:r>
        <w:t xml:space="preserve">資料異常與操作保護</w:t>
      </w:r>
      <w:bookmarkEnd w:id="13"/>
    </w:p>
    <w:p>
      <w:pPr>
        <w:pStyle w:val="Bullet"/>
      </w:pPr>
      <w:r>
        <w:t xml:space="preserve">• 清單／金額格式無法讀取時顯示 Pending confirmation及異常欄位，不以0取代、不靜默丟棄原文。一般尚未完成的空白Draft及付款天數必填繼續走逐欄驗證，不當作格式損壞。</w:t>
      </w:r>
    </w:p>
    <w:p>
      <w:pPr>
        <w:pStyle w:val="Bullet"/>
      </w:pPr>
      <w:r>
        <w:t xml:space="preserve">• 已保存異常資料在查明修復前保留檢視，阻擋Announce、文件、收付／沖回／更正、續保／批單／Reverse及理賠正式操作；Dashboard／Production提示未計入金額，已關帳快照不回寫。修復須查明原文由技術人員處理。</w:t>
      </w:r>
    </w:p>
    <w:p>
      <w:pPr>
        <w:pStyle w:val="Heading1"/>
      </w:pPr>
      <w:bookmarkStart w:id="14" w:name="sec8"/>
      <w:r>
        <w:t xml:space="preserve">8. 會計及文件規則邊界</w:t>
      </w:r>
      <w:bookmarkEnd w:id="14"/>
    </w:p>
    <w:p>
      <w:pPr>
        <w:pStyle w:val="Heading2"/>
      </w:pPr>
      <w:bookmarkStart w:id="15" w:name="heading_15"/>
      <w:r>
        <w:t xml:space="preserve">會計建帳、收付與銷帳</w:t>
      </w:r>
      <w:bookmarkEnd w:id="15"/>
    </w:p>
    <w:p>
      <w:pPr>
        <w:pStyle w:val="Bullet"/>
      </w:pPr>
      <w:r>
        <w:t xml:space="preserve">• 現行 A–G 範圍為一般再保人及上述五家 Facility；其他特殊 Facility／PWS 保留各自相容流程。Announce 即建立全期別保費帳款，Production 只認列業績與月份，不重複建帳。</w:t>
      </w:r>
    </w:p>
    <w:p>
      <w:pPr>
        <w:pStyle w:val="Bullet"/>
      </w:pPr>
      <w:r>
        <w:t xml:space="preserve">• 新帳本每案／每期／每家正分攤 RI 獨立 T1、T2、T3；零分攤不建帳。先計整案 Cedant T1，按正比例分配（最大比例吸尾差，同比分 Case 順序），再按各 RI 分期；各家首期吸尾差。T2各自計算，T3=該家T1−T2。</w:t>
      </w:r>
    </w:p>
    <w:p>
      <w:pPr>
        <w:pStyle w:val="Bullet"/>
      </w:pPr>
      <w:r>
        <w:t xml:space="preserve">• 會計人工登錄真實收付；全額後自動 Settled 並鎖定，不另按 Confirm settlement。零額自動完成，不虛構現金。各家 T3 在自己 T1/T2 完成後自動完成；任一家 T3 完成即鎖同期全部 T2/T3 金額，其餘 T2 仍可依原額付款。</w:t>
      </w:r>
    </w:p>
    <w:p>
      <w:pPr>
        <w:pStyle w:val="Bullet"/>
      </w:pPr>
      <w:r>
        <w:t xml:space="preserve">• 全部類別支付 RI 保費前須收齊整期所有 T1 實際本金且自動銷帳。保費／退款每筆登錄完整餘額，不新增部分保費收付；同案同期可選多筆獨立 T1 登錄一次 Cedant 收款。</w:t>
      </w:r>
    </w:p>
    <w:p>
      <w:pPr>
        <w:pStyle w:val="Bullet"/>
      </w:pPr>
      <w:r>
        <w:t xml:space="preserve">• 所有 RI 退款全額實收且自動銷帳後，才可一次選取批單全部 Cedant T1 全額退款，可提前退。原保費與退款兩端皆不可抵銷，銀行費／nonCash 不當作實收本金；歷史抵銷保留。</w:t>
      </w:r>
    </w:p>
    <w:p>
      <w:pPr>
        <w:pStyle w:val="Bullet"/>
      </w:pPr>
      <w:r>
        <w:t xml:space="preserve">• 同筆登錄只限同案同期或同一 claimId/paymentId 請款，另須同幣別、同方向及同現金相對人。reference 或 note 至少一項；可補登過往 paymentDate，createdAt 另存實際操作時間，外部參考號可重用。系統不串接銀行／外部會計。</w:t>
      </w:r>
    </w:p>
    <w:p>
      <w:pPr>
        <w:pStyle w:val="Bullet"/>
      </w:pPr>
      <w:r>
        <w:t xml:space="preserve">• 曾銷帳不得取消、沖回或修改收付金額。未處理帳款可由有 cases.write 者填原因更正並留歷史；既有現金／確認／Production 事實受保護。T1 已完成且不變時，僅允許不影響它的未處理 T2 修正及重算 T3。</w:t>
      </w:r>
    </w:p>
    <w:p>
      <w:pPr>
        <w:pStyle w:val="Bullet"/>
      </w:pPr>
      <w:r>
        <w:t xml:space="preserve">• 新案及完全未處理歷史案採新布局；已有保費現金（含已沖回）、抵銷、銷帳或 Production 認列，保留原帳本與歷史算法。premiumLedgerLayout／accountingLegacyMath 等為伺服器控制，前端不可偽造。</w:t>
      </w:r>
    </w:p>
    <w:p>
      <w:pPr>
        <w:pStyle w:val="Heading2"/>
      </w:pPr>
      <w:bookmarkStart w:id="16" w:name="heading_16"/>
      <w:r>
        <w:t xml:space="preserve">日期、提醒與 Swiss 差異</w:t>
      </w:r>
      <w:bookmarkEnd w:id="16"/>
    </w:p>
    <w:p>
      <w:pPr>
        <w:pStyle w:val="Normal"/>
      </w:pPr>
      <w:r>
        <w:t xml:space="preserve">B=單期生效日或各期 Payment Base Date；L=批單生效日與成功 Announce 台灣日期較晚者，補／退費批單均單期。下表保費公式對批單將 B 換成 L；全部日曆天，不調週末假日。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3000"/>
        <w:gridCol w:w="3900"/>
      </w:tblGrid>
      <w:tr>
        <w:trPr>
          <w:cantSplit/>
          <w:tblHeader/>
        </w:trPr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類別</w:t>
            </w:r>
          </w:p>
        </w:tc>
        <w:tc>
          <w:tcPr>
            <w:tcW w:w="3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Cedant 到期／畫面提醒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RI 到期／畫面提醒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一般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B＋本期 C／到期前15日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B＋該家本期 R／到期前10日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AUW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月底＋120／月底＋110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Allianz Property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月底＋90／月底＋80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Great American Property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曆年季末＋90／季末＋80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QBE Property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承保年度季末＋90／季末＋80；年度由8月起</w:t>
            </w:r>
          </w:p>
        </w:tc>
      </w:tr>
      <w:tr>
        <w:trPr>
          <w:cantSplit/>
        </w:trPr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Swiss Property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B＋90／B＋80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2/14、5/14、8/14、11/14 固定結算期</w:t>
            </w:r>
          </w:p>
        </w:tc>
      </w:tr>
      <w:tr>
        <w:trPr>
          <w:cantSplit/>
        </w:trPr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Swiss CGL QS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B＋90／B＋75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月底＋90／月底＋80；不套 Swiss Property 季結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一般 C/R 必須各期獨立至少15天整數，未填列待確認並禁止收付；固定 Facility Cedant90，UI／API／付款條件比對一致。</w:t>
      </w:r>
    </w:p>
    <w:p>
      <w:pPr>
        <w:pStyle w:val="Bullet"/>
      </w:pPr>
      <w:r>
        <w:t xml:space="preserve">• QBE 承保季度為8–10、11–翌年1、2–4、5–7月。保費期限不因晚收／補登／部分歷史收付重算。</w:t>
      </w:r>
    </w:p>
    <w:p>
      <w:pPr>
        <w:pStyle w:val="Bullet"/>
      </w:pPr>
      <w:r>
        <w:t xml:space="preserve">• Swiss Property 原始期按 Cedant B+90 歸期，與最後有效收款及自動銷帳操作日的歸期取最晚；11–1月→2/14，2–4→5/14，5–7→8/14，8–10→11/14。未收妥顯示預計期，不可回填財務確認時間；退款可按既有 Announce 截止規則提前一期。</w:t>
      </w:r>
    </w:p>
    <w:p>
      <w:pPr>
        <w:pStyle w:val="Bullet"/>
      </w:pPr>
      <w:r>
        <w:t xml:space="preserve">• Swiss 正向付款前，整期 Cedant 清妥後另填結算清單 reference，與 Case Statement No.／Reinsurer Ref. 不同。Swiss CGL 已完成舊帳款保留原日期，新及未結清帳款用月底＋90。</w:t>
      </w:r>
    </w:p>
    <w:p>
      <w:pPr>
        <w:pStyle w:val="Bullet"/>
      </w:pPr>
      <w:r>
        <w:t xml:space="preserve">• 財務首封提醒依各筆 Accounting 提醒日，之後實際到期日及逾期每7日，餘額歸零停止。同日同類去重，suppressed 亦按週隔；目前 SMTP 未啟用，不實寄。收件人為 AE、AE主管及啟用 Finance Staff；有效 Email 優先，缺漏另提示。</w:t>
      </w:r>
    </w:p>
    <w:p>
      <w:pPr>
        <w:pStyle w:val="Heading2"/>
      </w:pPr>
      <w:bookmarkStart w:id="17" w:name="heading_17"/>
      <w:r>
        <w:t xml:space="preserve">理賠與匯率</w:t>
      </w:r>
      <w:bookmarkEnd w:id="17"/>
    </w:p>
    <w:p>
      <w:pPr>
        <w:pStyle w:val="Bullet"/>
      </w:pPr>
      <w:r>
        <w:t xml:space="preserve">• Claims 保存在根保單 payload。Date of Loss 必填，依當日有效原單／批單來源分攤。Reserve 有限且≥0，只有追蹤用途、不建立現金或帳款；Claim Payment 建立即立 RI 應收及 Cedant 應付。</w:t>
      </w:r>
    </w:p>
    <w:p>
      <w:pPr>
        <w:pStyle w:val="Bullet"/>
      </w:pPr>
      <w:r>
        <w:t xml:space="preserve">• 同一請款可部分收付，累計付出不得超實收；部分不延原期限，全額後自動銷帳並鎖定。一般／AUW／Allianz／Great American／QBE／Swiss CGL 取伺服器建帳台灣日＋15到期、前7日首提醒；Swiss Property 依建帳日歸固定結算期。</w:t>
      </w:r>
    </w:p>
    <w:p>
      <w:pPr>
        <w:pStyle w:val="Bullet"/>
      </w:pPr>
      <w:r>
        <w:t xml:space="preserve">• 理賠義務更正須未有收付、抵銷或銷帳並附原因；保留 claimCorrectionHistory。已發生紀錄另走服務允許的調整流程，Reserve 不等同已支付。</w:t>
      </w:r>
    </w:p>
    <w:p>
      <w:pPr>
        <w:pStyle w:val="Bullet"/>
      </w:pPr>
      <w:r>
        <w:t xml:space="preserve">• 未 Production 認列保費以最新儲存月匯率暫估並標 Estimated；認列後採各期實際月份與正式匯率，理賠採建帳月份正式匯率。缺匯率顯示 Awaiting FX，不擋原幣建帳／收付／銷帳，Dashboard 標示換算不完整。</w:t>
      </w:r>
    </w:p>
    <w:p>
      <w:pPr>
        <w:pStyle w:val="Bullet"/>
      </w:pPr>
      <w:r>
        <w:t xml:space="preserve">• 保費 TWD逐步取整、外幣兩位，負數半位遠離零與正數對稱；受保護 legacy-cents 仍保留原算法。理賠及現金兩位，超額／非有限／零額現金拒絕。</w:t>
      </w:r>
    </w:p>
    <w:p>
      <w:pPr>
        <w:pStyle w:val="Heading2"/>
      </w:pPr>
      <w:bookmarkStart w:id="18" w:name="heading_18"/>
      <w:r>
        <w:t xml:space="preserve">案件附件與生成 Word</w:t>
      </w:r>
      <w:bookmarkEnd w:id="18"/>
    </w:p>
    <w:p>
      <w:pPr>
        <w:pStyle w:val="Bullet"/>
      </w:pPr>
      <w:r>
        <w:t xml:space="preserve">• 手動附件kind=offer/signed/confirmation；支援PDF、DOCX、PNG、JPEG、EML、MSG，解碼後&gt;0且≤30 MiB，每案手動附件最多50份。API以base64，Django請求上限44 MiB；檔名與內容特徵均檢查。System Reference模板仍10 MiB。</w:t>
      </w:r>
    </w:p>
    <w:p>
      <w:pPr>
        <w:pStyle w:val="Bullet"/>
      </w:pPr>
      <w:r>
        <w:t xml:space="preserve">• SQL保存metadata、SHA-256及storage_key，本體在case_documents volume。先暫存、fsync及rename；SQL與檔案非同一交易，備份須一致。Announce後不可刪placement附件；Overview可Upload Evidence/Review &amp; Announce，Documentation仍有上傳。</w:t>
      </w:r>
    </w:p>
    <w:p>
      <w:pPr>
        <w:pStyle w:val="Bullet"/>
      </w:pPr>
      <w:r>
        <w:t xml:space="preserve">• 原單／續保Property/PD QS的Cover／Debit先透過/api/generated-case-documents成功存入Case Documents，再下載。generationId UUID＋rowVersion可重試，已存在相同內容回同一版本，避免回應遺失重複建立；Case已變則要求重產。</w:t>
      </w:r>
    </w:p>
    <w:p>
      <w:pPr>
        <w:pStyle w:val="Bullet"/>
      </w:pPr>
      <w:r>
        <w:t xml:space="preserve">• SQL kind=generated_cover/generated_debit，is_selected=false，不計placement evidence、不影響Signed Slip判斷。主清單各類僅顯示最新版，舊版仍可下載；生成檔及全部歷史不占手動50份額度。filename含文件類型、Ref、Original Insured與台灣產生日。</w:t>
      </w:r>
    </w:p>
    <w:p>
      <w:pPr>
        <w:pStyle w:val="Bullet"/>
      </w:pPr>
      <w:r>
        <w:t xml:space="preserve">• 適用QS文件一次列出所有欄位／期別問題。Property Cover需有效地址／Postcode、正額保額及Loss明細；Cover付款條件逐期取值，只有空白可回退Case，明確0仍錯。Debit總Net Due=0阻擋，個別期T1=0保留。</w:t>
      </w:r>
    </w:p>
    <w:p>
      <w:pPr>
        <w:pStyle w:val="Bullet"/>
      </w:pPr>
      <w:r>
        <w:t xml:space="preserve">• QS Cover／Debit佣金與Tax未填或0隱藏整列，非零比例兩位；Security按比例降冪、Debit標題100% PREMIUM、空Retention採既定固定句，QS不列Underlying。Original Exclusions／Conditions編號及固定句僅附一次；XOL／Treaty不套本批QS更動。</w:t>
      </w:r>
    </w:p>
    <w:p>
      <w:pPr>
        <w:pStyle w:val="Bullet"/>
      </w:pPr>
      <w:r>
        <w:t xml:space="preserve">• Debit分期只列T1、按各RI先分配再分期，合計Net Due；保護歷史公式保留。Cover／Debit雙TW/AUW Ref以&amp;連接去重，Clause Title依當前MDM；既有文件不自動改寫。</w:t>
      </w:r>
    </w:p>
    <w:p>
      <w:pPr>
        <w:pStyle w:val="Bullet"/>
      </w:pPr>
      <w:r>
        <w:t xml:space="preserve">• 文件只產Word，PDF路由410。A4、頁碼、三行頁尾、銀行9pt、簽名及分期重複表頭沿用。生成儲存目前僅Property/PD QS Cover/Debit，其他類型依原流程，不宣稱全部文件都有新版本保存。</w:t>
      </w:r>
    </w:p>
    <w:p>
      <w:pPr>
        <w:pStyle w:val="Heading2"/>
      </w:pPr>
      <w:bookmarkStart w:id="19" w:name="heading_19"/>
      <w:r>
        <w:t xml:space="preserve">提醒與證據</w:t>
      </w:r>
      <w:bookmarkEnd w:id="19"/>
    </w:p>
    <w:p>
      <w:pPr>
        <w:pStyle w:val="Bullet"/>
      </w:pPr>
      <w:r>
        <w:t xml:space="preserve">• Signed Slip日排程09:00，付款09:30（台灣）；普通Property QS於生效30日後缺件開始每7日，其他依既有通常60日規則。判斷只看真正signed證據，自動生成Word不算簽回。</w:t>
      </w:r>
    </w:p>
    <w:p>
      <w:pPr>
        <w:pStyle w:val="Bullet"/>
      </w:pPr>
      <w:r>
        <w:t xml:space="preserve">• 財務提醒第一封對齊Accounting提醒日，實際到期日及之後每7日；信件列真正到期日並附會計提醒日。目前SMTP關閉，suppressed/simulated不是已寄出；暫停期間紀錄仍遵守週隔，啟用後不補寄過往提醒。</w:t>
      </w:r>
    </w:p>
    <w:p>
      <w:pPr>
        <w:pStyle w:val="Heading1"/>
      </w:pPr>
      <w:bookmarkStart w:id="20" w:name="sec9"/>
      <w:r>
        <w:t xml:space="preserve">9. 參考文件與維護</w:t>
      </w:r>
      <w:bookmarkEnd w:id="20"/>
    </w:p>
    <w:p>
      <w:pPr>
        <w:pStyle w:val="Normal"/>
      </w:pPr>
      <w:r>
        <w:t xml:space="preserve">System Reference Data 及 /api/system-reference 要 accounts.manage，目前僅 System Administrator 可用，與一般同仁公告範圍不同。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6750"/>
      </w:tblGrid>
      <w:tr>
        <w:trPr>
          <w:cantSplit/>
          <w:tblHeader/>
        </w:trPr>
        <w:tc>
          <w:tcPr>
            <w:tcW w:w="22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類別</w:t>
            </w:r>
          </w:p>
        </w:tc>
        <w:tc>
          <w:tcPr>
            <w:tcW w:w="6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內容與儲存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System Guides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MDM_Master_Data_Management.docx、Schema_Database_Structure.docx 及各 Facility 指南。本次 MDM／Schema 版本 2026-10-27，原入口及下載檔名不變。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指南本體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backend/ri_system/reference_documents，隨後端映像發布；manual-mdm.json／manual-schema.json 僅覆寫名稱、日期與生命週期，不能只改 metadata 而不更新本體。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上傳模板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DOCX/DOTX/XLSX/XLTX/PPTX/PDF，非空且≤10 MiB；驗證副檔名與內容。同名重傳用新 UUID 保存，不覆寫舊版。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Volume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system-reference/&lt;UUID&gt;.bin 與 &lt;UUID&gt;.json；metadata 有 filename、content_type、byte_size、sha256、uploaded_at/by。無專用 SQL 表。</w:t>
            </w:r>
          </w:p>
        </w:tc>
      </w:tr>
      <w:tr>
        <w:trPr>
          <w:cantSplit/>
        </w:trPr>
        <w:tc>
          <w:tcPr>
            <w:tcW w:w="2250" w:type="dxa"/>
            <w:shd w:fill="FFFFFF"/>
            <w:vAlign w:val="top"/>
          </w:tcPr>
          <w:p>
            <w:pPr>
              <w:pStyle w:val="TableText"/>
            </w:pPr>
            <w:r>
              <w:t xml:space="preserve">Rename／Delete／Restore</w:t>
            </w:r>
          </w:p>
        </w:tc>
        <w:tc>
          <w:tcPr>
            <w:tcW w:w="6750" w:type="dxa"/>
            <w:shd w:fill="FFFFFF"/>
            <w:vAlign w:val="top"/>
          </w:tcPr>
          <w:p>
            <w:pPr>
              <w:pStyle w:val="TableText"/>
            </w:pPr>
            <w:r>
              <w:t xml:space="preserve">改名保留副檔名，1–160 字且無斜線／控制字元；Delete 寫 deleted_at/by 進 Recycle Bin，不能下載；Restore 清除停用資訊，不實體刪除檔案。</w:t>
            </w:r>
          </w:p>
        </w:tc>
      </w:tr>
      <w:tr>
        <w:trPr>
          <w:cantSplit/>
        </w:trPr>
        <w:tc>
          <w:tcPr>
            <w:tcW w:w="2250" w:type="dxa"/>
            <w:shd w:fill="F1F5F8"/>
            <w:vAlign w:val="top"/>
          </w:tcPr>
          <w:p>
            <w:pPr>
              <w:pStyle w:val="TableText"/>
            </w:pPr>
            <w:r>
              <w:t xml:space="preserve">並行／容錯</w:t>
            </w:r>
          </w:p>
        </w:tc>
        <w:tc>
          <w:tcPr>
            <w:tcW w:w="6750" w:type="dxa"/>
            <w:shd w:fill="F1F5F8"/>
            <w:vAlign w:val="top"/>
          </w:tcPr>
          <w:p>
            <w:pPr>
              <w:pStyle w:val="TableText"/>
            </w:pPr>
            <w:r>
              <w:t xml:space="preserve">各 key 檔案鎖及原子 metadata 寫入；單一模板 metadata 損壞略過並提示。完整備份須涵蓋 MySQL、文件 volume、指南映像與設定。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GET 回 manuals/files/trash，?manual=&lt;id&gt; 或 ?fileId=&lt;UUID&gt; 下載；POST multipart file 上傳；PATCH action=rename/restore；DELETE 移至回收桶。指南 id 依部署 MANUALS 定義；其他指南的獨立日期不代表其摘要優先於後續已確認業務規則。</w:t>
      </w:r>
    </w:p>
    <w:p>
      <w:pPr>
        <w:pStyle w:val="Bullet"/>
      </w:pPr>
      <w:r>
        <w:t xml:space="preserve">• 主檔停用保留歷史引用；更名或修改Class/RI/Clause前確認新案件選用及新Word影響，尤其完整Facility名稱觸發規則。</w:t>
      </w:r>
    </w:p>
    <w:p>
      <w:pPr>
        <w:pStyle w:val="Bullet"/>
      </w:pPr>
      <w:r>
        <w:t xml:space="preserve">• 備份MySQL、文件volume、指南映像與非機密部署版本；機密另保護。直接SQL不能取代API的版本、snapshot、月份鎖、合併確認與歷史保護。</w:t>
      </w:r>
    </w:p>
    <w:p>
      <w:pPr>
        <w:pStyle w:val="Heading1"/>
      </w:pPr>
      <w:bookmarkStart w:id="21" w:name="sec10"/>
      <w:r>
        <w:t xml:space="preserve">10. 核對來源</w:t>
      </w:r>
      <w:bookmarkEnd w:id="21"/>
    </w:p>
    <w:p>
      <w:pPr>
        <w:pStyle w:val="Normal"/>
      </w:pPr>
      <w:r>
        <w:t xml:space="preserve">現況核對：2026-10-27 23:33:54（台灣時間）。僅擷取結構、設定與程式雜湊，不匯出案件、現金或人員明細；文件更新不變更業務規則。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00"/>
        <w:gridCol w:w="6700"/>
      </w:tblGrid>
      <w:tr>
        <w:trPr>
          <w:cantSplit/>
          <w:tblHeader/>
        </w:trPr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來源</w:t>
            </w:r>
          </w:p>
        </w:tc>
        <w:tc>
          <w:tcPr>
            <w:tcW w:w="6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information_schema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實際 TABLES／COLUMNS／STATISTICS／FK／CHECK／TRIGGERS；trigger 以維護者權限補讀，網站執行帳號未必可見。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Django／權限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django_migrations、model defaults／choices、SHOW GRANTS FOR CURRENT_USER、非機密 settings。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部署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/opt/ri-system/backend、frontend、VM-RULES.md；執行中 ri-backend、ri-nginx、ri-mysql。Git HEAD 不代表目前部署版，不能拿舊 HEAD 覆蓋。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一致性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289 份執行中 Python 檔案均逐一比對製作來源 SHA-256；發布前再檢查映像與來源未變。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Code"/>
      </w:pPr>
      <w:r>
        <w:t xml:space="preserve">/ri-nginx sha256:433d5951f98ddb685bf71e4911ad235a53f49556f4f78f4bdb87443f4cf76ee3 2026-10-27T15:28:36.943549678Z</w:t>
      </w:r>
    </w:p>
    <w:p>
      <w:pPr>
        <w:pStyle w:val="Code"/>
      </w:pPr>
      <w:r>
        <w:t xml:space="preserve">/ri-backend sha256:730557186771ed3c62bc0dfef337c17c5bf160dcf6a734d5d5817e529f5f78fe 2026-10-27T15:28:15.288501441Z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來源相對路徑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masterdata/models.py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11240d9469cfbe1647f312ffeaa2c4ce89a1bbc6af62d4307f6377e268397d66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c62da1d6ec073aa12da326837e2c27e01172eb0a8acf8744761e3a8c14fe0a62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masterdata/market_views.py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10c58c4181503fdd49e46ff926501667af107f2c9d28741e4b43f47f2aea7bd5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masterdata/lloyds_market.py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8b6157c082b4e5118016209e81bed944577cf9e57b2a7502dfed17056dc9ac9d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personnel/models.py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39de2f14f1f81f9973e35d2fc4ef7148ec12f1d8a7e3f88f132bd6b6f8d8d16f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personnel/accounts.py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2fe13a0d34e17c3b73f32f8b45d9b0276e7e8b9e5d6b8b0b035e53835b69c529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ri_system/authz.py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8aa8afb72a05a9aecd5ad2567322f2c8ee921ccde3a23b0b338a957d86a105ce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ri_system/reference_views.py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edebf9fdba39bec0e848bc0d5c5fe38768ff842054469f6acc2110e13d732e36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cases/models.py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3c2f395d9770ad577ffcc9d9bfb452920d5cb6636e81e039968b3430c0b703c1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cases/insured_master.py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de06999d7456054ed8a625cea39e008c3727294d4e4f862b31c033c8ed349a69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cases/insured_views.py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847140a8526fc362a65b8ce59b1966a7fa4e8d11a9d222b317e041d0a70ee642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cases/draft.py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4ac8eb194858e20d3a347a644883d2ab3be2c49c23a10092f72266d15aa6bdca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cases/draft_input.py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fe58a9e48a472e280626406a11808fe1fdb313cc2f49664178521911df10a755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cases/cgl_qs.py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a28f783880e7477aa04eed283fea340b8cbfc30345bbf0370d8f4b3a586acdbc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cases/facility_selection.py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dde8de32b6d0653d428e1915d22ae12a315f4494a752cd5c4d90549a5ef0f814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cases/accounting_policy.py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750a8b8cdb2dd5d88fe138d1b2579b2546e5bccec93b94820ffda1cdb61e5628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cases/property_original.py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ffacae01bcc3b4e467eb1e0cfdc725c6bf824ae949749998ce3353c5f596dcef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cases/premium_ledger.py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f9b477329609852c105f671431ca1f0bee8c0b5f9bea7c001d36a820847a2214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cases/cash_ledger.py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094f4cab048471af9d6b416800ae3b0fb08e9e9138bdc78ff67443a6a67559d5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cases/transaction_payments.py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5101e7f93ff6e9f37722f846a1555cec90f4314c22e5d09660d117f797c68c45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cases/swiss_cgl.py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470b07ad3f3ac4c31f514887f1905ef454ee8e10f846a4aac38fa623be247c2b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cases/calc/swiss_facility.py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dcf841fe45789e85dd5804c43b39e1a5f9b67c7fb8148b527aea69dfb19d6171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cases/data_integrity.py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21d5130457364e8cf5edbf2e0801aa55e491911fb88f1100e627cb5b5b2991a4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cases/qs_documents.py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ad64a86f9ea1e2f35db8b0ec0116efc304a2b47133376693be0040c45a1d4769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cases/generated_document_views.py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5fb32b81b73ae1d298cc394bb159a86c609faf2536ad66230e15f9f4a55f3796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production/closing.py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a7cb788cbd7507d053a4d64f13f51175fe3f0eb1c7e07d973f6405e3b844dc65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reminders/runner.py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43412ce295532fbc570326d1471605e2928671bd01b136996d340343fa491192</w:t>
            </w:r>
          </w:p>
        </w:tc>
      </w:tr>
    </w:tbl>
    <w:p>
      <w:pPr>
        <w:pStyle w:val="TableSpacer"/>
      </w:pPr>
      <w:r>
        <w:t xml:space="preserve"/>
      </w:r>
    </w:p>
    <w:sectPr>
      <w:headerReference w:type="default" r:id="rIdHeader"/>
      <w:footerReference w:type="default" r:id="rIdFooter"/>
      <w:pgSz w:w="11906" w:h="16838"/>
      <w:pgMar w:top="1134" w:right="1453" w:bottom="1134" w:left="1453" w:header="567" w:footer="567"/>
      <w:cols w:space="708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 xml:space="preserve">2026-10-27  ·  第 </w:t>
    </w:r>
    <w:fldSimple w:instr="PAGE">
      <w:r>
        <w:rPr>
          <w:sz w:val="16"/>
        </w:rPr>
        <w:t xml:space="preserve">1</w:t>
      </w:r>
    </w:fldSimple>
    <w:r>
      <w:rPr>
        <w:sz w:val="16"/>
      </w:rPr>
      <w:t xml:space="preserve"> 頁／共 </w:t>
    </w:r>
    <w:fldSimple w:instr="NUMPAGES">
      <w:r>
        <w:rPr>
          <w:sz w:val="16"/>
        </w:rPr>
        <w:t xml:space="preserve">1</w:t>
      </w:r>
    </w:fldSimple>
    <w:r>
      <w:rPr>
        <w:sz w:val="16"/>
      </w:rPr>
      <w:t xml:space="preserve"> 頁</w:t>
    </w:r>
  </w:p>
</w:ftr>
</file>

<file path=word/header1.xml><?xml version="1.0" encoding="utf-8"?>
<w:hdr xmlns:w="http://schemas.openxmlformats.org/wordprocessingml/2006/main">
  <w:p>
    <w:pPr>
      <w:spacing w:after="80"/>
      <w:pBdr>
        <w:bottom w:val="single" w:sz="4" w:color="B7C7D3"/>
      </w:pBdr>
    </w:pPr>
    <w:r>
      <w:rPr>
        <w:sz w:val="16"/>
        <w:color w:val="536674"/>
      </w:rPr>
      <w:t xml:space="preserve">Reinsurance Department System  |  MDM 主檔管理</w:t>
    </w:r>
  </w:p>
</w:hdr>
</file>

<file path=word/settings.xml><?xml version="1.0" encoding="utf-8"?>
<w:settings xmlns:w="http://schemas.openxmlformats.org/wordprocessingml/2006/main">
  <w:defaultTabStop w:val="420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JhengHei"/>
        <w:sz w:val="21"/>
        <w:szCs w:val="21"/>
        <w:lang w:val="en-US" w:eastAsia="zh-TW"/>
      </w:rPr>
    </w:rPrDefault>
    <w:pPrDefault>
      <w:pPr>
        <w:spacing w:after="90" w:line="300" w:lineRule="auto"/>
      </w:pPr>
    </w:pPrDefault>
  </w:docDefaults>
  <w:style w:type="paragraph" w:styleId="Normal" w:default="1">
    <w:name w:val="正文"/>
    <w:pPr>
      <w:spacing w:before="0" w:after="90" w:line="300" w:lineRule="auto"/>
      <w:widowControl/>
    </w:pPr>
    <w:rPr>
      <w:sz w:val="21"/>
      <w:szCs w:val="21"/>
      <w:color w:val="202B33"/>
    </w:rPr>
  </w:style>
  <w:style w:type="paragraph" w:styleId="Title">
    <w:name w:val="文件標題"/>
    <w:basedOn w:val="Normal"/>
    <w:pPr>
      <w:spacing w:before="200" w:after="250" w:line="300" w:lineRule="auto"/>
      <w:widowControl/>
    </w:pPr>
    <w:rPr>
      <w:sz w:val="40"/>
      <w:szCs w:val="40"/>
      <w:b/>
      <w:color w:val="245C80"/>
    </w:rPr>
  </w:style>
  <w:style w:type="paragraph" w:styleId="Subtitle">
    <w:name w:val="副標題"/>
    <w:basedOn w:val="Normal"/>
    <w:pPr>
      <w:spacing w:before="100" w:after="160" w:line="300" w:lineRule="auto"/>
      <w:widowControl/>
    </w:pPr>
    <w:rPr>
      <w:sz w:val="24"/>
      <w:szCs w:val="24"/>
      <w:color w:val="536674"/>
    </w:rPr>
  </w:style>
  <w:style w:type="paragraph" w:styleId="Heading1">
    <w:name w:val="標題 1"/>
    <w:basedOn w:val="Normal"/>
    <w:pPr>
      <w:keepNext/>
      <w:outlineLvl w:val="0"/>
      <w:spacing w:before="280" w:after="150" w:line="300" w:lineRule="auto"/>
      <w:widowControl/>
    </w:pPr>
    <w:rPr>
      <w:sz w:val="30"/>
      <w:szCs w:val="30"/>
      <w:b/>
      <w:color w:val="245C80"/>
    </w:rPr>
  </w:style>
  <w:style w:type="paragraph" w:styleId="Heading2">
    <w:name w:val="標題 2"/>
    <w:basedOn w:val="Normal"/>
    <w:pPr>
      <w:keepNext/>
      <w:outlineLvl w:val="1"/>
      <w:spacing w:before="200" w:after="110" w:line="300" w:lineRule="auto"/>
      <w:widowControl/>
    </w:pPr>
    <w:rPr>
      <w:sz w:val="25"/>
      <w:szCs w:val="25"/>
      <w:b/>
      <w:color w:val="245C80"/>
    </w:rPr>
  </w:style>
  <w:style w:type="paragraph" w:styleId="Heading3">
    <w:name w:val="標題 3"/>
    <w:basedOn w:val="Normal"/>
    <w:pPr>
      <w:keepNext/>
      <w:outlineLvl w:val="2"/>
      <w:spacing w:before="180" w:after="90" w:line="300" w:lineRule="auto"/>
      <w:widowControl/>
    </w:pPr>
    <w:rPr>
      <w:sz w:val="22"/>
      <w:szCs w:val="22"/>
      <w:b/>
      <w:color w:val="245C80"/>
    </w:rPr>
  </w:style>
  <w:style w:type="paragraph" w:styleId="TableText">
    <w:name w:val="表格文字"/>
    <w:basedOn w:val="Normal"/>
    <w:pPr>
      <w:spacing w:before="0" w:after="20" w:line="255" w:lineRule="auto"/>
      <w:widowControl/>
    </w:pPr>
    <w:rPr>
      <w:sz w:val="18"/>
      <w:szCs w:val="18"/>
      <w:color w:val="202B33"/>
    </w:rPr>
  </w:style>
  <w:style w:type="paragraph" w:styleId="TableSpacer">
    <w:name w:val="表後間距"/>
    <w:basedOn w:val="Normal"/>
    <w:pPr>
      <w:spacing w:before="0" w:after="20" w:line="300" w:lineRule="auto"/>
      <w:widowControl/>
    </w:pPr>
    <w:rPr>
      <w:sz w:val="6"/>
      <w:szCs w:val="6"/>
      <w:color w:val="202B33"/>
    </w:rPr>
  </w:style>
  <w:style w:type="paragraph" w:styleId="Note">
    <w:name w:val="附註"/>
    <w:basedOn w:val="Normal"/>
    <w:pPr>
      <w:spacing w:before="40" w:after="90" w:line="300" w:lineRule="auto"/>
      <w:widowControl/>
    </w:pPr>
    <w:rPr>
      <w:sz w:val="19"/>
      <w:szCs w:val="19"/>
      <w:color w:val="536674"/>
    </w:rPr>
  </w:style>
  <w:style w:type="paragraph" w:styleId="Bullet">
    <w:name w:val="項目"/>
    <w:basedOn w:val="Normal"/>
    <w:pPr>
      <w:ind w:left="250" w:hanging="250"/>
      <w:spacing w:before="0" w:after="70" w:line="300" w:lineRule="auto"/>
      <w:widowControl/>
    </w:pPr>
    <w:rPr>
      <w:sz w:val="21"/>
      <w:szCs w:val="21"/>
      <w:color w:val="202B33"/>
    </w:rPr>
  </w:style>
  <w:style w:type="paragraph" w:styleId="Code">
    <w:name w:val="程式與資料範例"/>
    <w:basedOn w:val="Normal"/>
    <w:pPr>
      <w:spacing w:before="0" w:after="10" w:line="255" w:lineRule="auto"/>
      <w:widowControl/>
    </w:pPr>
    <w:rPr>
      <w:rFonts w:ascii="Consolas" w:hAnsi="Consolas" w:eastAsia="Microsoft JhengHei"/>
      <w:sz w:val="17"/>
      <w:szCs w:val="17"/>
      <w:color w:val="202B33"/>
    </w:rPr>
  </w:style>
  <w:style w:type="paragraph" w:styleId="TOC1">
    <w:name w:val="目錄"/>
    <w:basedOn w:val="Normal"/>
    <w:pPr>
      <w:spacing w:before="50" w:after="100" w:line="300" w:lineRule="auto"/>
      <w:widowControl/>
    </w:pPr>
    <w:rPr>
      <w:sz w:val="23"/>
      <w:szCs w:val="23"/>
      <w:color w:val="245C8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MDM 主檔管理說明</dc:title>
  <dc:creator>Reinsurance Department System</dc:creator>
  <dc:description>目前 VM 完整說明；2026-10-27</dc:description>
  <dcterms:created xsi:type="dcterms:W3CDTF">2026-10-27T15:33:54.220274+00:00</dcterms:created>
</cp:coreProperties>
</file>