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QBE Facility - PD</w:t>
      </w:r>
    </w:p>
    <w:p>
      <w:pPr>
        <w:pStyle w:val="Subtitle"/>
      </w:pPr>
      <w:r>
        <w:t xml:space="preserve">專屬規則｜2026/10/29</w:t>
      </w:r>
    </w:p>
    <w:p>
      <w:pPr>
        <w:pStyle w:val="Note"/>
      </w:pPr>
      <w:r>
        <w:t xml:space="preserve">依目前上線版本整理，只列本 Facility 的 Property 差異。日期範例均為合成案例。</w:t>
      </w:r>
    </w:p>
    <w:p>
      <w:pPr>
        <w:pStyle w:val="Heading1"/>
      </w:pPr>
      <w:bookmarkStart w:id="1" w:name="heading_1"/>
      <w:r>
        <w:t xml:space="preserve">一、適用範圍</w:t>
      </w:r>
      <w:bookmarkEnd w:id="1"/>
    </w:p>
    <w:p>
      <w:pPr>
        <w:pStyle w:val="Normal"/>
      </w:pPr>
      <w:r>
        <w:t xml:space="preserve">再保人須為 QBE Hongkong &amp; Shanghai Insurance Limited (Facility)，險種為 Property（本文稱 PD）。Property 的 QS、XOL 均可適用。</w:t>
      </w:r>
    </w:p>
    <w:p>
      <w:pPr>
        <w:pStyle w:val="Normal"/>
      </w:pPr>
      <w:r>
        <w:t xml:space="preserve">本文件不套用至未含「(Facility)」的一般 QBE。共用的建帳、收付、銷帳、理賠及權限流程不在本文件重列。</w:t>
      </w:r>
    </w:p>
    <w:p>
      <w:pPr>
        <w:pStyle w:val="Heading1"/>
      </w:pPr>
      <w:bookmarkStart w:id="2" w:name="heading_2"/>
      <w:r>
        <w:t xml:space="preserve">二、Property 固定條款</w:t>
      </w:r>
      <w:bookmarkEnd w:id="2"/>
    </w:p>
    <w:p>
      <w:pPr>
        <w:pStyle w:val="Normal"/>
      </w:pPr>
      <w:r>
        <w:t xml:space="preserve">目前 QBE Facility 主檔對 Property 指定以下12項固定條款：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50"/>
        <w:gridCol w:w="6650"/>
      </w:tblGrid>
      <w:tr>
        <w:trPr>
          <w:cantSplit/>
          <w:tblHeader/>
        </w:trPr>
        <w:tc>
          <w:tcPr>
            <w:tcW w:w="23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代碼</w:t>
            </w:r>
          </w:p>
        </w:tc>
        <w:tc>
          <w:tcPr>
            <w:tcW w:w="66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目前條款名稱</w:t>
            </w:r>
          </w:p>
        </w:tc>
      </w:tr>
      <w:tr>
        <w:trPr>
          <w:cantSplit/>
        </w:trPr>
        <w:tc>
          <w:tcPr>
            <w:tcW w:w="2350" w:type="dxa"/>
            <w:shd w:fill="FFFFFF"/>
            <w:vAlign w:val="top"/>
          </w:tcPr>
          <w:p>
            <w:pPr>
              <w:pStyle w:val="TableText"/>
            </w:pPr>
            <w:r>
              <w:t xml:space="preserve">EX-GRATIA</w:t>
            </w:r>
          </w:p>
        </w:tc>
        <w:tc>
          <w:tcPr>
            <w:tcW w:w="6650" w:type="dxa"/>
            <w:shd w:fill="FFFFFF"/>
            <w:vAlign w:val="top"/>
          </w:tcPr>
          <w:p>
            <w:pPr>
              <w:pStyle w:val="TableText"/>
            </w:pPr>
            <w:r>
              <w:t xml:space="preserve">Excluding Ex-Gratia and without prejudice payments</w:t>
            </w:r>
          </w:p>
        </w:tc>
      </w:tr>
      <w:tr>
        <w:trPr>
          <w:cantSplit/>
        </w:trPr>
        <w:tc>
          <w:tcPr>
            <w:tcW w:w="2350" w:type="dxa"/>
            <w:shd w:fill="F1F5F8"/>
            <w:vAlign w:val="top"/>
          </w:tcPr>
          <w:p>
            <w:pPr>
              <w:pStyle w:val="TableText"/>
            </w:pPr>
            <w:r>
              <w:t xml:space="preserve">FOLLOW_FORTUNES</w:t>
            </w:r>
          </w:p>
        </w:tc>
        <w:tc>
          <w:tcPr>
            <w:tcW w:w="6650" w:type="dxa"/>
            <w:shd w:fill="F1F5F8"/>
            <w:vAlign w:val="top"/>
          </w:tcPr>
          <w:p>
            <w:pPr>
              <w:pStyle w:val="TableText"/>
            </w:pPr>
            <w:r>
              <w:t xml:space="preserve">Follow Fortunes Clause</w:t>
            </w:r>
          </w:p>
        </w:tc>
      </w:tr>
      <w:tr>
        <w:trPr>
          <w:cantSplit/>
        </w:trPr>
        <w:tc>
          <w:tcPr>
            <w:tcW w:w="2350" w:type="dxa"/>
            <w:shd w:fill="FFFFFF"/>
            <w:vAlign w:val="top"/>
          </w:tcPr>
          <w:p>
            <w:pPr>
              <w:pStyle w:val="TableText"/>
            </w:pPr>
            <w:r>
              <w:t xml:space="preserve">LMA3100</w:t>
            </w:r>
          </w:p>
        </w:tc>
        <w:tc>
          <w:tcPr>
            <w:tcW w:w="6650" w:type="dxa"/>
            <w:shd w:fill="FFFFFF"/>
            <w:vAlign w:val="top"/>
          </w:tcPr>
          <w:p>
            <w:pPr>
              <w:pStyle w:val="TableText"/>
            </w:pPr>
            <w:r>
              <w:t xml:space="preserve">LMA3100 Sanctions Limitations and Exclusion Clause</w:t>
            </w:r>
          </w:p>
        </w:tc>
      </w:tr>
      <w:tr>
        <w:trPr>
          <w:cantSplit/>
        </w:trPr>
        <w:tc>
          <w:tcPr>
            <w:tcW w:w="2350" w:type="dxa"/>
            <w:shd w:fill="F1F5F8"/>
            <w:vAlign w:val="top"/>
          </w:tcPr>
          <w:p>
            <w:pPr>
              <w:pStyle w:val="TableText"/>
            </w:pPr>
            <w:r>
              <w:t xml:space="preserve">LMA5393</w:t>
            </w:r>
          </w:p>
        </w:tc>
        <w:tc>
          <w:tcPr>
            <w:tcW w:w="6650" w:type="dxa"/>
            <w:shd w:fill="F1F5F8"/>
            <w:vAlign w:val="top"/>
          </w:tcPr>
          <w:p>
            <w:pPr>
              <w:pStyle w:val="TableText"/>
            </w:pPr>
            <w:r>
              <w:t xml:space="preserve">LMA5393 Communicable Disease Endorsement</w:t>
            </w:r>
          </w:p>
        </w:tc>
      </w:tr>
      <w:tr>
        <w:trPr>
          <w:cantSplit/>
        </w:trPr>
        <w:tc>
          <w:tcPr>
            <w:tcW w:w="2350" w:type="dxa"/>
            <w:shd w:fill="FFFFFF"/>
            <w:vAlign w:val="top"/>
          </w:tcPr>
          <w:p>
            <w:pPr>
              <w:pStyle w:val="TableText"/>
            </w:pPr>
            <w:r>
              <w:t xml:space="preserve">LMA5411</w:t>
            </w:r>
          </w:p>
        </w:tc>
        <w:tc>
          <w:tcPr>
            <w:tcW w:w="6650" w:type="dxa"/>
            <w:shd w:fill="FFFFFF"/>
            <w:vAlign w:val="top"/>
          </w:tcPr>
          <w:p>
            <w:pPr>
              <w:pStyle w:val="TableText"/>
            </w:pPr>
            <w:r>
              <w:t xml:space="preserve">LMA5411 Cyber Loss Exclusion</w:t>
            </w:r>
          </w:p>
        </w:tc>
      </w:tr>
      <w:tr>
        <w:trPr>
          <w:cantSplit/>
        </w:trPr>
        <w:tc>
          <w:tcPr>
            <w:tcW w:w="2350" w:type="dxa"/>
            <w:shd w:fill="F1F5F8"/>
            <w:vAlign w:val="top"/>
          </w:tcPr>
          <w:p>
            <w:pPr>
              <w:pStyle w:val="TableText"/>
            </w:pPr>
            <w:r>
              <w:t xml:space="preserve">NMA1622</w:t>
            </w:r>
          </w:p>
        </w:tc>
        <w:tc>
          <w:tcPr>
            <w:tcW w:w="6650" w:type="dxa"/>
            <w:shd w:fill="F1F5F8"/>
            <w:vAlign w:val="top"/>
          </w:tcPr>
          <w:p>
            <w:pPr>
              <w:pStyle w:val="TableText"/>
            </w:pPr>
            <w:r>
              <w:t xml:space="preserve">NMA1622 Radioactive Contamination and Explosive Nuclear Assemblies Exclusion Clause</w:t>
            </w:r>
          </w:p>
        </w:tc>
      </w:tr>
      <w:tr>
        <w:trPr>
          <w:cantSplit/>
        </w:trPr>
        <w:tc>
          <w:tcPr>
            <w:tcW w:w="2350" w:type="dxa"/>
            <w:shd w:fill="FFFFFF"/>
            <w:vAlign w:val="top"/>
          </w:tcPr>
          <w:p>
            <w:pPr>
              <w:pStyle w:val="TableText"/>
            </w:pPr>
            <w:r>
              <w:t xml:space="preserve">NMA1685</w:t>
            </w:r>
          </w:p>
        </w:tc>
        <w:tc>
          <w:tcPr>
            <w:tcW w:w="6650" w:type="dxa"/>
            <w:shd w:fill="FFFFFF"/>
            <w:vAlign w:val="top"/>
          </w:tcPr>
          <w:p>
            <w:pPr>
              <w:pStyle w:val="TableText"/>
            </w:pPr>
            <w:r>
              <w:t xml:space="preserve">NMA1685 Pollution and Contamination Exclusion</w:t>
            </w:r>
          </w:p>
        </w:tc>
      </w:tr>
      <w:tr>
        <w:trPr>
          <w:cantSplit/>
        </w:trPr>
        <w:tc>
          <w:tcPr>
            <w:tcW w:w="2350" w:type="dxa"/>
            <w:shd w:fill="F1F5F8"/>
            <w:vAlign w:val="top"/>
          </w:tcPr>
          <w:p>
            <w:pPr>
              <w:pStyle w:val="TableText"/>
            </w:pPr>
            <w:r>
              <w:t xml:space="preserve">NMA2919</w:t>
            </w:r>
          </w:p>
        </w:tc>
        <w:tc>
          <w:tcPr>
            <w:tcW w:w="6650" w:type="dxa"/>
            <w:shd w:fill="F1F5F8"/>
            <w:vAlign w:val="top"/>
          </w:tcPr>
          <w:p>
            <w:pPr>
              <w:pStyle w:val="TableText"/>
            </w:pPr>
            <w:r>
              <w:t xml:space="preserve">NMA2919 War and Terrorism Exclusion</w:t>
            </w:r>
          </w:p>
        </w:tc>
      </w:tr>
      <w:tr>
        <w:trPr>
          <w:cantSplit/>
        </w:trPr>
        <w:tc>
          <w:tcPr>
            <w:tcW w:w="2350" w:type="dxa"/>
            <w:shd w:fill="FFFFFF"/>
            <w:vAlign w:val="top"/>
          </w:tcPr>
          <w:p>
            <w:pPr>
              <w:pStyle w:val="TableText"/>
            </w:pPr>
            <w:r>
              <w:t xml:space="preserve">NMA2962</w:t>
            </w:r>
          </w:p>
        </w:tc>
        <w:tc>
          <w:tcPr>
            <w:tcW w:w="6650" w:type="dxa"/>
            <w:shd w:fill="FFFFFF"/>
            <w:vAlign w:val="top"/>
          </w:tcPr>
          <w:p>
            <w:pPr>
              <w:pStyle w:val="TableText"/>
            </w:pPr>
            <w:r>
              <w:t xml:space="preserve">NMA2962 Chemical and Biological Exclusion Clause</w:t>
            </w:r>
          </w:p>
        </w:tc>
      </w:tr>
      <w:tr>
        <w:trPr>
          <w:cantSplit/>
        </w:trPr>
        <w:tc>
          <w:tcPr>
            <w:tcW w:w="2350" w:type="dxa"/>
            <w:shd w:fill="F1F5F8"/>
            <w:vAlign w:val="top"/>
          </w:tcPr>
          <w:p>
            <w:pPr>
              <w:pStyle w:val="TableText"/>
            </w:pPr>
            <w:r>
              <w:t xml:space="preserve">POLITICAL_RISK</w:t>
            </w:r>
          </w:p>
        </w:tc>
        <w:tc>
          <w:tcPr>
            <w:tcW w:w="6650" w:type="dxa"/>
            <w:shd w:fill="F1F5F8"/>
            <w:vAlign w:val="top"/>
          </w:tcPr>
          <w:p>
            <w:pPr>
              <w:pStyle w:val="TableText"/>
            </w:pPr>
            <w:r>
              <w:t xml:space="preserve">Political Risk Exclusion</w:t>
            </w:r>
          </w:p>
        </w:tc>
      </w:tr>
      <w:tr>
        <w:trPr>
          <w:cantSplit/>
        </w:trPr>
        <w:tc>
          <w:tcPr>
            <w:tcW w:w="2350" w:type="dxa"/>
            <w:shd w:fill="FFFFFF"/>
            <w:vAlign w:val="top"/>
          </w:tcPr>
          <w:p>
            <w:pPr>
              <w:pStyle w:val="TableText"/>
            </w:pPr>
            <w:r>
              <w:t xml:space="preserve">PROP_FAC</w:t>
            </w:r>
          </w:p>
        </w:tc>
        <w:tc>
          <w:tcPr>
            <w:tcW w:w="6650" w:type="dxa"/>
            <w:shd w:fill="FFFFFF"/>
            <w:vAlign w:val="top"/>
          </w:tcPr>
          <w:p>
            <w:pPr>
              <w:pStyle w:val="TableText"/>
            </w:pPr>
            <w:r>
              <w:t xml:space="preserve">Proportional Facultative Reinsurance Clause</w:t>
            </w:r>
          </w:p>
        </w:tc>
      </w:tr>
      <w:tr>
        <w:trPr>
          <w:cantSplit/>
        </w:trPr>
        <w:tc>
          <w:tcPr>
            <w:tcW w:w="2350" w:type="dxa"/>
            <w:shd w:fill="F1F5F8"/>
            <w:vAlign w:val="top"/>
          </w:tcPr>
          <w:p>
            <w:pPr>
              <w:pStyle w:val="TableText"/>
            </w:pPr>
            <w:r>
              <w:t xml:space="preserve">SUBMARINE_CABLES</w:t>
            </w:r>
          </w:p>
        </w:tc>
        <w:tc>
          <w:tcPr>
            <w:tcW w:w="6650" w:type="dxa"/>
            <w:shd w:fill="F1F5F8"/>
            <w:vAlign w:val="top"/>
          </w:tcPr>
          <w:p>
            <w:pPr>
              <w:pStyle w:val="TableText"/>
            </w:pPr>
            <w:r>
              <w:t xml:space="preserve">Sub-Marine Cables &amp; Overhead Transmission and Distribution Lines Exclusion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條款名稱依目前 Clause 主檔原文列示。</w:t>
      </w:r>
    </w:p>
    <w:p>
      <w:pPr>
        <w:pageBreakBefore/>
        <w:pStyle w:val="Heading1"/>
      </w:pPr>
      <w:bookmarkStart w:id="3" w:name="heading_3"/>
      <w:r>
        <w:t xml:space="preserve">三、承保年度與季度</w:t>
      </w:r>
      <w:bookmarkEnd w:id="3"/>
    </w:p>
    <w:p>
      <w:pPr>
        <w:pStyle w:val="Normal"/>
      </w:pPr>
      <w:r>
        <w:t xml:space="preserve">QBE 的承保年度從每年8月1日起，至翌年7月31日止。季度依該筆保費或退保費的基準日判斷。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000"/>
        <w:gridCol w:w="4200"/>
        <w:gridCol w:w="2800"/>
      </w:tblGrid>
      <w:tr>
        <w:trPr>
          <w:cantSplit/>
          <w:tblHeader/>
        </w:trPr>
        <w:tc>
          <w:tcPr>
            <w:tcW w:w="20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季度（承保年Y）</w:t>
            </w:r>
          </w:p>
        </w:tc>
        <w:tc>
          <w:tcPr>
            <w:tcW w:w="42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基準日所在區間</w:t>
            </w:r>
          </w:p>
        </w:tc>
        <w:tc>
          <w:tcPr>
            <w:tcW w:w="28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季度末 Q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t xml:space="preserve">第一季 Q1</w:t>
            </w:r>
          </w:p>
        </w:tc>
        <w:tc>
          <w:tcPr>
            <w:tcW w:w="4200" w:type="dxa"/>
            <w:shd w:fill="FFFFFF"/>
            <w:vAlign w:val="top"/>
          </w:tcPr>
          <w:p>
            <w:pPr>
              <w:pStyle w:val="TableText"/>
            </w:pPr>
            <w:r>
              <w:t xml:space="preserve">Y年08/01～10/31</w:t>
            </w:r>
          </w:p>
        </w:tc>
        <w:tc>
          <w:tcPr>
            <w:tcW w:w="2800" w:type="dxa"/>
            <w:shd w:fill="FFFFFF"/>
            <w:vAlign w:val="top"/>
          </w:tcPr>
          <w:p>
            <w:pPr>
              <w:pStyle w:val="TableText"/>
            </w:pPr>
            <w:r>
              <w:t xml:space="preserve">Y年10/31</w:t>
            </w:r>
          </w:p>
        </w:tc>
      </w:tr>
      <w:tr>
        <w:trPr>
          <w:cantSplit/>
        </w:trPr>
        <w:tc>
          <w:tcPr>
            <w:tcW w:w="2000" w:type="dxa"/>
            <w:shd w:fill="F1F5F8"/>
            <w:vAlign w:val="top"/>
          </w:tcPr>
          <w:p>
            <w:pPr>
              <w:pStyle w:val="TableText"/>
            </w:pPr>
            <w:r>
              <w:t xml:space="preserve">第二季 Q2</w:t>
            </w:r>
          </w:p>
        </w:tc>
        <w:tc>
          <w:tcPr>
            <w:tcW w:w="4200" w:type="dxa"/>
            <w:shd w:fill="F1F5F8"/>
            <w:vAlign w:val="top"/>
          </w:tcPr>
          <w:p>
            <w:pPr>
              <w:pStyle w:val="TableText"/>
            </w:pPr>
            <w:r>
              <w:t xml:space="preserve">Y年11/01～翌年01/31</w:t>
            </w:r>
          </w:p>
        </w:tc>
        <w:tc>
          <w:tcPr>
            <w:tcW w:w="2800" w:type="dxa"/>
            <w:shd w:fill="F1F5F8"/>
            <w:vAlign w:val="top"/>
          </w:tcPr>
          <w:p>
            <w:pPr>
              <w:pStyle w:val="TableText"/>
            </w:pPr>
            <w:r>
              <w:t xml:space="preserve">翌年01/31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t xml:space="preserve">第三季 Q3</w:t>
            </w:r>
          </w:p>
        </w:tc>
        <w:tc>
          <w:tcPr>
            <w:tcW w:w="4200" w:type="dxa"/>
            <w:shd w:fill="FFFFFF"/>
            <w:vAlign w:val="top"/>
          </w:tcPr>
          <w:p>
            <w:pPr>
              <w:pStyle w:val="TableText"/>
            </w:pPr>
            <w:r>
              <w:t xml:space="preserve">翌年02/01～04/30</w:t>
            </w:r>
          </w:p>
        </w:tc>
        <w:tc>
          <w:tcPr>
            <w:tcW w:w="2800" w:type="dxa"/>
            <w:shd w:fill="FFFFFF"/>
            <w:vAlign w:val="top"/>
          </w:tcPr>
          <w:p>
            <w:pPr>
              <w:pStyle w:val="TableText"/>
            </w:pPr>
            <w:r>
              <w:t xml:space="preserve">翌年04/30</w:t>
            </w:r>
          </w:p>
        </w:tc>
      </w:tr>
      <w:tr>
        <w:trPr>
          <w:cantSplit/>
        </w:trPr>
        <w:tc>
          <w:tcPr>
            <w:tcW w:w="2000" w:type="dxa"/>
            <w:shd w:fill="F1F5F8"/>
            <w:vAlign w:val="top"/>
          </w:tcPr>
          <w:p>
            <w:pPr>
              <w:pStyle w:val="TableText"/>
            </w:pPr>
            <w:r>
              <w:t xml:space="preserve">第四季 Q4</w:t>
            </w:r>
          </w:p>
        </w:tc>
        <w:tc>
          <w:tcPr>
            <w:tcW w:w="4200" w:type="dxa"/>
            <w:shd w:fill="F1F5F8"/>
            <w:vAlign w:val="top"/>
          </w:tcPr>
          <w:p>
            <w:pPr>
              <w:pStyle w:val="TableText"/>
            </w:pPr>
            <w:r>
              <w:t xml:space="preserve">翌年05/01～07/31</w:t>
            </w:r>
          </w:p>
        </w:tc>
        <w:tc>
          <w:tcPr>
            <w:tcW w:w="2800" w:type="dxa"/>
            <w:shd w:fill="F1F5F8"/>
            <w:vAlign w:val="top"/>
          </w:tcPr>
          <w:p>
            <w:pPr>
              <w:pStyle w:val="TableText"/>
            </w:pPr>
            <w:r>
              <w:t xml:space="preserve">翌年07/31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例如2027/01/30的基準日，歸2026承保年度第二季；2027/07/20則歸2026承保年度第四季。</w:t>
      </w:r>
    </w:p>
    <w:p>
      <w:pPr>
        <w:pStyle w:val="Heading1"/>
      </w:pPr>
      <w:bookmarkStart w:id="4" w:name="heading_4"/>
      <w:r>
        <w:t xml:space="preserve">四、QBE 保費及退保費期限</w:t>
      </w:r>
      <w:bookmarkEnd w:id="4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6600"/>
      </w:tblGrid>
      <w:tr>
        <w:trPr>
          <w:cantSplit/>
          <w:tblHeader/>
        </w:trPr>
        <w:tc>
          <w:tcPr>
            <w:tcW w:w="24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66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QBE 專屬日期</w:t>
            </w:r>
          </w:p>
        </w:tc>
      </w:tr>
      <w:tr>
        <w:trPr>
          <w:cantSplit/>
        </w:trPr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t xml:space="preserve">正保費應付到期日</w:t>
            </w:r>
          </w:p>
        </w:tc>
        <w:tc>
          <w:tcPr>
            <w:tcW w:w="6600" w:type="dxa"/>
            <w:shd w:fill="FFFFFF"/>
            <w:vAlign w:val="top"/>
          </w:tcPr>
          <w:p>
            <w:pPr>
              <w:pStyle w:val="TableText"/>
            </w:pPr>
            <w:r>
              <w:t xml:space="preserve">基準日所在承保季度末 Q＋90個日曆天，為QBE最晚收到應付全額的日期。</w:t>
            </w:r>
          </w:p>
        </w:tc>
      </w:tr>
      <w:tr>
        <w:trPr>
          <w:cantSplit/>
        </w:trPr>
        <w:tc>
          <w:tcPr>
            <w:tcW w:w="2400" w:type="dxa"/>
            <w:shd w:fill="F1F5F8"/>
            <w:vAlign w:val="top"/>
          </w:tcPr>
          <w:p>
            <w:pPr>
              <w:pStyle w:val="TableText"/>
            </w:pPr>
            <w:r>
              <w:t xml:space="preserve">退保費應收到期日</w:t>
            </w:r>
          </w:p>
        </w:tc>
        <w:tc>
          <w:tcPr>
            <w:tcW w:w="6600" w:type="dxa"/>
            <w:shd w:fill="F1F5F8"/>
            <w:vAlign w:val="top"/>
          </w:tcPr>
          <w:p>
            <w:pPr>
              <w:pStyle w:val="TableText"/>
            </w:pPr>
            <w:r>
              <w:t xml:space="preserve">同一歸季方式，取季度末 Q＋90個日曆天，為我方最晚收妥QBE全額退款的日期。</w:t>
            </w:r>
          </w:p>
        </w:tc>
      </w:tr>
      <w:tr>
        <w:trPr>
          <w:cantSplit/>
        </w:trPr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t xml:space="preserve">Accounting 會計提醒</w:t>
            </w:r>
          </w:p>
        </w:tc>
        <w:tc>
          <w:tcPr>
            <w:tcW w:w="6600" w:type="dxa"/>
            <w:shd w:fill="FFFFFF"/>
            <w:vAlign w:val="top"/>
          </w:tcPr>
          <w:p>
            <w:pPr>
              <w:pStyle w:val="TableText"/>
            </w:pPr>
            <w:r>
              <w:t xml:space="preserve">季度末 Q＋80個日曆天開始顯示，即上述到期日前10天。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原單／續保的基準日為保單生效日；分期各取該期 Payment Base Date；加費及退費批單取批改生效日與成功 Announce 的台灣日期較晚者。</w:t>
      </w:r>
    </w:p>
    <w:p>
      <w:pPr>
        <w:pStyle w:val="Normal"/>
      </w:pPr>
      <w:r>
        <w:t xml:space="preserve">上述80天、90天均按實際日曆計算，跨年及閏年照算，遇週末或假日不調整。</w:t>
      </w:r>
    </w:p>
    <w:p>
      <w:pPr>
        <w:pStyle w:val="Heading2"/>
      </w:pPr>
      <w:bookmarkStart w:id="5" w:name="heading_5"/>
      <w:r>
        <w:t xml:space="preserve">日期驗算</w:t>
      </w:r>
      <w:bookmarkEnd w:id="5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50"/>
        <w:gridCol w:w="1550"/>
        <w:gridCol w:w="1850"/>
        <w:gridCol w:w="1925"/>
        <w:gridCol w:w="1925"/>
      </w:tblGrid>
      <w:tr>
        <w:trPr>
          <w:cantSplit/>
          <w:tblHeader/>
        </w:trPr>
        <w:tc>
          <w:tcPr>
            <w:tcW w:w="17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</w:t>
            </w:r>
          </w:p>
        </w:tc>
        <w:tc>
          <w:tcPr>
            <w:tcW w:w="15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承保年／季</w:t>
            </w:r>
          </w:p>
        </w:tc>
        <w:tc>
          <w:tcPr>
            <w:tcW w:w="18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季度末</w:t>
            </w:r>
          </w:p>
        </w:tc>
        <w:tc>
          <w:tcPr>
            <w:tcW w:w="1925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＋80天提醒</w:t>
            </w:r>
          </w:p>
        </w:tc>
        <w:tc>
          <w:tcPr>
            <w:tcW w:w="1925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＋90天到期</w:t>
            </w:r>
          </w:p>
        </w:tc>
      </w:tr>
      <w:tr>
        <w:trPr>
          <w:cantSplit/>
        </w:trPr>
        <w:tc>
          <w:tcPr>
            <w:tcW w:w="1750" w:type="dxa"/>
            <w:shd w:fill="FFFFFF"/>
            <w:vAlign w:val="top"/>
          </w:tcPr>
          <w:p>
            <w:pPr>
              <w:pStyle w:val="TableText"/>
            </w:pPr>
            <w:r>
              <w:t xml:space="preserve">2026/10/20</w:t>
            </w:r>
          </w:p>
        </w:tc>
        <w:tc>
          <w:tcPr>
            <w:tcW w:w="1550" w:type="dxa"/>
            <w:shd w:fill="FFFFFF"/>
            <w:vAlign w:val="top"/>
          </w:tcPr>
          <w:p>
            <w:pPr>
              <w:pStyle w:val="TableText"/>
            </w:pPr>
            <w:r>
              <w:t xml:space="preserve">2026 Q1</w:t>
            </w:r>
          </w:p>
        </w:tc>
        <w:tc>
          <w:tcPr>
            <w:tcW w:w="1850" w:type="dxa"/>
            <w:shd w:fill="FFFFFF"/>
            <w:vAlign w:val="top"/>
          </w:tcPr>
          <w:p>
            <w:pPr>
              <w:pStyle w:val="TableText"/>
            </w:pPr>
            <w:r>
              <w:t xml:space="preserve">2026/10/31</w:t>
            </w:r>
          </w:p>
        </w:tc>
        <w:tc>
          <w:tcPr>
            <w:tcW w:w="1925" w:type="dxa"/>
            <w:shd w:fill="FFFFFF"/>
            <w:vAlign w:val="top"/>
          </w:tcPr>
          <w:p>
            <w:pPr>
              <w:pStyle w:val="TableText"/>
            </w:pPr>
            <w:r>
              <w:t xml:space="preserve">2027/01/19</w:t>
            </w:r>
          </w:p>
        </w:tc>
        <w:tc>
          <w:tcPr>
            <w:tcW w:w="1925" w:type="dxa"/>
            <w:shd w:fill="FFFFFF"/>
            <w:vAlign w:val="top"/>
          </w:tcPr>
          <w:p>
            <w:pPr>
              <w:pStyle w:val="TableText"/>
            </w:pPr>
            <w:r>
              <w:t xml:space="preserve">2027/01/29</w:t>
            </w:r>
          </w:p>
        </w:tc>
      </w:tr>
      <w:tr>
        <w:trPr>
          <w:cantSplit/>
        </w:trPr>
        <w:tc>
          <w:tcPr>
            <w:tcW w:w="1750" w:type="dxa"/>
            <w:shd w:fill="F1F5F8"/>
            <w:vAlign w:val="top"/>
          </w:tcPr>
          <w:p>
            <w:pPr>
              <w:pStyle w:val="TableText"/>
            </w:pPr>
            <w:r>
              <w:t xml:space="preserve">2027/01/30</w:t>
            </w:r>
          </w:p>
        </w:tc>
        <w:tc>
          <w:tcPr>
            <w:tcW w:w="1550" w:type="dxa"/>
            <w:shd w:fill="F1F5F8"/>
            <w:vAlign w:val="top"/>
          </w:tcPr>
          <w:p>
            <w:pPr>
              <w:pStyle w:val="TableText"/>
            </w:pPr>
            <w:r>
              <w:t xml:space="preserve">2026 Q2</w:t>
            </w:r>
          </w:p>
        </w:tc>
        <w:tc>
          <w:tcPr>
            <w:tcW w:w="1850" w:type="dxa"/>
            <w:shd w:fill="F1F5F8"/>
            <w:vAlign w:val="top"/>
          </w:tcPr>
          <w:p>
            <w:pPr>
              <w:pStyle w:val="TableText"/>
            </w:pPr>
            <w:r>
              <w:t xml:space="preserve">2027/01/31</w:t>
            </w:r>
          </w:p>
        </w:tc>
        <w:tc>
          <w:tcPr>
            <w:tcW w:w="1925" w:type="dxa"/>
            <w:shd w:fill="F1F5F8"/>
            <w:vAlign w:val="top"/>
          </w:tcPr>
          <w:p>
            <w:pPr>
              <w:pStyle w:val="TableText"/>
            </w:pPr>
            <w:r>
              <w:t xml:space="preserve">2027/04/21</w:t>
            </w:r>
          </w:p>
        </w:tc>
        <w:tc>
          <w:tcPr>
            <w:tcW w:w="1925" w:type="dxa"/>
            <w:shd w:fill="F1F5F8"/>
            <w:vAlign w:val="top"/>
          </w:tcPr>
          <w:p>
            <w:pPr>
              <w:pStyle w:val="TableText"/>
            </w:pPr>
            <w:r>
              <w:t xml:space="preserve">2027/05/01</w:t>
            </w:r>
          </w:p>
        </w:tc>
      </w:tr>
      <w:tr>
        <w:trPr>
          <w:cantSplit/>
        </w:trPr>
        <w:tc>
          <w:tcPr>
            <w:tcW w:w="1750" w:type="dxa"/>
            <w:shd w:fill="FFFFFF"/>
            <w:vAlign w:val="top"/>
          </w:tcPr>
          <w:p>
            <w:pPr>
              <w:pStyle w:val="TableText"/>
            </w:pPr>
            <w:r>
              <w:t xml:space="preserve">2027/02/15</w:t>
            </w:r>
          </w:p>
        </w:tc>
        <w:tc>
          <w:tcPr>
            <w:tcW w:w="1550" w:type="dxa"/>
            <w:shd w:fill="FFFFFF"/>
            <w:vAlign w:val="top"/>
          </w:tcPr>
          <w:p>
            <w:pPr>
              <w:pStyle w:val="TableText"/>
            </w:pPr>
            <w:r>
              <w:t xml:space="preserve">2026 Q3</w:t>
            </w:r>
          </w:p>
        </w:tc>
        <w:tc>
          <w:tcPr>
            <w:tcW w:w="1850" w:type="dxa"/>
            <w:shd w:fill="FFFFFF"/>
            <w:vAlign w:val="top"/>
          </w:tcPr>
          <w:p>
            <w:pPr>
              <w:pStyle w:val="TableText"/>
            </w:pPr>
            <w:r>
              <w:t xml:space="preserve">2027/04/30</w:t>
            </w:r>
          </w:p>
        </w:tc>
        <w:tc>
          <w:tcPr>
            <w:tcW w:w="1925" w:type="dxa"/>
            <w:shd w:fill="FFFFFF"/>
            <w:vAlign w:val="top"/>
          </w:tcPr>
          <w:p>
            <w:pPr>
              <w:pStyle w:val="TableText"/>
            </w:pPr>
            <w:r>
              <w:t xml:space="preserve">2027/07/19</w:t>
            </w:r>
          </w:p>
        </w:tc>
        <w:tc>
          <w:tcPr>
            <w:tcW w:w="1925" w:type="dxa"/>
            <w:shd w:fill="FFFFFF"/>
            <w:vAlign w:val="top"/>
          </w:tcPr>
          <w:p>
            <w:pPr>
              <w:pStyle w:val="TableText"/>
            </w:pPr>
            <w:r>
              <w:t xml:space="preserve">2027/07/29</w:t>
            </w:r>
          </w:p>
        </w:tc>
      </w:tr>
      <w:tr>
        <w:trPr>
          <w:cantSplit/>
        </w:trPr>
        <w:tc>
          <w:tcPr>
            <w:tcW w:w="1750" w:type="dxa"/>
            <w:shd w:fill="F1F5F8"/>
            <w:vAlign w:val="top"/>
          </w:tcPr>
          <w:p>
            <w:pPr>
              <w:pStyle w:val="TableText"/>
            </w:pPr>
            <w:r>
              <w:t xml:space="preserve">2027/07/20</w:t>
            </w:r>
          </w:p>
        </w:tc>
        <w:tc>
          <w:tcPr>
            <w:tcW w:w="1550" w:type="dxa"/>
            <w:shd w:fill="F1F5F8"/>
            <w:vAlign w:val="top"/>
          </w:tcPr>
          <w:p>
            <w:pPr>
              <w:pStyle w:val="TableText"/>
            </w:pPr>
            <w:r>
              <w:t xml:space="preserve">2026 Q4</w:t>
            </w:r>
          </w:p>
        </w:tc>
        <w:tc>
          <w:tcPr>
            <w:tcW w:w="1850" w:type="dxa"/>
            <w:shd w:fill="F1F5F8"/>
            <w:vAlign w:val="top"/>
          </w:tcPr>
          <w:p>
            <w:pPr>
              <w:pStyle w:val="TableText"/>
            </w:pPr>
            <w:r>
              <w:t xml:space="preserve">2027/07/31</w:t>
            </w:r>
          </w:p>
        </w:tc>
        <w:tc>
          <w:tcPr>
            <w:tcW w:w="1925" w:type="dxa"/>
            <w:shd w:fill="F1F5F8"/>
            <w:vAlign w:val="top"/>
          </w:tcPr>
          <w:p>
            <w:pPr>
              <w:pStyle w:val="TableText"/>
            </w:pPr>
            <w:r>
              <w:t xml:space="preserve">2027/10/19</w:t>
            </w:r>
          </w:p>
        </w:tc>
        <w:tc>
          <w:tcPr>
            <w:tcW w:w="1925" w:type="dxa"/>
            <w:shd w:fill="F1F5F8"/>
            <w:vAlign w:val="top"/>
          </w:tcPr>
          <w:p>
            <w:pPr>
              <w:pStyle w:val="TableText"/>
            </w:pPr>
            <w:r>
              <w:t xml:space="preserve">2027/10/29</w:t>
            </w:r>
          </w:p>
        </w:tc>
      </w:tr>
      <w:tr>
        <w:trPr>
          <w:cantSplit/>
        </w:trPr>
        <w:tc>
          <w:tcPr>
            <w:tcW w:w="1750" w:type="dxa"/>
            <w:shd w:fill="FFFFFF"/>
            <w:vAlign w:val="top"/>
          </w:tcPr>
          <w:p>
            <w:pPr>
              <w:pStyle w:val="TableText"/>
            </w:pPr>
            <w:r>
              <w:t xml:space="preserve">2027/12/20</w:t>
            </w:r>
          </w:p>
        </w:tc>
        <w:tc>
          <w:tcPr>
            <w:tcW w:w="1550" w:type="dxa"/>
            <w:shd w:fill="FFFFFF"/>
            <w:vAlign w:val="top"/>
          </w:tcPr>
          <w:p>
            <w:pPr>
              <w:pStyle w:val="TableText"/>
            </w:pPr>
            <w:r>
              <w:t xml:space="preserve">2027 Q2</w:t>
            </w:r>
          </w:p>
        </w:tc>
        <w:tc>
          <w:tcPr>
            <w:tcW w:w="1850" w:type="dxa"/>
            <w:shd w:fill="FFFFFF"/>
            <w:vAlign w:val="top"/>
          </w:tcPr>
          <w:p>
            <w:pPr>
              <w:pStyle w:val="TableText"/>
            </w:pPr>
            <w:r>
              <w:t xml:space="preserve">2028/01/31</w:t>
            </w:r>
          </w:p>
        </w:tc>
        <w:tc>
          <w:tcPr>
            <w:tcW w:w="1925" w:type="dxa"/>
            <w:shd w:fill="FFFFFF"/>
            <w:vAlign w:val="top"/>
          </w:tcPr>
          <w:p>
            <w:pPr>
              <w:pStyle w:val="TableText"/>
            </w:pPr>
            <w:r>
              <w:t xml:space="preserve">2028/04/20</w:t>
            </w:r>
          </w:p>
        </w:tc>
        <w:tc>
          <w:tcPr>
            <w:tcW w:w="1925" w:type="dxa"/>
            <w:shd w:fill="FFFFFF"/>
            <w:vAlign w:val="top"/>
          </w:tcPr>
          <w:p>
            <w:pPr>
              <w:pStyle w:val="TableText"/>
            </w:pPr>
            <w:r>
              <w:t xml:space="preserve">2028/04/30</w:t>
            </w:r>
          </w:p>
        </w:tc>
      </w:tr>
    </w:tbl>
    <w:p>
      <w:pPr>
        <w:pStyle w:val="TableSpacer"/>
      </w:pPr>
      <w:r>
        <w:t xml:space="preserve"/>
      </w:r>
    </w:p>
    <w:p>
      <w:pPr>
        <w:pageBreakBefore/>
        <w:pStyle w:val="Heading1"/>
      </w:pPr>
      <w:bookmarkStart w:id="6" w:name="heading_6"/>
      <w:r>
        <w:t xml:space="preserve">五、加費及退費批單的跨季判斷</w:t>
      </w:r>
      <w:bookmarkEnd w:id="6"/>
    </w:p>
    <w:p>
      <w:pPr>
        <w:pStyle w:val="Normal"/>
      </w:pPr>
      <w:r>
        <w:t xml:space="preserve">加費與退費採相同的歸季方式。實際 Announce 超過季度末時，以較晚的台灣日期歸入下一個承保季度。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50"/>
        <w:gridCol w:w="5350"/>
      </w:tblGrid>
      <w:tr>
        <w:trPr>
          <w:cantSplit/>
          <w:tblHeader/>
        </w:trPr>
        <w:tc>
          <w:tcPr>
            <w:tcW w:w="36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情況</w:t>
            </w:r>
          </w:p>
        </w:tc>
        <w:tc>
          <w:tcPr>
            <w:tcW w:w="53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基準日及 QBE 結果</w:t>
            </w:r>
          </w:p>
        </w:tc>
      </w:tr>
      <w:tr>
        <w:trPr>
          <w:cantSplit/>
        </w:trPr>
        <w:tc>
          <w:tcPr>
            <w:tcW w:w="3650" w:type="dxa"/>
            <w:shd w:fill="FFFFFF"/>
            <w:vAlign w:val="top"/>
          </w:tcPr>
          <w:p>
            <w:pPr>
              <w:pStyle w:val="TableText"/>
            </w:pPr>
            <w:r>
              <w:t xml:space="preserve">批改生效日為2026/10/31，成功 Announce 亦為台灣10/31。</w:t>
            </w:r>
          </w:p>
        </w:tc>
        <w:tc>
          <w:tcPr>
            <w:tcW w:w="5350" w:type="dxa"/>
            <w:shd w:fill="FFFFFF"/>
            <w:vAlign w:val="top"/>
          </w:tcPr>
          <w:p>
            <w:pPr>
              <w:pStyle w:val="TableText"/>
            </w:pPr>
            <w:r>
              <w:t xml:space="preserve">基準日10/31，歸2026承保年度Q1。季末10/31，2027/01/19開始提醒，2027/01/29到期。</w:t>
            </w:r>
          </w:p>
        </w:tc>
      </w:tr>
      <w:tr>
        <w:trPr>
          <w:cantSplit/>
        </w:trPr>
        <w:tc>
          <w:tcPr>
            <w:tcW w:w="3650" w:type="dxa"/>
            <w:shd w:fill="F1F5F8"/>
            <w:vAlign w:val="top"/>
          </w:tcPr>
          <w:p>
            <w:pPr>
              <w:pStyle w:val="TableText"/>
            </w:pPr>
            <w:r>
              <w:t xml:space="preserve">批改生效日為2026/10/31，但成功 Announce 是台灣2026/11/01 00:05。</w:t>
            </w:r>
          </w:p>
        </w:tc>
        <w:tc>
          <w:tcPr>
            <w:tcW w:w="5350" w:type="dxa"/>
            <w:shd w:fill="F1F5F8"/>
            <w:vAlign w:val="top"/>
          </w:tcPr>
          <w:p>
            <w:pPr>
              <w:pStyle w:val="TableText"/>
            </w:pPr>
            <w:r>
              <w:t xml:space="preserve">基準日11/01，歸2026承保年度Q2。季末2027/01/31，2027/04/21開始提醒，2027/05/01到期。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第二例的公告時間若以UTC記錄為2026/10/31 16:05，轉成台灣日期已是11/01，應採第二季。</w:t>
      </w:r>
    </w:p>
    <w:p>
      <w:pPr>
        <w:pStyle w:val="Heading1"/>
      </w:pPr>
      <w:bookmarkStart w:id="7" w:name="heading_7"/>
      <w:r>
        <w:t xml:space="preserve">六、QBE 與保險公司端期限分開</w:t>
      </w:r>
      <w:bookmarkEnd w:id="7"/>
    </w:p>
    <w:p>
      <w:pPr>
        <w:pStyle w:val="Normal"/>
      </w:pPr>
      <w:r>
        <w:t xml:space="preserve">QBE 的季度期限與保險公司端的約定日期分開判斷。以2026/10/20生效的單期QBE案件為例：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3100"/>
        <w:gridCol w:w="3100"/>
      </w:tblGrid>
      <w:tr>
        <w:trPr>
          <w:cantSplit/>
          <w:tblHeader/>
        </w:trPr>
        <w:tc>
          <w:tcPr>
            <w:tcW w:w="28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帳款方向</w:t>
            </w:r>
          </w:p>
        </w:tc>
        <w:tc>
          <w:tcPr>
            <w:tcW w:w="3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畫面會計提醒日</w:t>
            </w:r>
          </w:p>
        </w:tc>
        <w:tc>
          <w:tcPr>
            <w:tcW w:w="3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約定到期日</w:t>
            </w:r>
          </w:p>
        </w:tc>
      </w:tr>
      <w:tr>
        <w:trPr>
          <w:cantSplit/>
        </w:trPr>
        <w:tc>
          <w:tcPr>
            <w:tcW w:w="2800" w:type="dxa"/>
            <w:shd w:fill="FFFFFF"/>
            <w:vAlign w:val="top"/>
          </w:tcPr>
          <w:p>
            <w:pPr>
              <w:pStyle w:val="TableText"/>
            </w:pPr>
            <w:r>
              <w:t xml:space="preserve">保險公司端</w:t>
            </w:r>
          </w:p>
        </w:tc>
        <w:tc>
          <w:tcPr>
            <w:tcW w:w="3100" w:type="dxa"/>
            <w:shd w:fill="FFFFFF"/>
            <w:vAlign w:val="top"/>
          </w:tcPr>
          <w:p>
            <w:pPr>
              <w:pStyle w:val="TableText"/>
            </w:pPr>
            <w:r>
              <w:t xml:space="preserve">2027/01/03</w:t>
            </w:r>
          </w:p>
        </w:tc>
        <w:tc>
          <w:tcPr>
            <w:tcW w:w="3100" w:type="dxa"/>
            <w:shd w:fill="FFFFFF"/>
            <w:vAlign w:val="top"/>
          </w:tcPr>
          <w:p>
            <w:pPr>
              <w:pStyle w:val="TableText"/>
            </w:pPr>
            <w:r>
              <w:t xml:space="preserve">2027/01/18</w:t>
            </w:r>
          </w:p>
        </w:tc>
      </w:tr>
      <w:tr>
        <w:trPr>
          <w:cantSplit/>
        </w:trPr>
        <w:tc>
          <w:tcPr>
            <w:tcW w:w="2800" w:type="dxa"/>
            <w:shd w:fill="F1F5F8"/>
            <w:vAlign w:val="top"/>
          </w:tcPr>
          <w:p>
            <w:pPr>
              <w:pStyle w:val="TableText"/>
            </w:pPr>
            <w:r>
              <w:t xml:space="preserve">QBE端</w:t>
            </w:r>
          </w:p>
        </w:tc>
        <w:tc>
          <w:tcPr>
            <w:tcW w:w="3100" w:type="dxa"/>
            <w:shd w:fill="F1F5F8"/>
            <w:vAlign w:val="top"/>
          </w:tcPr>
          <w:p>
            <w:pPr>
              <w:pStyle w:val="TableText"/>
            </w:pPr>
            <w:r>
              <w:t xml:space="preserve">2027/01/19</w:t>
            </w:r>
          </w:p>
        </w:tc>
        <w:tc>
          <w:tcPr>
            <w:tcW w:w="3100" w:type="dxa"/>
            <w:shd w:fill="F1F5F8"/>
            <w:vAlign w:val="top"/>
          </w:tcPr>
          <w:p>
            <w:pPr>
              <w:pStyle w:val="TableText"/>
            </w:pPr>
            <w:r>
              <w:t xml:space="preserve">2027/01/29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保險公司遲付保費、我方遲付QBE保費，或QBE遲退保費時，QBE帳款仍保留原到期日。QBE未設依收妥情況自動延到下一季的結算機制。</w:t>
      </w:r>
    </w:p>
    <w:p>
      <w:pPr>
        <w:pStyle w:val="Normal"/>
      </w:pPr>
      <w:r>
        <w:t xml:space="preserve">退費批單也按其較晚基準日各自計算雙方期限，QBE季度到期日不會一併取代退給保險公司的原期限。</w:t>
      </w:r>
    </w:p>
    <w:p>
      <w:pPr>
        <w:pStyle w:val="Heading1"/>
      </w:pPr>
      <w:bookmarkStart w:id="8" w:name="heading_8"/>
      <w:r>
        <w:t xml:space="preserve">七、Accounting 的 QBE 專屬資訊</w:t>
      </w:r>
      <w:bookmarkEnd w:id="8"/>
    </w:p>
    <w:p>
      <w:pPr>
        <w:pStyle w:val="Bullet"/>
      </w:pPr>
      <w:r>
        <w:t xml:space="preserve">• QBE帳款顯示QBE due約定到期日，並顯示較早的會計提醒日期。</w:t>
      </w:r>
    </w:p>
    <w:p>
      <w:pPr>
        <w:pStyle w:val="Bullet"/>
      </w:pPr>
      <w:r>
        <w:t xml:space="preserve">• QBE underwriting year及Q1～Q4顯示該筆所屬承保年度與季度，可與本文件的季度表核對。</w:t>
      </w:r>
    </w:p>
    <w:p>
      <w:pPr>
        <w:pStyle w:val="Heading2"/>
      </w:pPr>
      <w:bookmarkStart w:id="9" w:name="heading_9"/>
      <w:r>
        <w:t xml:space="preserve">版本依據</w:t>
      </w:r>
      <w:bookmarkEnd w:id="9"/>
    </w:p>
    <w:p>
      <w:pPr>
        <w:pStyle w:val="Note"/>
      </w:pPr>
      <w:r>
        <w:t xml:space="preserve">核對時間：2026/10/29 10:19（台灣時間）。依執行中後端、目前部署的Accounting畫面、QBE Facility及Clause主檔整理；本次僅新增指南，不調整業務規則。</w:t>
      </w:r>
    </w:p>
    <w:sectPr>
      <w:headerReference w:type="default" r:id="rIdHeader"/>
      <w:footerReference w:type="default" r:id="rIdFooter"/>
      <w:pgSz w:w="11906" w:h="16838"/>
      <w:pgMar w:top="1134" w:right="1453" w:bottom="1134" w:left="1453" w:header="567" w:footer="567"/>
      <w:cols w:space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 xml:space="preserve">2026-10-29  ·  第 </w:t>
    </w:r>
    <w:fldSimple w:instr="PAGE">
      <w:r>
        <w:rPr>
          <w:sz w:val="16"/>
        </w:rPr>
        <w:t xml:space="preserve">1</w:t>
      </w:r>
    </w:fldSimple>
    <w:r>
      <w:rPr>
        <w:sz w:val="16"/>
      </w:rPr>
      <w:t xml:space="preserve"> 頁／共 </w:t>
    </w:r>
    <w:fldSimple w:instr="NUMPAGES">
      <w:r>
        <w:rPr>
          <w:sz w:val="16"/>
        </w:rPr>
        <w:t xml:space="preserve">1</w:t>
      </w:r>
    </w:fldSimple>
    <w:r>
      <w:rPr>
        <w:sz w:val="16"/>
      </w:rPr>
      <w:t xml:space="preserve"> 頁</w:t>
    </w:r>
  </w:p>
</w:ftr>
</file>

<file path=word/header1.xml><?xml version="1.0" encoding="utf-8"?>
<w:hdr xmlns:w="http://schemas.openxmlformats.org/wordprocessingml/2006/main">
  <w:p>
    <w:pPr>
      <w:spacing w:after="80"/>
      <w:pBdr>
        <w:bottom w:val="single" w:sz="4" w:color="B7C7D3"/>
      </w:pBdr>
    </w:pPr>
    <w:r>
      <w:rPr>
        <w:sz w:val="16"/>
        <w:color w:val="536674"/>
      </w:rPr>
      <w:t xml:space="preserve">Reinsurance Department System  |  QBE Facility · Property</w:t>
    </w:r>
  </w:p>
</w:hdr>
</file>

<file path=word/settings.xml><?xml version="1.0" encoding="utf-8"?>
<w:settings xmlns:w="http://schemas.openxmlformats.org/wordprocessingml/2006/main"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/>
        <w:sz w:val="21"/>
        <w:szCs w:val="21"/>
        <w:lang w:val="en-US" w:eastAsia="zh-TW"/>
      </w:rPr>
    </w:rPrDefault>
    <w:pPrDefault>
      <w:pPr>
        <w:spacing w:after="90" w:line="300" w:lineRule="auto"/>
      </w:pPr>
    </w:pPrDefault>
  </w:docDefaults>
  <w:style w:type="paragraph" w:styleId="Normal" w:default="1">
    <w:name w:val="正文"/>
    <w:pPr>
      <w:spacing w:before="0" w:after="90" w:line="300" w:lineRule="auto"/>
      <w:widowControl/>
    </w:pPr>
    <w:rPr>
      <w:sz w:val="21"/>
      <w:szCs w:val="21"/>
      <w:color w:val="202B33"/>
    </w:rPr>
  </w:style>
  <w:style w:type="paragraph" w:styleId="Title">
    <w:name w:val="文件標題"/>
    <w:basedOn w:val="Normal"/>
    <w:pPr>
      <w:spacing w:before="200" w:after="250" w:line="300" w:lineRule="auto"/>
      <w:widowControl/>
    </w:pPr>
    <w:rPr>
      <w:sz w:val="40"/>
      <w:szCs w:val="40"/>
      <w:b/>
      <w:color w:val="245C80"/>
    </w:rPr>
  </w:style>
  <w:style w:type="paragraph" w:styleId="Subtitle">
    <w:name w:val="副標題"/>
    <w:basedOn w:val="Normal"/>
    <w:pPr>
      <w:spacing w:before="100" w:after="160" w:line="300" w:lineRule="auto"/>
      <w:widowControl/>
    </w:pPr>
    <w:rPr>
      <w:sz w:val="24"/>
      <w:szCs w:val="24"/>
      <w:color w:val="536674"/>
    </w:rPr>
  </w:style>
  <w:style w:type="paragraph" w:styleId="Heading1">
    <w:name w:val="標題 1"/>
    <w:basedOn w:val="Normal"/>
    <w:pPr>
      <w:keepNext/>
      <w:outlineLvl w:val="0"/>
      <w:spacing w:before="280" w:after="150" w:line="300" w:lineRule="auto"/>
      <w:widowControl/>
    </w:pPr>
    <w:rPr>
      <w:sz w:val="30"/>
      <w:szCs w:val="30"/>
      <w:b/>
      <w:color w:val="245C80"/>
    </w:rPr>
  </w:style>
  <w:style w:type="paragraph" w:styleId="Heading2">
    <w:name w:val="標題 2"/>
    <w:basedOn w:val="Normal"/>
    <w:pPr>
      <w:keepNext/>
      <w:outlineLvl w:val="1"/>
      <w:spacing w:before="200" w:after="110" w:line="300" w:lineRule="auto"/>
      <w:widowControl/>
    </w:pPr>
    <w:rPr>
      <w:sz w:val="25"/>
      <w:szCs w:val="25"/>
      <w:b/>
      <w:color w:val="245C80"/>
    </w:rPr>
  </w:style>
  <w:style w:type="paragraph" w:styleId="Heading3">
    <w:name w:val="標題 3"/>
    <w:basedOn w:val="Normal"/>
    <w:pPr>
      <w:keepNext/>
      <w:outlineLvl w:val="2"/>
      <w:spacing w:before="180" w:after="90" w:line="300" w:lineRule="auto"/>
      <w:widowControl/>
    </w:pPr>
    <w:rPr>
      <w:sz w:val="22"/>
      <w:szCs w:val="22"/>
      <w:b/>
      <w:color w:val="245C80"/>
    </w:rPr>
  </w:style>
  <w:style w:type="paragraph" w:styleId="TableText">
    <w:name w:val="表格文字"/>
    <w:basedOn w:val="Normal"/>
    <w:pPr>
      <w:spacing w:before="0" w:after="20" w:line="255" w:lineRule="auto"/>
      <w:widowControl/>
    </w:pPr>
    <w:rPr>
      <w:sz w:val="18"/>
      <w:szCs w:val="18"/>
      <w:color w:val="202B33"/>
    </w:rPr>
  </w:style>
  <w:style w:type="paragraph" w:styleId="TableSpacer">
    <w:name w:val="表後間距"/>
    <w:basedOn w:val="Normal"/>
    <w:pPr>
      <w:spacing w:before="0" w:after="20" w:line="300" w:lineRule="auto"/>
      <w:widowControl/>
    </w:pPr>
    <w:rPr>
      <w:sz w:val="6"/>
      <w:szCs w:val="6"/>
      <w:color w:val="202B33"/>
    </w:rPr>
  </w:style>
  <w:style w:type="paragraph" w:styleId="Note">
    <w:name w:val="附註"/>
    <w:basedOn w:val="Normal"/>
    <w:pPr>
      <w:spacing w:before="40" w:after="90" w:line="300" w:lineRule="auto"/>
      <w:widowControl/>
    </w:pPr>
    <w:rPr>
      <w:sz w:val="19"/>
      <w:szCs w:val="19"/>
      <w:color w:val="536674"/>
    </w:rPr>
  </w:style>
  <w:style w:type="paragraph" w:styleId="Bullet">
    <w:name w:val="項目"/>
    <w:basedOn w:val="Normal"/>
    <w:pPr>
      <w:ind w:left="250" w:hanging="250"/>
      <w:spacing w:before="0" w:after="70" w:line="300" w:lineRule="auto"/>
      <w:widowControl/>
    </w:pPr>
    <w:rPr>
      <w:sz w:val="21"/>
      <w:szCs w:val="21"/>
      <w:color w:val="202B33"/>
    </w:rPr>
  </w:style>
  <w:style w:type="paragraph" w:styleId="Code">
    <w:name w:val="程式與資料範例"/>
    <w:basedOn w:val="Normal"/>
    <w:pPr>
      <w:spacing w:before="0" w:after="10" w:line="255" w:lineRule="auto"/>
      <w:widowControl/>
    </w:pPr>
    <w:rPr>
      <w:rFonts w:ascii="Consolas" w:hAnsi="Consolas" w:eastAsia="Microsoft JhengHei"/>
      <w:sz w:val="17"/>
      <w:szCs w:val="17"/>
      <w:color w:val="202B33"/>
    </w:rPr>
  </w:style>
  <w:style w:type="paragraph" w:styleId="TOC1">
    <w:name w:val="目錄"/>
    <w:basedOn w:val="Normal"/>
    <w:pPr>
      <w:spacing w:before="50" w:after="100" w:line="300" w:lineRule="auto"/>
      <w:widowControl/>
    </w:pPr>
    <w:rPr>
      <w:sz w:val="23"/>
      <w:szCs w:val="23"/>
      <w:color w:val="245C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QBE Facility - PD 專屬規則</dc:title>
  <dc:creator>Reinsurance Department System</dc:creator>
  <dc:description>目前 VM 完整說明；2026-10-29</dc:description>
  <dcterms:created xsi:type="dcterms:W3CDTF">2026-10-29T02:19:15.107699+00:00</dcterms:created>
</cp:coreProperties>
</file>