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Swiss Re Facility - CGL</w:t>
      </w:r>
    </w:p>
    <w:p>
      <w:pPr>
        <w:pStyle w:val="Subtitle"/>
      </w:pPr>
      <w:r>
        <w:t xml:space="preserve">專屬規則｜2026/10/29</w:t>
      </w:r>
    </w:p>
    <w:p>
      <w:pPr>
        <w:pStyle w:val="Note"/>
      </w:pPr>
      <w:r>
        <w:t xml:space="preserve">依目前上線版本整理。只列本 Facility 的 CGL 差異，日期範例均為合成案例。</w:t>
      </w:r>
    </w:p>
    <w:p>
      <w:pPr>
        <w:pStyle w:val="Heading1"/>
      </w:pPr>
      <w:bookmarkStart w:id="1" w:name="heading_1"/>
      <w:r>
        <w:t xml:space="preserve">一、適用範圍</w:t>
      </w:r>
      <w:bookmarkEnd w:id="1"/>
    </w:p>
    <w:p>
      <w:pPr>
        <w:pStyle w:val="Normal"/>
      </w:pPr>
      <w:r>
        <w:t xml:space="preserve">再保人須為 Swiss Re Asia Pte. Ltd., Hong Kong Branch (Facility)，險種為 Commercial General Liability（CGL），再保結構僅限 Quota Share（QS）。</w:t>
      </w:r>
    </w:p>
    <w:p>
      <w:pPr>
        <w:pStyle w:val="Normal"/>
      </w:pPr>
      <w:r>
        <w:t xml:space="preserve">Swiss Facility CGL 不可選用 XOL；前後端均限制非 QS 結構。名稱未含「(Facility)」的一般 Swiss 再保人，依一般案件規則處理。</w:t>
      </w:r>
    </w:p>
    <w:p>
      <w:pPr>
        <w:pStyle w:val="Heading1"/>
      </w:pPr>
      <w:bookmarkStart w:id="2" w:name="heading_2"/>
      <w:r>
        <w:t xml:space="preserve">二、CGL 固定條款</w:t>
      </w:r>
      <w:bookmarkEnd w:id="2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400"/>
      </w:tblGrid>
      <w:tr>
        <w:trPr>
          <w:cantSplit/>
          <w:tblHeader/>
        </w:trPr>
        <w:tc>
          <w:tcPr>
            <w:tcW w:w="26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代碼</w:t>
            </w:r>
          </w:p>
        </w:tc>
        <w:tc>
          <w:tcPr>
            <w:tcW w:w="64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條款名稱</w:t>
            </w:r>
          </w:p>
        </w:tc>
      </w:tr>
      <w:tr>
        <w:trPr>
          <w:cantSplit/>
        </w:trPr>
        <w:tc>
          <w:tcPr>
            <w:tcW w:w="2600" w:type="dxa"/>
            <w:shd w:fill="FFFFFF"/>
            <w:vAlign w:val="top"/>
          </w:tcPr>
          <w:p>
            <w:pPr>
              <w:pStyle w:val="TableText"/>
            </w:pPr>
            <w:r>
              <w:t xml:space="preserve">NMA2915</w:t>
            </w:r>
          </w:p>
        </w:tc>
        <w:tc>
          <w:tcPr>
            <w:tcW w:w="6400" w:type="dxa"/>
            <w:shd w:fill="FFFFFF"/>
            <w:vAlign w:val="top"/>
          </w:tcPr>
          <w:p>
            <w:pPr>
              <w:pStyle w:val="TableText"/>
            </w:pPr>
            <w:r>
              <w:t xml:space="preserve">NMA2915 Internet Liability Exclusion/ Electronic Data Endorsement B</w:t>
            </w:r>
          </w:p>
        </w:tc>
      </w:tr>
      <w:tr>
        <w:trPr>
          <w:cantSplit/>
        </w:trPr>
        <w:tc>
          <w:tcPr>
            <w:tcW w:w="2600" w:type="dxa"/>
            <w:shd w:fill="F1F5F8"/>
            <w:vAlign w:val="top"/>
          </w:tcPr>
          <w:p>
            <w:pPr>
              <w:pStyle w:val="TableText"/>
            </w:pPr>
            <w:r>
              <w:t xml:space="preserve">SWISSRE_GC_FAC</w:t>
            </w:r>
          </w:p>
        </w:tc>
        <w:tc>
          <w:tcPr>
            <w:tcW w:w="6400" w:type="dxa"/>
            <w:shd w:fill="F1F5F8"/>
            <w:vAlign w:val="top"/>
          </w:tcPr>
          <w:p>
            <w:pPr>
              <w:pStyle w:val="TableText"/>
            </w:pPr>
            <w:r>
              <w:t xml:space="preserve">Swiss Re Facility Agreement Contract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bookmarkStart w:id="3" w:name="heading_3"/>
      <w:r>
        <w:t xml:space="preserve">三、Swiss CGL 日期重點</w:t>
      </w:r>
      <w:bookmarkEnd w:id="3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50"/>
        <w:gridCol w:w="3400"/>
        <w:gridCol w:w="3150"/>
      </w:tblGrid>
      <w:tr>
        <w:trPr>
          <w:cantSplit/>
          <w:tblHeader/>
        </w:trPr>
        <w:tc>
          <w:tcPr>
            <w:tcW w:w="24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帳款</w:t>
            </w:r>
          </w:p>
        </w:tc>
        <w:tc>
          <w:tcPr>
            <w:tcW w:w="34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實際到期日</w:t>
            </w:r>
          </w:p>
        </w:tc>
        <w:tc>
          <w:tcPr>
            <w:tcW w:w="31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Accounting 提醒日</w:t>
            </w:r>
          </w:p>
        </w:tc>
      </w:tr>
      <w:tr>
        <w:trPr>
          <w:cantSplit/>
        </w:trPr>
        <w:tc>
          <w:tcPr>
            <w:tcW w:w="2450" w:type="dxa"/>
            <w:shd w:fill="FFFFFF"/>
            <w:vAlign w:val="top"/>
          </w:tcPr>
          <w:p>
            <w:pPr>
              <w:pStyle w:val="TableText"/>
            </w:pPr>
            <w:r>
              <w:t xml:space="preserve">保險公司端 T1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t xml:space="preserve">基準日 B＋90 天</w:t>
            </w:r>
          </w:p>
        </w:tc>
        <w:tc>
          <w:tcPr>
            <w:tcW w:w="3150" w:type="dxa"/>
            <w:shd w:fill="FFFFFF"/>
            <w:vAlign w:val="top"/>
          </w:tcPr>
          <w:p>
            <w:pPr>
              <w:pStyle w:val="TableText"/>
            </w:pPr>
            <w:r>
              <w:t xml:space="preserve">到期前15天（B＋75天）</w:t>
            </w:r>
          </w:p>
        </w:tc>
      </w:tr>
      <w:tr>
        <w:trPr>
          <w:cantSplit/>
        </w:trPr>
        <w:tc>
          <w:tcPr>
            <w:tcW w:w="2450" w:type="dxa"/>
            <w:shd w:fill="F1F5F8"/>
            <w:vAlign w:val="top"/>
          </w:tcPr>
          <w:p>
            <w:pPr>
              <w:pStyle w:val="TableText"/>
            </w:pPr>
            <w:r>
              <w:t xml:space="preserve">Swiss 正保費 T2</w:t>
            </w:r>
          </w:p>
        </w:tc>
        <w:tc>
          <w:tcPr>
            <w:tcW w:w="3400" w:type="dxa"/>
            <w:shd w:fill="F1F5F8"/>
            <w:vAlign w:val="top"/>
          </w:tcPr>
          <w:p>
            <w:pPr>
              <w:pStyle w:val="TableText"/>
            </w:pPr>
            <w:r>
              <w:t xml:space="preserve">B 所在月底＋90 天</w:t>
            </w:r>
          </w:p>
        </w:tc>
        <w:tc>
          <w:tcPr>
            <w:tcW w:w="3150" w:type="dxa"/>
            <w:shd w:fill="F1F5F8"/>
            <w:vAlign w:val="top"/>
          </w:tcPr>
          <w:p>
            <w:pPr>
              <w:pStyle w:val="TableText"/>
            </w:pPr>
            <w:r>
              <w:t xml:space="preserve">到期前10天（月底＋80天）</w:t>
            </w:r>
          </w:p>
        </w:tc>
      </w:tr>
      <w:tr>
        <w:trPr>
          <w:cantSplit/>
        </w:trPr>
        <w:tc>
          <w:tcPr>
            <w:tcW w:w="2450" w:type="dxa"/>
            <w:shd w:fill="FFFFFF"/>
            <w:vAlign w:val="top"/>
          </w:tcPr>
          <w:p>
            <w:pPr>
              <w:pStyle w:val="TableText"/>
            </w:pPr>
            <w:r>
              <w:t xml:space="preserve">向 Swiss 收回退保費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t xml:space="preserve">B 所在月底＋90 天</w:t>
            </w:r>
          </w:p>
        </w:tc>
        <w:tc>
          <w:tcPr>
            <w:tcW w:w="3150" w:type="dxa"/>
            <w:shd w:fill="FFFFFF"/>
            <w:vAlign w:val="top"/>
          </w:tcPr>
          <w:p>
            <w:pPr>
              <w:pStyle w:val="TableText"/>
            </w:pPr>
            <w:r>
              <w:t xml:space="preserve">到期前10天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te"/>
      </w:pPr>
      <w:r>
        <w:t xml:space="preserve">本文日數均為日曆天。Accounting 提醒日、實際到期日及實際收付日分開記錄。</w:t>
      </w:r>
    </w:p>
    <w:p>
      <w:pPr>
        <w:pStyle w:val="Note"/>
      </w:pPr>
      <w:r>
        <w:t xml:space="preserve">B：原單／續保採保單生效日；分期採各期自己的 Payment Base Date；加費／退費批單取批改生效日與成功 Announce 的台灣日期，取較晚者。</w:t>
      </w:r>
    </w:p>
    <w:p>
      <w:pPr>
        <w:pageBreakBefore/>
        <w:pStyle w:val="Heading1"/>
      </w:pPr>
      <w:bookmarkStart w:id="4" w:name="heading_4"/>
      <w:r>
        <w:t xml:space="preserve">四、保費期限與遲收款</w:t>
      </w:r>
      <w:bookmarkEnd w:id="4"/>
    </w:p>
    <w:p>
      <w:pPr>
        <w:pStyle w:val="Normal"/>
      </w:pPr>
      <w:r>
        <w:t xml:space="preserve">Swiss CGL 採基準月份月底＋90天。沒有每年固定14日的季結，也不依最後收款日或自動銷帳操作日重新歸期。</w:t>
      </w:r>
    </w:p>
    <w:p>
      <w:pPr>
        <w:pStyle w:val="Heading2"/>
      </w:pPr>
      <w:bookmarkStart w:id="5" w:name="heading_5"/>
      <w:r>
        <w:t xml:space="preserve">原單／分期日期例子</w:t>
      </w:r>
      <w:bookmarkEnd w:id="5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3400"/>
        <w:gridCol w:w="3400"/>
      </w:tblGrid>
      <w:tr>
        <w:trPr>
          <w:cantSplit/>
          <w:tblHeader/>
        </w:trPr>
        <w:tc>
          <w:tcPr>
            <w:tcW w:w="22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 B</w:t>
            </w:r>
          </w:p>
        </w:tc>
        <w:tc>
          <w:tcPr>
            <w:tcW w:w="34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T1 提醒／到期</w:t>
            </w:r>
          </w:p>
        </w:tc>
        <w:tc>
          <w:tcPr>
            <w:tcW w:w="34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Swiss T2 提醒／到期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top"/>
          </w:tcPr>
          <w:p>
            <w:pPr>
              <w:pStyle w:val="TableText"/>
            </w:pPr>
            <w:r>
              <w:t xml:space="preserve">2026/01/01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t xml:space="preserve">03/17 ／ 04/01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t xml:space="preserve">04/21 ／ 05/01</w:t>
            </w:r>
          </w:p>
        </w:tc>
      </w:tr>
      <w:tr>
        <w:trPr>
          <w:cantSplit/>
        </w:trPr>
        <w:tc>
          <w:tcPr>
            <w:tcW w:w="2200" w:type="dxa"/>
            <w:shd w:fill="F1F5F8"/>
            <w:vAlign w:val="top"/>
          </w:tcPr>
          <w:p>
            <w:pPr>
              <w:pStyle w:val="TableText"/>
            </w:pPr>
            <w:r>
              <w:t xml:space="preserve">2026/01/31</w:t>
            </w:r>
          </w:p>
        </w:tc>
        <w:tc>
          <w:tcPr>
            <w:tcW w:w="3400" w:type="dxa"/>
            <w:shd w:fill="F1F5F8"/>
            <w:vAlign w:val="top"/>
          </w:tcPr>
          <w:p>
            <w:pPr>
              <w:pStyle w:val="TableText"/>
            </w:pPr>
            <w:r>
              <w:t xml:space="preserve">04/16 ／ 05/01</w:t>
            </w:r>
          </w:p>
        </w:tc>
        <w:tc>
          <w:tcPr>
            <w:tcW w:w="3400" w:type="dxa"/>
            <w:shd w:fill="F1F5F8"/>
            <w:vAlign w:val="top"/>
          </w:tcPr>
          <w:p>
            <w:pPr>
              <w:pStyle w:val="TableText"/>
            </w:pPr>
            <w:r>
              <w:t xml:space="preserve">04/21 ／ 05/01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top"/>
          </w:tcPr>
          <w:p>
            <w:pPr>
              <w:pStyle w:val="TableText"/>
            </w:pPr>
            <w:r>
              <w:t xml:space="preserve">2026/02/01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t xml:space="preserve">04/17 ／ 05/02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t xml:space="preserve">05/19 ／ 05/29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同一月份內的 Swiss T2，因為採同一個月底起算，到期日相同；各期保險公司端 T1 則依自己的 B 起算。</w:t>
      </w:r>
    </w:p>
    <w:p>
      <w:pPr>
        <w:pStyle w:val="Heading2"/>
      </w:pPr>
      <w:bookmarkStart w:id="6" w:name="heading_6"/>
      <w:r>
        <w:t xml:space="preserve">保險公司遲付，不延長 Swiss 到期日</w:t>
      </w:r>
      <w:bookmarkEnd w:id="6"/>
    </w:p>
    <w:p>
      <w:pPr>
        <w:pStyle w:val="Normal"/>
      </w:pPr>
      <w:r>
        <w:t xml:space="preserve">例如01/01生效，Swiss原到期日為05/01。保險公司直到05/20才付清並完成自動銷帳，Swiss到期日仍為05/01；尚未付清Swiss時，按原到期日顯示逾期。</w:t>
      </w:r>
    </w:p>
    <w:p>
      <w:pPr>
        <w:pStyle w:val="Normal"/>
      </w:pPr>
      <w:r>
        <w:t xml:space="preserve">因此，Swiss CGL 不會因保險公司晚收款，改列下一個Swiss PD季結日；也沒有手動指定新結算日的入口。</w:t>
      </w:r>
    </w:p>
    <w:p>
      <w:pPr>
        <w:pStyle w:val="Heading1"/>
      </w:pPr>
      <w:bookmarkStart w:id="7" w:name="heading_7"/>
      <w:r>
        <w:t xml:space="preserve">五、Swiss 結算清單參考號</w:t>
      </w:r>
      <w:bookmarkEnd w:id="7"/>
    </w:p>
    <w:p>
      <w:pPr>
        <w:pStyle w:val="Bullet"/>
      </w:pPr>
      <w:r>
        <w:t xml:space="preserve">• 全期保險公司保費收妥並自動銷帳後，才可填寫Swiss結算清單參考號。全期包含其他再保人的分攤。</w:t>
      </w:r>
    </w:p>
    <w:p>
      <w:pPr>
        <w:pStyle w:val="Bullet"/>
      </w:pPr>
      <w:r>
        <w:t xml:space="preserve">• 付給Swiss的正保費須有這個參考號；未填，不能登錄Swiss付款。</w:t>
      </w:r>
    </w:p>
    <w:p>
      <w:pPr>
        <w:pStyle w:val="Bullet"/>
      </w:pPr>
      <w:r>
        <w:t xml:space="preserve">• 這個參考號與Cedant Statement No.、Reinsurer Ref.分開，不以其中任一號碼代替。</w:t>
      </w:r>
    </w:p>
    <w:p>
      <w:pPr>
        <w:pStyle w:val="Normal"/>
      </w:pPr>
      <w:r>
        <w:t xml:space="preserve">Accounting的Swiss正保費列可由「More → Statement reference」填寫。畫面列示的是該筆Swiss的實際到期日，並非會計提前提醒日。</w:t>
      </w:r>
    </w:p>
    <w:p>
      <w:pPr>
        <w:pageBreakBefore/>
        <w:pStyle w:val="Heading1"/>
      </w:pPr>
      <w:bookmarkStart w:id="8" w:name="heading_8"/>
      <w:r>
        <w:t xml:space="preserve">六、加費／退費批單</w:t>
      </w:r>
      <w:bookmarkEnd w:id="8"/>
    </w:p>
    <w:p>
      <w:pPr>
        <w:pStyle w:val="Normal"/>
      </w:pPr>
      <w:r>
        <w:t xml:space="preserve">先比較批改生效日與成功Announce的台灣日期，取較晚者為B。加費與退費均用同一組日期公式：保險公司端B＋90天，Swiss端B所在月底＋90天。</w:t>
      </w:r>
    </w:p>
    <w:p>
      <w:pPr>
        <w:pStyle w:val="Heading2"/>
      </w:pPr>
      <w:bookmarkStart w:id="9" w:name="heading_9"/>
      <w:r>
        <w:t xml:space="preserve">批單日期例子</w:t>
      </w:r>
      <w:bookmarkEnd w:id="9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1700"/>
        <w:gridCol w:w="2350"/>
        <w:gridCol w:w="2350"/>
      </w:tblGrid>
      <w:tr>
        <w:trPr>
          <w:cantSplit/>
          <w:tblHeader/>
        </w:trPr>
        <w:tc>
          <w:tcPr>
            <w:tcW w:w="26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情況</w:t>
            </w:r>
          </w:p>
        </w:tc>
        <w:tc>
          <w:tcPr>
            <w:tcW w:w="1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B</w:t>
            </w:r>
          </w:p>
        </w:tc>
        <w:tc>
          <w:tcPr>
            <w:tcW w:w="23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保險公司端提醒／到期</w:t>
            </w:r>
          </w:p>
        </w:tc>
        <w:tc>
          <w:tcPr>
            <w:tcW w:w="23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Swiss端提醒／到期</w:t>
            </w:r>
          </w:p>
        </w:tc>
      </w:tr>
      <w:tr>
        <w:trPr>
          <w:cantSplit/>
        </w:trPr>
        <w:tc>
          <w:tcPr>
            <w:tcW w:w="2600" w:type="dxa"/>
            <w:shd w:fill="FFFFFF"/>
            <w:vAlign w:val="top"/>
          </w:tcPr>
          <w:p>
            <w:pPr>
              <w:pStyle w:val="TableText"/>
            </w:pPr>
            <w:r>
              <w:t xml:space="preserve">2026/05/01生效，05/03成功Announce</w:t>
            </w:r>
          </w:p>
        </w:tc>
        <w:tc>
          <w:tcPr>
            <w:tcW w:w="1700" w:type="dxa"/>
            <w:shd w:fill="FFFFFF"/>
            <w:vAlign w:val="top"/>
          </w:tcPr>
          <w:p>
            <w:pPr>
              <w:pStyle w:val="TableText"/>
            </w:pPr>
            <w:r>
              <w:t xml:space="preserve">2026/05/03</w:t>
            </w:r>
          </w:p>
        </w:tc>
        <w:tc>
          <w:tcPr>
            <w:tcW w:w="2350" w:type="dxa"/>
            <w:shd w:fill="FFFFFF"/>
            <w:vAlign w:val="top"/>
          </w:tcPr>
          <w:p>
            <w:pPr>
              <w:pStyle w:val="TableText"/>
            </w:pPr>
            <w:r>
              <w:t xml:space="preserve">07/17 ／ 08/01</w:t>
            </w:r>
          </w:p>
        </w:tc>
        <w:tc>
          <w:tcPr>
            <w:tcW w:w="2350" w:type="dxa"/>
            <w:shd w:fill="FFFFFF"/>
            <w:vAlign w:val="top"/>
          </w:tcPr>
          <w:p>
            <w:pPr>
              <w:pStyle w:val="TableText"/>
            </w:pPr>
            <w:r>
              <w:t xml:space="preserve">08/19 ／ 08/29</w:t>
            </w:r>
          </w:p>
        </w:tc>
      </w:tr>
      <w:tr>
        <w:trPr>
          <w:cantSplit/>
        </w:trPr>
        <w:tc>
          <w:tcPr>
            <w:tcW w:w="2600" w:type="dxa"/>
            <w:shd w:fill="F1F5F8"/>
            <w:vAlign w:val="top"/>
          </w:tcPr>
          <w:p>
            <w:pPr>
              <w:pStyle w:val="TableText"/>
            </w:pPr>
            <w:r>
              <w:t xml:space="preserve">2026/11/01生效，10/24成功Announce</w:t>
            </w:r>
          </w:p>
        </w:tc>
        <w:tc>
          <w:tcPr>
            <w:tcW w:w="1700" w:type="dxa"/>
            <w:shd w:fill="F1F5F8"/>
            <w:vAlign w:val="top"/>
          </w:tcPr>
          <w:p>
            <w:pPr>
              <w:pStyle w:val="TableText"/>
            </w:pPr>
            <w:r>
              <w:t xml:space="preserve">2026/11/01</w:t>
            </w:r>
          </w:p>
        </w:tc>
        <w:tc>
          <w:tcPr>
            <w:tcW w:w="2350" w:type="dxa"/>
            <w:shd w:fill="F1F5F8"/>
            <w:vAlign w:val="top"/>
          </w:tcPr>
          <w:p>
            <w:pPr>
              <w:pStyle w:val="TableText"/>
            </w:pPr>
            <w:r>
              <w:t xml:space="preserve">2027/01/15 ／ 01/30</w:t>
            </w:r>
          </w:p>
        </w:tc>
        <w:tc>
          <w:tcPr>
            <w:tcW w:w="2350" w:type="dxa"/>
            <w:shd w:fill="F1F5F8"/>
            <w:vAlign w:val="top"/>
          </w:tcPr>
          <w:p>
            <w:pPr>
              <w:pStyle w:val="TableText"/>
            </w:pPr>
            <w:r>
              <w:t xml:space="preserve">2027/02/18 ／ 02/28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Swiss CGL退保費不採PD的「提前一個結算期」。到期仍未收到Swiss退款時，保留原應收日並顯示逾期。</w:t>
      </w:r>
    </w:p>
    <w:p>
      <w:pPr>
        <w:pStyle w:val="Heading1"/>
      </w:pPr>
      <w:bookmarkStart w:id="10" w:name="heading_10"/>
      <w:r>
        <w:t xml:space="preserve">七、Swiss CGL 理賠日期</w:t>
      </w:r>
      <w:bookmarkEnd w:id="10"/>
    </w:p>
    <w:p>
      <w:pPr>
        <w:pStyle w:val="Normal"/>
      </w:pPr>
      <w:r>
        <w:t xml:space="preserve">以該次賠款帳款實際成功建立的台灣日期＋15天到期。向Swiss應收及對應付給保險公司的該筆理賠，採同一個到期日；首次會計提醒為到期前7天。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00"/>
        <w:gridCol w:w="2950"/>
        <w:gridCol w:w="2950"/>
      </w:tblGrid>
      <w:tr>
        <w:trPr>
          <w:cantSplit/>
          <w:tblHeader/>
        </w:trPr>
        <w:tc>
          <w:tcPr>
            <w:tcW w:w="3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賠款帳款建立日</w:t>
            </w:r>
          </w:p>
        </w:tc>
        <w:tc>
          <w:tcPr>
            <w:tcW w:w="29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應收／應付到期日</w:t>
            </w:r>
          </w:p>
        </w:tc>
        <w:tc>
          <w:tcPr>
            <w:tcW w:w="29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首次會計提醒日</w:t>
            </w:r>
          </w:p>
        </w:tc>
      </w:tr>
      <w:tr>
        <w:trPr>
          <w:cantSplit/>
        </w:trPr>
        <w:tc>
          <w:tcPr>
            <w:tcW w:w="3100" w:type="dxa"/>
            <w:shd w:fill="FFFFFF"/>
            <w:vAlign w:val="top"/>
          </w:tcPr>
          <w:p>
            <w:pPr>
              <w:pStyle w:val="TableText"/>
            </w:pPr>
            <w:r>
              <w:t xml:space="preserve">2026/10/15</w:t>
            </w:r>
          </w:p>
        </w:tc>
        <w:tc>
          <w:tcPr>
            <w:tcW w:w="2950" w:type="dxa"/>
            <w:shd w:fill="FFFFFF"/>
            <w:vAlign w:val="top"/>
          </w:tcPr>
          <w:p>
            <w:pPr>
              <w:pStyle w:val="TableText"/>
            </w:pPr>
            <w:r>
              <w:t xml:space="preserve">2026/10/30</w:t>
            </w:r>
          </w:p>
        </w:tc>
        <w:tc>
          <w:tcPr>
            <w:tcW w:w="2950" w:type="dxa"/>
            <w:shd w:fill="FFFFFF"/>
            <w:vAlign w:val="top"/>
          </w:tcPr>
          <w:p>
            <w:pPr>
              <w:pStyle w:val="TableText"/>
            </w:pPr>
            <w:r>
              <w:t xml:space="preserve">2026/10/23</w:t>
            </w:r>
          </w:p>
        </w:tc>
      </w:tr>
      <w:tr>
        <w:trPr>
          <w:cantSplit/>
        </w:trPr>
        <w:tc>
          <w:tcPr>
            <w:tcW w:w="3100" w:type="dxa"/>
            <w:shd w:fill="F1F5F8"/>
            <w:vAlign w:val="top"/>
          </w:tcPr>
          <w:p>
            <w:pPr>
              <w:pStyle w:val="TableText"/>
            </w:pPr>
            <w:r>
              <w:t xml:space="preserve">2026/11/02</w:t>
            </w:r>
          </w:p>
        </w:tc>
        <w:tc>
          <w:tcPr>
            <w:tcW w:w="2950" w:type="dxa"/>
            <w:shd w:fill="F1F5F8"/>
            <w:vAlign w:val="top"/>
          </w:tcPr>
          <w:p>
            <w:pPr>
              <w:pStyle w:val="TableText"/>
            </w:pPr>
            <w:r>
              <w:t xml:space="preserve">2026/11/17</w:t>
            </w:r>
          </w:p>
        </w:tc>
        <w:tc>
          <w:tcPr>
            <w:tcW w:w="2950" w:type="dxa"/>
            <w:shd w:fill="F1F5F8"/>
            <w:vAlign w:val="top"/>
          </w:tcPr>
          <w:p>
            <w:pPr>
              <w:pStyle w:val="TableText"/>
            </w:pPr>
            <w:r>
              <w:t xml:space="preserve">2026/11/10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不以出險日或人工填寫的收付日期起算，也不套用Swiss PD的固定季結日。</w:t>
      </w:r>
    </w:p>
    <w:p>
      <w:pPr>
        <w:pStyle w:val="Heading1"/>
      </w:pPr>
      <w:bookmarkStart w:id="11" w:name="heading_11"/>
      <w:r>
        <w:t xml:space="preserve">八、Accounting 核對重點</w:t>
      </w:r>
      <w:bookmarkEnd w:id="11"/>
    </w:p>
    <w:p>
      <w:pPr>
        <w:pStyle w:val="Bullet"/>
      </w:pPr>
      <w:r>
        <w:t xml:space="preserve">• Swiss CGL顯示Accounting提醒日及Contract實際到期日，不使用PD的Original Swiss、Projected或Cutoff歸季資訊。</w:t>
      </w:r>
    </w:p>
    <w:p>
      <w:pPr>
        <w:pStyle w:val="Bullet"/>
      </w:pPr>
      <w:r>
        <w:t xml:space="preserve">• 混合案只有Swiss的T2採月底＋90天；其他一般再保人的日期依各自約定，不一併改成Swiss期限。</w:t>
      </w:r>
    </w:p>
    <w:p>
      <w:pPr>
        <w:pStyle w:val="Note"/>
      </w:pPr>
      <w:r>
        <w:t xml:space="preserve">核對時間：2026/10/29 09:48（台灣時間）。依執行中程式、目前Accounting畫面及Swiss Facility主檔整理；本次僅發布指南。</w:t>
      </w:r>
    </w:p>
    <w:sectPr>
      <w:headerReference w:type="default" r:id="rIdHeader"/>
      <w:footerReference w:type="default" r:id="rIdFooter"/>
      <w:pgSz w:w="11906" w:h="16838"/>
      <w:pgMar w:top="1134" w:right="1453" w:bottom="1134" w:left="1453" w:header="567" w:footer="567"/>
      <w:cols w:space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 xml:space="preserve">2026-10-29  ·  第 </w:t>
    </w:r>
    <w:fldSimple w:instr="PAGE">
      <w:r>
        <w:rPr>
          <w:sz w:val="16"/>
        </w:rPr>
        <w:t xml:space="preserve">1</w:t>
      </w:r>
    </w:fldSimple>
    <w:r>
      <w:rPr>
        <w:sz w:val="16"/>
      </w:rPr>
      <w:t xml:space="preserve"> 頁／共 </w:t>
    </w:r>
    <w:fldSimple w:instr="NUMPAGES">
      <w:r>
        <w:rPr>
          <w:sz w:val="16"/>
        </w:rPr>
        <w:t xml:space="preserve">1</w:t>
      </w:r>
    </w:fldSimple>
    <w:r>
      <w:rPr>
        <w:sz w:val="16"/>
      </w:rPr>
      <w:t xml:space="preserve"> 頁</w:t>
    </w:r>
  </w:p>
</w:ftr>
</file>

<file path=word/header1.xml><?xml version="1.0" encoding="utf-8"?>
<w:hdr xmlns:w="http://schemas.openxmlformats.org/wordprocessingml/2006/main">
  <w:p>
    <w:pPr>
      <w:spacing w:after="80"/>
      <w:pBdr>
        <w:bottom w:val="single" w:sz="4" w:color="B7C7D3"/>
      </w:pBdr>
    </w:pPr>
    <w:r>
      <w:rPr>
        <w:sz w:val="16"/>
        <w:color w:val="536674"/>
      </w:rPr>
      <w:t xml:space="preserve">Reinsurance Department System  |  Swiss Re Facility · CGL / QS</w:t>
    </w:r>
  </w:p>
</w:hdr>
</file>

<file path=word/settings.xml><?xml version="1.0" encoding="utf-8"?>
<w:settings xmlns:w="http://schemas.openxmlformats.org/wordprocessingml/2006/main"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/>
        <w:sz w:val="21"/>
        <w:szCs w:val="21"/>
        <w:lang w:val="en-US" w:eastAsia="zh-TW"/>
      </w:rPr>
    </w:rPrDefault>
    <w:pPrDefault>
      <w:pPr>
        <w:spacing w:after="90" w:line="300" w:lineRule="auto"/>
      </w:pPr>
    </w:pPrDefault>
  </w:docDefaults>
  <w:style w:type="paragraph" w:styleId="Normal" w:default="1">
    <w:name w:val="正文"/>
    <w:pPr>
      <w:spacing w:before="0" w:after="90" w:line="300" w:lineRule="auto"/>
      <w:widowControl/>
    </w:pPr>
    <w:rPr>
      <w:sz w:val="21"/>
      <w:szCs w:val="21"/>
      <w:color w:val="202B33"/>
    </w:rPr>
  </w:style>
  <w:style w:type="paragraph" w:styleId="Title">
    <w:name w:val="文件標題"/>
    <w:basedOn w:val="Normal"/>
    <w:pPr>
      <w:spacing w:before="200" w:after="250" w:line="300" w:lineRule="auto"/>
      <w:widowControl/>
    </w:pPr>
    <w:rPr>
      <w:sz w:val="40"/>
      <w:szCs w:val="40"/>
      <w:b/>
      <w:color w:val="245C80"/>
    </w:rPr>
  </w:style>
  <w:style w:type="paragraph" w:styleId="Subtitle">
    <w:name w:val="副標題"/>
    <w:basedOn w:val="Normal"/>
    <w:pPr>
      <w:spacing w:before="100" w:after="160" w:line="300" w:lineRule="auto"/>
      <w:widowControl/>
    </w:pPr>
    <w:rPr>
      <w:sz w:val="24"/>
      <w:szCs w:val="24"/>
      <w:color w:val="536674"/>
    </w:rPr>
  </w:style>
  <w:style w:type="paragraph" w:styleId="Heading1">
    <w:name w:val="標題 1"/>
    <w:basedOn w:val="Normal"/>
    <w:pPr>
      <w:keepNext/>
      <w:outlineLvl w:val="0"/>
      <w:spacing w:before="280" w:after="150" w:line="300" w:lineRule="auto"/>
      <w:widowControl/>
    </w:pPr>
    <w:rPr>
      <w:sz w:val="30"/>
      <w:szCs w:val="30"/>
      <w:b/>
      <w:color w:val="245C80"/>
    </w:rPr>
  </w:style>
  <w:style w:type="paragraph" w:styleId="Heading2">
    <w:name w:val="標題 2"/>
    <w:basedOn w:val="Normal"/>
    <w:pPr>
      <w:keepNext/>
      <w:outlineLvl w:val="1"/>
      <w:spacing w:before="200" w:after="110" w:line="300" w:lineRule="auto"/>
      <w:widowControl/>
    </w:pPr>
    <w:rPr>
      <w:sz w:val="25"/>
      <w:szCs w:val="25"/>
      <w:b/>
      <w:color w:val="245C80"/>
    </w:rPr>
  </w:style>
  <w:style w:type="paragraph" w:styleId="Heading3">
    <w:name w:val="標題 3"/>
    <w:basedOn w:val="Normal"/>
    <w:pPr>
      <w:keepNext/>
      <w:outlineLvl w:val="2"/>
      <w:spacing w:before="180" w:after="90" w:line="300" w:lineRule="auto"/>
      <w:widowControl/>
    </w:pPr>
    <w:rPr>
      <w:sz w:val="22"/>
      <w:szCs w:val="22"/>
      <w:b/>
      <w:color w:val="245C80"/>
    </w:rPr>
  </w:style>
  <w:style w:type="paragraph" w:styleId="TableText">
    <w:name w:val="表格文字"/>
    <w:basedOn w:val="Normal"/>
    <w:pPr>
      <w:spacing w:before="0" w:after="20" w:line="255" w:lineRule="auto"/>
      <w:widowControl/>
    </w:pPr>
    <w:rPr>
      <w:sz w:val="18"/>
      <w:szCs w:val="18"/>
      <w:color w:val="202B33"/>
    </w:rPr>
  </w:style>
  <w:style w:type="paragraph" w:styleId="TableSpacer">
    <w:name w:val="表後間距"/>
    <w:basedOn w:val="Normal"/>
    <w:pPr>
      <w:spacing w:before="0" w:after="20" w:line="300" w:lineRule="auto"/>
      <w:widowControl/>
    </w:pPr>
    <w:rPr>
      <w:sz w:val="6"/>
      <w:szCs w:val="6"/>
      <w:color w:val="202B33"/>
    </w:rPr>
  </w:style>
  <w:style w:type="paragraph" w:styleId="Note">
    <w:name w:val="附註"/>
    <w:basedOn w:val="Normal"/>
    <w:pPr>
      <w:spacing w:before="40" w:after="90" w:line="300" w:lineRule="auto"/>
      <w:widowControl/>
    </w:pPr>
    <w:rPr>
      <w:sz w:val="19"/>
      <w:szCs w:val="19"/>
      <w:color w:val="536674"/>
    </w:rPr>
  </w:style>
  <w:style w:type="paragraph" w:styleId="Bullet">
    <w:name w:val="項目"/>
    <w:basedOn w:val="Normal"/>
    <w:pPr>
      <w:ind w:left="250" w:hanging="250"/>
      <w:spacing w:before="0" w:after="70" w:line="300" w:lineRule="auto"/>
      <w:widowControl/>
    </w:pPr>
    <w:rPr>
      <w:sz w:val="21"/>
      <w:szCs w:val="21"/>
      <w:color w:val="202B33"/>
    </w:rPr>
  </w:style>
  <w:style w:type="paragraph" w:styleId="Code">
    <w:name w:val="程式與資料範例"/>
    <w:basedOn w:val="Normal"/>
    <w:pPr>
      <w:spacing w:before="0" w:after="10" w:line="255" w:lineRule="auto"/>
      <w:widowControl/>
    </w:pPr>
    <w:rPr>
      <w:rFonts w:ascii="Consolas" w:hAnsi="Consolas" w:eastAsia="Microsoft JhengHei"/>
      <w:sz w:val="17"/>
      <w:szCs w:val="17"/>
      <w:color w:val="202B33"/>
    </w:rPr>
  </w:style>
  <w:style w:type="paragraph" w:styleId="TOC1">
    <w:name w:val="目錄"/>
    <w:basedOn w:val="Normal"/>
    <w:pPr>
      <w:spacing w:before="50" w:after="100" w:line="300" w:lineRule="auto"/>
      <w:widowControl/>
    </w:pPr>
    <w:rPr>
      <w:sz w:val="23"/>
      <w:szCs w:val="23"/>
      <w:color w:val="245C8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Swiss Re Facility - CGL 專屬規則</dc:title>
  <dc:creator>Reinsurance Department System</dc:creator>
  <dc:description>目前 VM 完整說明；2026-10-29</dc:description>
  <dcterms:created xsi:type="dcterms:W3CDTF">2026-10-29T01:48:19.739213+00:00</dcterms:created>
</cp:coreProperties>
</file>