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Swiss Re Facility - PD</w:t>
      </w:r>
    </w:p>
    <w:p>
      <w:pPr>
        <w:pStyle w:val="Subtitle"/>
      </w:pPr>
      <w:r>
        <w:t xml:space="preserve">專屬規則｜2026/10/29</w:t>
      </w:r>
    </w:p>
    <w:p>
      <w:pPr>
        <w:pStyle w:val="Note"/>
      </w:pPr>
      <w:r>
        <w:t xml:space="preserve">依目前上線版本整理。只列本 Facility 的 Property 差異，日期範例均為合成案例。</w:t>
      </w:r>
    </w:p>
    <w:p>
      <w:pPr>
        <w:pStyle w:val="Heading1"/>
      </w:pPr>
      <w:bookmarkStart w:id="1" w:name="heading_1"/>
      <w:r>
        <w:t xml:space="preserve">一、適用範圍</w:t>
      </w:r>
      <w:bookmarkEnd w:id="1"/>
    </w:p>
    <w:p>
      <w:pPr>
        <w:pStyle w:val="Normal"/>
      </w:pPr>
      <w:r>
        <w:t xml:space="preserve">再保人須為 Swiss Re Asia Pte. Ltd., Hong Kong Branch (Facility)，險種為 Property。本文件以 PD 稱呼；不套用至同名但未含「(Facility)」的一般再保人。</w:t>
      </w:r>
    </w:p>
    <w:p>
      <w:pPr>
        <w:pStyle w:val="Normal"/>
      </w:pPr>
      <w:r>
        <w:t xml:space="preserve">Property 的 QS、XOL 均可適用；Swiss CGL 使用另一套規則，不適用本文件的固定季結。</w:t>
      </w:r>
    </w:p>
    <w:p>
      <w:pPr>
        <w:pStyle w:val="Heading1"/>
      </w:pPr>
      <w:bookmarkStart w:id="2" w:name="heading_2"/>
      <w:r>
        <w:t xml:space="preserve">二、Property 固定條款</w:t>
      </w:r>
      <w:bookmarkEnd w:id="2"/>
    </w:p>
    <w:p>
      <w:pPr>
        <w:pStyle w:val="Normal"/>
      </w:pPr>
      <w:r>
        <w:t xml:space="preserve">目前 Swiss Facility 主檔對 Property 指定以下三項固定條款：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6700"/>
      </w:tblGrid>
      <w:tr>
        <w:trPr>
          <w:cantSplit/>
          <w:tblHeader/>
        </w:trPr>
        <w:tc>
          <w:tcPr>
            <w:tcW w:w="23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代碼</w:t>
            </w:r>
          </w:p>
        </w:tc>
        <w:tc>
          <w:tcPr>
            <w:tcW w:w="6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條款名稱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EX-GRATIA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Excluding Ex-Gratia and without prejudice payments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SWIFTRE_GEN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General Conditions for Facultative Reinsurance via SwiftRe®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SWIFTRE_SPEC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Special Conditions for Facultative Property Reinsurance via SwiftRe®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bookmarkStart w:id="3" w:name="heading_3"/>
      <w:r>
        <w:t xml:space="preserve">三、Swiss PD 日期重點</w:t>
      </w:r>
      <w:bookmarkEnd w:id="3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2300"/>
        <w:gridCol w:w="6700"/>
      </w:tblGrid>
      <w:tr>
        <w:trPr>
          <w:cantSplit/>
          <w:tblHeader/>
        </w:trPr>
        <w:tc>
          <w:tcPr>
            <w:tcW w:w="23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項目</w:t>
            </w:r>
          </w:p>
        </w:tc>
        <w:tc>
          <w:tcPr>
            <w:tcW w:w="6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目前規則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保險公司端提醒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基準日 B＋80 天。約定期限為 B＋90 天；尚有未收款餘額時，超過約定期限才逾期。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Swiss 保費結算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每年 02/14、05/14、08/14、11/14；原定期以保險公司 B＋90 天歸期。</w:t>
            </w:r>
          </w:p>
        </w:tc>
      </w:tr>
      <w:tr>
        <w:trPr>
          <w:cantSplit/>
        </w:trPr>
        <w:tc>
          <w:tcPr>
            <w:tcW w:w="2300" w:type="dxa"/>
            <w:shd w:fill="FFFFFF"/>
            <w:vAlign w:val="top"/>
          </w:tcPr>
          <w:p>
            <w:pPr>
              <w:pStyle w:val="TableText"/>
            </w:pPr>
            <w:r>
              <w:t xml:space="preserve">Swiss 退保費</w:t>
            </w:r>
          </w:p>
        </w:tc>
        <w:tc>
          <w:tcPr>
            <w:tcW w:w="6700" w:type="dxa"/>
            <w:shd w:fill="FFFFFF"/>
            <w:vAlign w:val="top"/>
          </w:tcPr>
          <w:p>
            <w:pPr>
              <w:pStyle w:val="TableText"/>
            </w:pPr>
            <w:r>
              <w:t xml:space="preserve">先以同一 B＋90 天歸期，再提前一個結算期；另受實際 Announce 的列期截止限制。</w:t>
            </w:r>
          </w:p>
        </w:tc>
      </w:tr>
      <w:tr>
        <w:trPr>
          <w:cantSplit/>
        </w:trPr>
        <w:tc>
          <w:tcPr>
            <w:tcW w:w="2300" w:type="dxa"/>
            <w:shd w:fill="F1F5F8"/>
            <w:vAlign w:val="top"/>
          </w:tcPr>
          <w:p>
            <w:pPr>
              <w:pStyle w:val="TableText"/>
            </w:pPr>
            <w:r>
              <w:t xml:space="preserve">Swiss 理賠</w:t>
            </w:r>
          </w:p>
        </w:tc>
        <w:tc>
          <w:tcPr>
            <w:tcW w:w="6700" w:type="dxa"/>
            <w:shd w:fill="F1F5F8"/>
            <w:vAlign w:val="top"/>
          </w:tcPr>
          <w:p>
            <w:pPr>
              <w:pStyle w:val="TableText"/>
            </w:pPr>
            <w:r>
              <w:t xml:space="preserve">依該筆賠款帳款的實際建立日期歸入固定結算期。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te"/>
      </w:pPr>
      <w:r>
        <w:t xml:space="preserve">B 為系統已確定的該筆收付基準日：原單／續保為生效日，分期為各期 Payment Base Date，批單為批改生效日與成功 Announce 的台灣日期較晚者。</w:t>
      </w:r>
    </w:p>
    <w:p>
      <w:pPr>
        <w:pStyle w:val="Note"/>
      </w:pPr>
      <w:r>
        <w:t xml:space="preserve">本版採＋80天提醒、＋90天歸期。舊版＋75天及人工勾選「已收齊」的說明已不適用目前新制流程。</w:t>
      </w:r>
    </w:p>
    <w:p>
      <w:pPr>
        <w:pageBreakBefore/>
        <w:pStyle w:val="Heading1"/>
      </w:pPr>
      <w:bookmarkStart w:id="4" w:name="heading_4"/>
      <w:r>
        <w:t xml:space="preserve">四、保費結算與自動延期</w:t>
      </w:r>
      <w:bookmarkEnd w:id="4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500"/>
        <w:gridCol w:w="2700"/>
        <w:gridCol w:w="2800"/>
      </w:tblGrid>
      <w:tr>
        <w:trPr>
          <w:cantSplit/>
          <w:tblHeader/>
        </w:trPr>
        <w:tc>
          <w:tcPr>
            <w:tcW w:w="35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用來歸期的日期</w:t>
            </w:r>
          </w:p>
        </w:tc>
        <w:tc>
          <w:tcPr>
            <w:tcW w:w="27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對應 Swiss 結算日</w:t>
            </w:r>
          </w:p>
        </w:tc>
        <w:tc>
          <w:tcPr>
            <w:tcW w:w="28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列期截止日</w:t>
            </w:r>
          </w:p>
        </w:tc>
      </w:tr>
      <w:tr>
        <w:trPr>
          <w:cantSplit/>
        </w:trPr>
        <w:tc>
          <w:tcPr>
            <w:tcW w:w="3500" w:type="dxa"/>
            <w:shd w:fill="FFFFFF"/>
            <w:vAlign w:val="top"/>
          </w:tcPr>
          <w:p>
            <w:pPr>
              <w:pStyle w:val="TableText"/>
            </w:pPr>
            <w:r>
              <w:t xml:space="preserve">11/01～翌年01/31</w:t>
            </w:r>
          </w:p>
        </w:tc>
        <w:tc>
          <w:tcPr>
            <w:tcW w:w="2700" w:type="dxa"/>
            <w:shd w:fill="FFFFFF"/>
            <w:vAlign w:val="top"/>
          </w:tcPr>
          <w:p>
            <w:pPr>
              <w:pStyle w:val="TableText"/>
            </w:pPr>
            <w:r>
              <w:t xml:space="preserve">翌年02/14</w:t>
            </w:r>
          </w:p>
        </w:tc>
        <w:tc>
          <w:tcPr>
            <w:tcW w:w="2800" w:type="dxa"/>
            <w:shd w:fill="FFFFFF"/>
            <w:vAlign w:val="top"/>
          </w:tcPr>
          <w:p>
            <w:pPr>
              <w:pStyle w:val="TableText"/>
            </w:pPr>
            <w:r>
              <w:t xml:space="preserve">翌年01/31</w:t>
            </w:r>
          </w:p>
        </w:tc>
      </w:tr>
      <w:tr>
        <w:trPr>
          <w:cantSplit/>
        </w:trPr>
        <w:tc>
          <w:tcPr>
            <w:tcW w:w="3500" w:type="dxa"/>
            <w:shd w:fill="F1F5F8"/>
            <w:vAlign w:val="top"/>
          </w:tcPr>
          <w:p>
            <w:pPr>
              <w:pStyle w:val="TableText"/>
            </w:pPr>
            <w:r>
              <w:t xml:space="preserve">02/01～04/30</w:t>
            </w:r>
          </w:p>
        </w:tc>
        <w:tc>
          <w:tcPr>
            <w:tcW w:w="2700" w:type="dxa"/>
            <w:shd w:fill="F1F5F8"/>
            <w:vAlign w:val="top"/>
          </w:tcPr>
          <w:p>
            <w:pPr>
              <w:pStyle w:val="TableText"/>
            </w:pPr>
            <w:r>
              <w:t xml:space="preserve">同年05/14</w:t>
            </w:r>
          </w:p>
        </w:tc>
        <w:tc>
          <w:tcPr>
            <w:tcW w:w="2800" w:type="dxa"/>
            <w:shd w:fill="F1F5F8"/>
            <w:vAlign w:val="top"/>
          </w:tcPr>
          <w:p>
            <w:pPr>
              <w:pStyle w:val="TableText"/>
            </w:pPr>
            <w:r>
              <w:t xml:space="preserve">同年04/30</w:t>
            </w:r>
          </w:p>
        </w:tc>
      </w:tr>
      <w:tr>
        <w:trPr>
          <w:cantSplit/>
        </w:trPr>
        <w:tc>
          <w:tcPr>
            <w:tcW w:w="3500" w:type="dxa"/>
            <w:shd w:fill="FFFFFF"/>
            <w:vAlign w:val="top"/>
          </w:tcPr>
          <w:p>
            <w:pPr>
              <w:pStyle w:val="TableText"/>
            </w:pPr>
            <w:r>
              <w:t xml:space="preserve">05/01～07/31</w:t>
            </w:r>
          </w:p>
        </w:tc>
        <w:tc>
          <w:tcPr>
            <w:tcW w:w="2700" w:type="dxa"/>
            <w:shd w:fill="FFFFFF"/>
            <w:vAlign w:val="top"/>
          </w:tcPr>
          <w:p>
            <w:pPr>
              <w:pStyle w:val="TableText"/>
            </w:pPr>
            <w:r>
              <w:t xml:space="preserve">同年08/14</w:t>
            </w:r>
          </w:p>
        </w:tc>
        <w:tc>
          <w:tcPr>
            <w:tcW w:w="2800" w:type="dxa"/>
            <w:shd w:fill="FFFFFF"/>
            <w:vAlign w:val="top"/>
          </w:tcPr>
          <w:p>
            <w:pPr>
              <w:pStyle w:val="TableText"/>
            </w:pPr>
            <w:r>
              <w:t xml:space="preserve">同年07/31</w:t>
            </w:r>
          </w:p>
        </w:tc>
      </w:tr>
      <w:tr>
        <w:trPr>
          <w:cantSplit/>
        </w:trPr>
        <w:tc>
          <w:tcPr>
            <w:tcW w:w="3500" w:type="dxa"/>
            <w:shd w:fill="F1F5F8"/>
            <w:vAlign w:val="top"/>
          </w:tcPr>
          <w:p>
            <w:pPr>
              <w:pStyle w:val="TableText"/>
            </w:pPr>
            <w:r>
              <w:t xml:space="preserve">08/01～10/31</w:t>
            </w:r>
          </w:p>
        </w:tc>
        <w:tc>
          <w:tcPr>
            <w:tcW w:w="2700" w:type="dxa"/>
            <w:shd w:fill="F1F5F8"/>
            <w:vAlign w:val="top"/>
          </w:tcPr>
          <w:p>
            <w:pPr>
              <w:pStyle w:val="TableText"/>
            </w:pPr>
            <w:r>
              <w:t xml:space="preserve">同年11/14</w:t>
            </w:r>
          </w:p>
        </w:tc>
        <w:tc>
          <w:tcPr>
            <w:tcW w:w="2800" w:type="dxa"/>
            <w:shd w:fill="F1F5F8"/>
            <w:vAlign w:val="top"/>
          </w:tcPr>
          <w:p>
            <w:pPr>
              <w:pStyle w:val="TableText"/>
            </w:pPr>
            <w:r>
              <w:t xml:space="preserve">同年10/31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Swiss 結算日與其會計應付日均維持固定的14日；實際匯款日期另行登錄。</w:t>
      </w:r>
    </w:p>
    <w:p>
      <w:pPr>
        <w:pStyle w:val="Heading2"/>
      </w:pPr>
      <w:bookmarkStart w:id="5" w:name="heading_5"/>
      <w:r>
        <w:t xml:space="preserve">歸期方式</w:t>
      </w:r>
      <w:bookmarkEnd w:id="5"/>
    </w:p>
    <w:p>
      <w:pPr>
        <w:pStyle w:val="Normal"/>
      </w:pPr>
      <w:r>
        <w:t xml:space="preserve">系統比較以下三個結算期，取最晚一期：</w:t>
      </w:r>
    </w:p>
    <w:p>
      <w:pPr>
        <w:pStyle w:val="Bullet"/>
      </w:pPr>
      <w:r>
        <w:t xml:space="preserve">• 原定期：保險公司約定收款日 B＋90 天所屬的結算期。</w:t>
      </w:r>
    </w:p>
    <w:p>
      <w:pPr>
        <w:pStyle w:val="Bullet"/>
      </w:pPr>
      <w:r>
        <w:t xml:space="preserve">• 收款期：該期保費最後有效的實際收款日期所屬的結算期。收款日期採會計登錄的收款日期欄位。</w:t>
      </w:r>
    </w:p>
    <w:p>
      <w:pPr>
        <w:pStyle w:val="Bullet"/>
      </w:pPr>
      <w:r>
        <w:t xml:space="preserve">• 確認期：該期全部保險公司保費完成自動銷帳的實際操作日所屬的結算期。採台灣日期，不能回填。尚未完成時，以當天日期計算預計期。</w:t>
      </w:r>
    </w:p>
    <w:p>
      <w:pPr>
        <w:pStyle w:val="Normal"/>
      </w:pPr>
      <w:r>
        <w:t xml:space="preserve">因此，提早收齊不會提前原定期；跨過月底仍未完成收妥及自動銷帳，就繼續往後順延。確認依該期全部保險公司保費，包括其他再保人的分攤，不只 Swiss 部分。</w:t>
      </w:r>
    </w:p>
    <w:p>
      <w:pPr>
        <w:pStyle w:val="Heading2"/>
      </w:pPr>
      <w:bookmarkStart w:id="6" w:name="heading_6"/>
      <w:r>
        <w:t xml:space="preserve">歸期例子</w:t>
      </w:r>
      <w:bookmarkEnd w:id="6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6100"/>
        <w:gridCol w:w="2900"/>
      </w:tblGrid>
      <w:tr>
        <w:trPr>
          <w:cantSplit/>
          <w:tblHeader/>
        </w:trPr>
        <w:tc>
          <w:tcPr>
            <w:tcW w:w="6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情況（2026年）</w:t>
            </w:r>
          </w:p>
        </w:tc>
        <w:tc>
          <w:tcPr>
            <w:tcW w:w="29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Swiss 結果</w:t>
            </w:r>
          </w:p>
        </w:tc>
      </w:tr>
      <w:tr>
        <w:trPr>
          <w:cantSplit/>
        </w:trPr>
        <w:tc>
          <w:tcPr>
            <w:tcW w:w="6100" w:type="dxa"/>
            <w:shd w:fill="FFFFFF"/>
            <w:vAlign w:val="top"/>
          </w:tcPr>
          <w:p>
            <w:pPr>
              <w:pStyle w:val="TableText"/>
            </w:pPr>
            <w:r>
              <w:t xml:space="preserve">01/31生效：＋80天為04/21、＋90天為05/01。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t xml:space="preserve">原定08/14；原定期按05/01判斷。</w:t>
            </w:r>
          </w:p>
        </w:tc>
      </w:tr>
      <w:tr>
        <w:trPr>
          <w:cantSplit/>
        </w:trPr>
        <w:tc>
          <w:tcPr>
            <w:tcW w:w="6100" w:type="dxa"/>
            <w:shd w:fill="F1F5F8"/>
            <w:vAlign w:val="top"/>
          </w:tcPr>
          <w:p>
            <w:pPr>
              <w:pStyle w:val="TableText"/>
            </w:pPr>
            <w:r>
              <w:t xml:space="preserve">01/01生效，原定05/14；04/30已收妥並完成自動銷帳。</w:t>
            </w:r>
          </w:p>
        </w:tc>
        <w:tc>
          <w:tcPr>
            <w:tcW w:w="2900" w:type="dxa"/>
            <w:shd w:fill="F1F5F8"/>
            <w:vAlign w:val="top"/>
          </w:tcPr>
          <w:p>
            <w:pPr>
              <w:pStyle w:val="TableText"/>
            </w:pPr>
            <w:r>
              <w:t xml:space="preserve">05/14結算。</w:t>
            </w:r>
          </w:p>
        </w:tc>
      </w:tr>
      <w:tr>
        <w:trPr>
          <w:cantSplit/>
        </w:trPr>
        <w:tc>
          <w:tcPr>
            <w:tcW w:w="6100" w:type="dxa"/>
            <w:shd w:fill="FFFFFF"/>
            <w:vAlign w:val="top"/>
          </w:tcPr>
          <w:p>
            <w:pPr>
              <w:pStyle w:val="TableText"/>
            </w:pPr>
            <w:r>
              <w:t xml:space="preserve">同上，收款日期填04/30，但05/02才登錄並完成自動銷帳。</w:t>
            </w:r>
          </w:p>
        </w:tc>
        <w:tc>
          <w:tcPr>
            <w:tcW w:w="2900" w:type="dxa"/>
            <w:shd w:fill="FFFFFF"/>
            <w:vAlign w:val="top"/>
          </w:tcPr>
          <w:p>
            <w:pPr>
              <w:pStyle w:val="TableText"/>
            </w:pPr>
            <w:r>
              <w:t xml:space="preserve">08/14；實際操作已超過04/30截止。</w:t>
            </w:r>
          </w:p>
        </w:tc>
      </w:tr>
      <w:tr>
        <w:trPr>
          <w:cantSplit/>
        </w:trPr>
        <w:tc>
          <w:tcPr>
            <w:tcW w:w="6100" w:type="dxa"/>
            <w:shd w:fill="F1F5F8"/>
            <w:vAlign w:val="top"/>
          </w:tcPr>
          <w:p>
            <w:pPr>
              <w:pStyle w:val="TableText"/>
            </w:pPr>
            <w:r>
              <w:t xml:space="preserve">同上，直到08/05才補登並完成自動銷帳，收款日期仍填04/30。</w:t>
            </w:r>
          </w:p>
        </w:tc>
        <w:tc>
          <w:tcPr>
            <w:tcW w:w="2900" w:type="dxa"/>
            <w:shd w:fill="F1F5F8"/>
            <w:vAlign w:val="top"/>
          </w:tcPr>
          <w:p>
            <w:pPr>
              <w:pStyle w:val="TableText"/>
            </w:pPr>
            <w:r>
              <w:t xml:space="preserve">11/14；確認期落在08/01～10/31。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te"/>
      </w:pPr>
      <w:r>
        <w:t xml:space="preserve">結算日當天完成收妥，不能補入當期。例如08/14才完成，已超過07/31截止，歸11/14。</w:t>
      </w:r>
    </w:p>
    <w:p>
      <w:pPr>
        <w:pageBreakBefore/>
        <w:pStyle w:val="Heading1"/>
      </w:pPr>
      <w:bookmarkStart w:id="7" w:name="heading_7"/>
      <w:r>
        <w:t xml:space="preserve">五、退保費的提前結算</w:t>
      </w:r>
      <w:bookmarkEnd w:id="7"/>
    </w:p>
    <w:p>
      <w:pPr>
        <w:pStyle w:val="Normal"/>
      </w:pPr>
      <w:r>
        <w:t xml:space="preserve">Swiss 退保費原定應收日，取以下兩個日期中較晚者：</w:t>
      </w:r>
    </w:p>
    <w:p>
      <w:pPr>
        <w:pStyle w:val="Bullet"/>
      </w:pPr>
      <w:r>
        <w:t xml:space="preserve">• 將 B＋90 天所對應的固定結算日，提前一個結算期。</w:t>
      </w:r>
    </w:p>
    <w:p>
      <w:pPr>
        <w:pStyle w:val="Bullet"/>
      </w:pPr>
      <w:r>
        <w:t xml:space="preserve">• 實際成功 Announce 的台灣日期所屬的固定結算日。</w:t>
      </w:r>
    </w:p>
    <w:p>
      <w:pPr>
        <w:pStyle w:val="Normal"/>
      </w:pPr>
      <w:r>
        <w:t xml:space="preserve">第二項確保批單超過月底截止才 Announce 時，不會列入已截止的當期。例如05/01才 Announce，就不能列05/14，最早列08/14。</w:t>
      </w:r>
    </w:p>
    <w:p>
      <w:pPr>
        <w:pStyle w:val="Heading2"/>
      </w:pPr>
      <w:bookmarkStart w:id="8" w:name="heading_8"/>
      <w:r>
        <w:t xml:space="preserve">退費例子</w:t>
      </w:r>
      <w:bookmarkEnd w:id="8"/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400"/>
        <w:gridCol w:w="5600"/>
      </w:tblGrid>
      <w:tr>
        <w:trPr>
          <w:cantSplit/>
          <w:tblHeader/>
        </w:trPr>
        <w:tc>
          <w:tcPr>
            <w:tcW w:w="34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情況（2026年）</w:t>
            </w:r>
          </w:p>
        </w:tc>
        <w:tc>
          <w:tcPr>
            <w:tcW w:w="56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計算與結果</w:t>
            </w:r>
          </w:p>
        </w:tc>
      </w:tr>
      <w:tr>
        <w:trPr>
          <w:cantSplit/>
        </w:trPr>
        <w:tc>
          <w:tcPr>
            <w:tcW w:w="3400" w:type="dxa"/>
            <w:shd w:fill="FFFFFF"/>
            <w:vAlign w:val="top"/>
          </w:tcPr>
          <w:p>
            <w:pPr>
              <w:pStyle w:val="TableText"/>
            </w:pPr>
            <w:r>
              <w:t xml:space="preserve">批改生效與正式Announce均為02/01。</w:t>
            </w:r>
          </w:p>
        </w:tc>
        <w:tc>
          <w:tcPr>
            <w:tcW w:w="5600" w:type="dxa"/>
            <w:shd w:fill="FFFFFF"/>
            <w:vAlign w:val="top"/>
          </w:tcPr>
          <w:p>
            <w:pPr>
              <w:pStyle w:val="TableText"/>
            </w:pPr>
            <w:r>
              <w:t xml:space="preserve">B＋80＝04/22，B＋90＝05/02。05/02原對應08/14，提前一期為05/14；Announce亦對應05/14，因此Swiss原定05/14退款。</w:t>
            </w:r>
          </w:p>
        </w:tc>
      </w:tr>
      <w:tr>
        <w:trPr>
          <w:cantSplit/>
        </w:trPr>
        <w:tc>
          <w:tcPr>
            <w:tcW w:w="3400" w:type="dxa"/>
            <w:shd w:fill="F1F5F8"/>
            <w:vAlign w:val="top"/>
          </w:tcPr>
          <w:p>
            <w:pPr>
              <w:pStyle w:val="TableText"/>
            </w:pPr>
            <w:r>
              <w:t xml:space="preserve">批改生效與正式Announce均為05/01。</w:t>
            </w:r>
          </w:p>
        </w:tc>
        <w:tc>
          <w:tcPr>
            <w:tcW w:w="5600" w:type="dxa"/>
            <w:shd w:fill="F1F5F8"/>
            <w:vAlign w:val="top"/>
          </w:tcPr>
          <w:p>
            <w:pPr>
              <w:pStyle w:val="TableText"/>
            </w:pPr>
            <w:r>
              <w:t xml:space="preserve">B＋80＝07/20，B＋90＝07/30。07/30原對應08/14，提前一期為05/14；但05/01已過04/30截止，因此Swiss原定退款日改為08/14。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bookmarkStart w:id="9" w:name="heading_9"/>
      <w:r>
        <w:t xml:space="preserve">逾期顯示</w:t>
      </w:r>
      <w:bookmarkEnd w:id="9"/>
    </w:p>
    <w:p>
      <w:pPr>
        <w:pStyle w:val="Normal"/>
      </w:pPr>
      <w:r>
        <w:t xml:space="preserve">Swiss 到原定退款日仍未退回時，保留原應收日並標示逾期、持續催收，不自動新增下一期預計日期。</w:t>
      </w:r>
    </w:p>
    <w:p>
      <w:pPr>
        <w:pStyle w:val="Normal"/>
      </w:pPr>
      <w:r>
        <w:t xml:space="preserve">保險公司端保留原 B＋80 天提醒與 B＋90 天期限。Swiss 的退款期較晚，或 Swiss 遲退，都不會延長保險公司端的期限；未退清時仍依原期限顯示逾期。</w:t>
      </w:r>
    </w:p>
    <w:p>
      <w:pPr>
        <w:pStyle w:val="Normal"/>
      </w:pPr>
      <w:r>
        <w:t xml:space="preserve">例如上述05/01批單，向保險公司退款期限仍是07/30；Swiss原定08/14退款，不會把保險公司端的期限一併改為08/14。</w:t>
      </w:r>
    </w:p>
    <w:p>
      <w:pPr>
        <w:pageBreakBefore/>
        <w:pStyle w:val="Heading1"/>
      </w:pPr>
      <w:bookmarkStart w:id="10" w:name="heading_10"/>
      <w:r>
        <w:t xml:space="preserve">六、Swiss PD 理賠日期</w:t>
      </w:r>
      <w:bookmarkEnd w:id="10"/>
    </w:p>
    <w:p>
      <w:pPr>
        <w:pStyle w:val="Normal"/>
      </w:pPr>
      <w:r>
        <w:t xml:space="preserve">依該次賠款帳款實際成功建立的台灣日期，套用前述固定結算區間。向 Swiss 應收及對應付給保險公司的該筆理賠，採同一個固定到期日。</w:t>
      </w:r>
    </w:p>
    <w:tbl>
      <w:tblPr>
        <w:tblW w:w="9000" w:type="dxa"/>
        <w:tblLayout w:type="fixed"/>
        <w:tblBorders>
          <w:top w:val="single" w:sz="4" w:color="B7C7D3"/>
          <w:left w:val="single" w:sz="4" w:color="B7C7D3"/>
          <w:bottom w:val="single" w:sz="4" w:color="B7C7D3"/>
          <w:right w:val="single" w:sz="4" w:color="B7C7D3"/>
          <w:insideH w:val="single" w:sz="4" w:color="B7C7D3"/>
          <w:insideV w:val="single" w:sz="4" w:color="B7C7D3"/>
        </w:tblBorders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100"/>
        <w:gridCol w:w="2950"/>
        <w:gridCol w:w="2950"/>
      </w:tblGrid>
      <w:tr>
        <w:trPr>
          <w:cantSplit/>
          <w:tblHeader/>
        </w:trPr>
        <w:tc>
          <w:tcPr>
            <w:tcW w:w="310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賠款帳款建立日</w:t>
            </w:r>
          </w:p>
        </w:tc>
        <w:tc>
          <w:tcPr>
            <w:tcW w:w="29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應收／應付到期日</w:t>
            </w:r>
          </w:p>
        </w:tc>
        <w:tc>
          <w:tcPr>
            <w:tcW w:w="2950" w:type="dxa"/>
            <w:shd w:fill="245C80"/>
            <w:vAlign w:val="top"/>
          </w:tcPr>
          <w:p>
            <w:pPr>
              <w:pStyle w:val="TableText"/>
            </w:pPr>
            <w:r>
              <w:rPr>
                <w:b/>
                <w:color w:val="FFFFFF"/>
              </w:rPr>
              <w:t xml:space="preserve">首次會計提醒日</w:t>
            </w:r>
          </w:p>
        </w:tc>
      </w:tr>
      <w:tr>
        <w:trPr>
          <w:cantSplit/>
        </w:trPr>
        <w:tc>
          <w:tcPr>
            <w:tcW w:w="3100" w:type="dxa"/>
            <w:shd w:fill="FFFFFF"/>
            <w:vAlign w:val="top"/>
          </w:tcPr>
          <w:p>
            <w:pPr>
              <w:pStyle w:val="TableText"/>
            </w:pPr>
            <w:r>
              <w:t xml:space="preserve">2026/10/15</w:t>
            </w:r>
          </w:p>
        </w:tc>
        <w:tc>
          <w:tcPr>
            <w:tcW w:w="2950" w:type="dxa"/>
            <w:shd w:fill="FFFFFF"/>
            <w:vAlign w:val="top"/>
          </w:tcPr>
          <w:p>
            <w:pPr>
              <w:pStyle w:val="TableText"/>
            </w:pPr>
            <w:r>
              <w:t xml:space="preserve">2026/11/14</w:t>
            </w:r>
          </w:p>
        </w:tc>
        <w:tc>
          <w:tcPr>
            <w:tcW w:w="2950" w:type="dxa"/>
            <w:shd w:fill="FFFFFF"/>
            <w:vAlign w:val="top"/>
          </w:tcPr>
          <w:p>
            <w:pPr>
              <w:pStyle w:val="TableText"/>
            </w:pPr>
            <w:r>
              <w:t xml:space="preserve">2026/11/07</w:t>
            </w:r>
          </w:p>
        </w:tc>
      </w:tr>
      <w:tr>
        <w:trPr>
          <w:cantSplit/>
        </w:trPr>
        <w:tc>
          <w:tcPr>
            <w:tcW w:w="3100" w:type="dxa"/>
            <w:shd w:fill="F1F5F8"/>
            <w:vAlign w:val="top"/>
          </w:tcPr>
          <w:p>
            <w:pPr>
              <w:pStyle w:val="TableText"/>
            </w:pPr>
            <w:r>
              <w:t xml:space="preserve">2026/11/02</w:t>
            </w:r>
          </w:p>
        </w:tc>
        <w:tc>
          <w:tcPr>
            <w:tcW w:w="2950" w:type="dxa"/>
            <w:shd w:fill="F1F5F8"/>
            <w:vAlign w:val="top"/>
          </w:tcPr>
          <w:p>
            <w:pPr>
              <w:pStyle w:val="TableText"/>
            </w:pPr>
            <w:r>
              <w:t xml:space="preserve">2027/02/14</w:t>
            </w:r>
          </w:p>
        </w:tc>
        <w:tc>
          <w:tcPr>
            <w:tcW w:w="2950" w:type="dxa"/>
            <w:shd w:fill="F1F5F8"/>
            <w:vAlign w:val="top"/>
          </w:tcPr>
          <w:p>
            <w:pPr>
              <w:pStyle w:val="TableText"/>
            </w:pPr>
            <w:r>
              <w:t xml:space="preserve">2027/02/07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Normal"/>
      </w:pPr>
      <w:r>
        <w:t xml:space="preserve">不以出險日或保險公司請款日期歸期，也不套用Swiss CGL的「建帳日＋15天」。</w:t>
      </w:r>
    </w:p>
    <w:p>
      <w:pPr>
        <w:pStyle w:val="Heading1"/>
      </w:pPr>
      <w:bookmarkStart w:id="11" w:name="heading_11"/>
      <w:r>
        <w:t xml:space="preserve">七、Accounting 的 Swiss 專屬資訊</w:t>
      </w:r>
      <w:bookmarkEnd w:id="11"/>
    </w:p>
    <w:p>
      <w:pPr>
        <w:pStyle w:val="Bullet"/>
      </w:pPr>
      <w:r>
        <w:t xml:space="preserve">• Swiss資訊整合在Accounting既有帳款清單，不另設Swiss Facility · Property區塊。</w:t>
      </w:r>
    </w:p>
    <w:p>
      <w:pPr>
        <w:pStyle w:val="Bullet"/>
      </w:pPr>
      <w:r>
        <w:t xml:space="preserve">• Original Swiss顯示原定期；Projected／Settlement顯示預計順延期或確認後結算期；Cutoff顯示該期月底截止日。</w:t>
      </w:r>
    </w:p>
    <w:p>
      <w:pPr>
        <w:pStyle w:val="Bullet"/>
      </w:pPr>
      <w:r>
        <w:t xml:space="preserve">• 全期保險公司保費收妥並自動銷帳後，須另填Swiss結算清單參考號，才可登錄付給Swiss的正保費。此號碼與Cedant Statement No.及Reinsurer Ref.分開。</w:t>
      </w:r>
    </w:p>
    <w:p>
      <w:pPr>
        <w:pStyle w:val="Bullet"/>
      </w:pPr>
      <w:r>
        <w:t xml:space="preserve">• 目前沒有直接手動指定新結算日或手動延到下一期的入口。保費的延期由系統依日期及收妥情況計算。</w:t>
      </w:r>
    </w:p>
    <w:p>
      <w:pPr>
        <w:pStyle w:val="Heading2"/>
      </w:pPr>
      <w:bookmarkStart w:id="12" w:name="heading_12"/>
      <w:r>
        <w:t xml:space="preserve">結算延期與逾期分開判斷</w:t>
      </w:r>
      <w:bookmarkEnd w:id="12"/>
    </w:p>
    <w:p>
      <w:pPr>
        <w:pStyle w:val="Normal"/>
      </w:pPr>
      <w:r>
        <w:t xml:space="preserve">Swiss保費自動延至下一期時，保險公司端的約定收款日維持不變。保險公司款項仍未收清且超過B＋90天，就顯示逾期；可以同時出現保險公司保費逾期、Swiss尚待下一期結算。</w:t>
      </w:r>
    </w:p>
    <w:p>
      <w:pPr>
        <w:pStyle w:val="Normal"/>
      </w:pPr>
      <w:r>
        <w:t xml:space="preserve">已在截止前符合Swiss結算條件，但我方到固定結算日仍未付款時，保留該Swiss結算日並標示逾期，不因漏付自動移到下一期。</w:t>
      </w:r>
    </w:p>
    <w:p>
      <w:pPr>
        <w:pStyle w:val="Heading2"/>
      </w:pPr>
      <w:bookmarkStart w:id="13" w:name="heading_13"/>
      <w:r>
        <w:t xml:space="preserve">版本依據</w:t>
      </w:r>
      <w:bookmarkEnd w:id="13"/>
    </w:p>
    <w:p>
      <w:pPr>
        <w:pStyle w:val="Note"/>
      </w:pPr>
      <w:r>
        <w:t xml:space="preserve">核對時間：2026/10/29 09:30（台灣時間）。依執行中後端、目前部署的Accounting畫面及Swiss Facility主檔整理；本次僅更新指南，不調整業務規則。</w:t>
      </w:r>
    </w:p>
    <w:sectPr>
      <w:headerReference w:type="default" r:id="rIdHeader"/>
      <w:footerReference w:type="default" r:id="rIdFooter"/>
      <w:pgSz w:w="11906" w:h="16838"/>
      <w:pgMar w:top="1134" w:right="1453" w:bottom="1134" w:left="1453" w:header="567" w:footer="567"/>
      <w:cols w:space="708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</w:rPr>
      <w:t xml:space="preserve">2026-10-29  ·  第 </w:t>
    </w:r>
    <w:fldSimple w:instr="PAGE">
      <w:r>
        <w:rPr>
          <w:sz w:val="16"/>
        </w:rPr>
        <w:t xml:space="preserve">1</w:t>
      </w:r>
    </w:fldSimple>
    <w:r>
      <w:rPr>
        <w:sz w:val="16"/>
      </w:rPr>
      <w:t xml:space="preserve"> 頁／共 </w:t>
    </w:r>
    <w:fldSimple w:instr="NUMPAGES">
      <w:r>
        <w:rPr>
          <w:sz w:val="16"/>
        </w:rPr>
        <w:t xml:space="preserve">1</w:t>
      </w:r>
    </w:fldSimple>
    <w:r>
      <w:rPr>
        <w:sz w:val="16"/>
      </w:rPr>
      <w:t xml:space="preserve"> 頁</w:t>
    </w:r>
  </w:p>
</w:ftr>
</file>

<file path=word/header1.xml><?xml version="1.0" encoding="utf-8"?>
<w:hdr xmlns:w="http://schemas.openxmlformats.org/wordprocessingml/2006/main">
  <w:p>
    <w:pPr>
      <w:spacing w:after="80"/>
      <w:pBdr>
        <w:bottom w:val="single" w:sz="4" w:color="B7C7D3"/>
      </w:pBdr>
    </w:pPr>
    <w:r>
      <w:rPr>
        <w:sz w:val="16"/>
        <w:color w:val="536674"/>
      </w:rPr>
      <w:t xml:space="preserve">Reinsurance Department System  |  Swiss Re Facility · Property</w:t>
    </w:r>
  </w:p>
</w:hdr>
</file>

<file path=word/settings.xml><?xml version="1.0" encoding="utf-8"?>
<w:settings xmlns:w="http://schemas.openxmlformats.org/wordprocessingml/2006/main">
  <w:defaultTabStop w:val="420"/>
  <w:updateFields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JhengHei"/>
        <w:sz w:val="21"/>
        <w:szCs w:val="21"/>
        <w:lang w:val="en-US" w:eastAsia="zh-TW"/>
      </w:rPr>
    </w:rPrDefault>
    <w:pPrDefault>
      <w:pPr>
        <w:spacing w:after="90" w:line="300" w:lineRule="auto"/>
      </w:pPr>
    </w:pPrDefault>
  </w:docDefaults>
  <w:style w:type="paragraph" w:styleId="Normal" w:default="1">
    <w:name w:val="正文"/>
    <w:pPr>
      <w:spacing w:before="0" w:after="90" w:line="300" w:lineRule="auto"/>
      <w:widowControl/>
    </w:pPr>
    <w:rPr>
      <w:sz w:val="21"/>
      <w:szCs w:val="21"/>
      <w:color w:val="202B33"/>
    </w:rPr>
  </w:style>
  <w:style w:type="paragraph" w:styleId="Title">
    <w:name w:val="文件標題"/>
    <w:basedOn w:val="Normal"/>
    <w:pPr>
      <w:spacing w:before="200" w:after="250" w:line="300" w:lineRule="auto"/>
      <w:widowControl/>
    </w:pPr>
    <w:rPr>
      <w:sz w:val="40"/>
      <w:szCs w:val="40"/>
      <w:b/>
      <w:color w:val="245C80"/>
    </w:rPr>
  </w:style>
  <w:style w:type="paragraph" w:styleId="Subtitle">
    <w:name w:val="副標題"/>
    <w:basedOn w:val="Normal"/>
    <w:pPr>
      <w:spacing w:before="100" w:after="160" w:line="300" w:lineRule="auto"/>
      <w:widowControl/>
    </w:pPr>
    <w:rPr>
      <w:sz w:val="24"/>
      <w:szCs w:val="24"/>
      <w:color w:val="536674"/>
    </w:rPr>
  </w:style>
  <w:style w:type="paragraph" w:styleId="Heading1">
    <w:name w:val="標題 1"/>
    <w:basedOn w:val="Normal"/>
    <w:pPr>
      <w:keepNext/>
      <w:outlineLvl w:val="0"/>
      <w:spacing w:before="280" w:after="150" w:line="300" w:lineRule="auto"/>
      <w:widowControl/>
    </w:pPr>
    <w:rPr>
      <w:sz w:val="30"/>
      <w:szCs w:val="30"/>
      <w:b/>
      <w:color w:val="245C80"/>
    </w:rPr>
  </w:style>
  <w:style w:type="paragraph" w:styleId="Heading2">
    <w:name w:val="標題 2"/>
    <w:basedOn w:val="Normal"/>
    <w:pPr>
      <w:keepNext/>
      <w:outlineLvl w:val="1"/>
      <w:spacing w:before="200" w:after="110" w:line="300" w:lineRule="auto"/>
      <w:widowControl/>
    </w:pPr>
    <w:rPr>
      <w:sz w:val="25"/>
      <w:szCs w:val="25"/>
      <w:b/>
      <w:color w:val="245C80"/>
    </w:rPr>
  </w:style>
  <w:style w:type="paragraph" w:styleId="Heading3">
    <w:name w:val="標題 3"/>
    <w:basedOn w:val="Normal"/>
    <w:pPr>
      <w:keepNext/>
      <w:outlineLvl w:val="2"/>
      <w:spacing w:before="180" w:after="90" w:line="300" w:lineRule="auto"/>
      <w:widowControl/>
    </w:pPr>
    <w:rPr>
      <w:sz w:val="22"/>
      <w:szCs w:val="22"/>
      <w:b/>
      <w:color w:val="245C80"/>
    </w:rPr>
  </w:style>
  <w:style w:type="paragraph" w:styleId="TableText">
    <w:name w:val="表格文字"/>
    <w:basedOn w:val="Normal"/>
    <w:pPr>
      <w:spacing w:before="0" w:after="20" w:line="255" w:lineRule="auto"/>
      <w:widowControl/>
    </w:pPr>
    <w:rPr>
      <w:sz w:val="18"/>
      <w:szCs w:val="18"/>
      <w:color w:val="202B33"/>
    </w:rPr>
  </w:style>
  <w:style w:type="paragraph" w:styleId="TableSpacer">
    <w:name w:val="表後間距"/>
    <w:basedOn w:val="Normal"/>
    <w:pPr>
      <w:spacing w:before="0" w:after="20" w:line="300" w:lineRule="auto"/>
      <w:widowControl/>
    </w:pPr>
    <w:rPr>
      <w:sz w:val="6"/>
      <w:szCs w:val="6"/>
      <w:color w:val="202B33"/>
    </w:rPr>
  </w:style>
  <w:style w:type="paragraph" w:styleId="Note">
    <w:name w:val="附註"/>
    <w:basedOn w:val="Normal"/>
    <w:pPr>
      <w:spacing w:before="40" w:after="90" w:line="300" w:lineRule="auto"/>
      <w:widowControl/>
    </w:pPr>
    <w:rPr>
      <w:sz w:val="19"/>
      <w:szCs w:val="19"/>
      <w:color w:val="536674"/>
    </w:rPr>
  </w:style>
  <w:style w:type="paragraph" w:styleId="Bullet">
    <w:name w:val="項目"/>
    <w:basedOn w:val="Normal"/>
    <w:pPr>
      <w:ind w:left="250" w:hanging="250"/>
      <w:spacing w:before="0" w:after="70" w:line="300" w:lineRule="auto"/>
      <w:widowControl/>
    </w:pPr>
    <w:rPr>
      <w:sz w:val="21"/>
      <w:szCs w:val="21"/>
      <w:color w:val="202B33"/>
    </w:rPr>
  </w:style>
  <w:style w:type="paragraph" w:styleId="Code">
    <w:name w:val="程式與資料範例"/>
    <w:basedOn w:val="Normal"/>
    <w:pPr>
      <w:spacing w:before="0" w:after="10" w:line="255" w:lineRule="auto"/>
      <w:widowControl/>
    </w:pPr>
    <w:rPr>
      <w:rFonts w:ascii="Consolas" w:hAnsi="Consolas" w:eastAsia="Microsoft JhengHei"/>
      <w:sz w:val="17"/>
      <w:szCs w:val="17"/>
      <w:color w:val="202B33"/>
    </w:rPr>
  </w:style>
  <w:style w:type="paragraph" w:styleId="TOC1">
    <w:name w:val="目錄"/>
    <w:basedOn w:val="Normal"/>
    <w:pPr>
      <w:spacing w:before="50" w:after="100" w:line="300" w:lineRule="auto"/>
      <w:widowControl/>
    </w:pPr>
    <w:rPr>
      <w:sz w:val="23"/>
      <w:szCs w:val="23"/>
      <w:color w:val="245C80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Swiss Re Facility - PD 專屬規則</dc:title>
  <dc:creator>Reinsurance Department System</dc:creator>
  <dc:description>目前 VM 完整說明；2026-10-29</dc:description>
  <dcterms:created xsi:type="dcterms:W3CDTF">2026-10-29T01:30:35.588219+00:00</dcterms:created>
</cp:coreProperties>
</file>