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Syndicate 609 AUW Facility - PD</w:t>
      </w:r>
    </w:p>
    <w:p>
      <w:pPr>
        <w:pStyle w:val="Subtitle"/>
      </w:pPr>
      <w:r>
        <w:t xml:space="preserve">專屬規則｜2026/10/29</w:t>
      </w:r>
    </w:p>
    <w:p>
      <w:pPr>
        <w:pStyle w:val="Note"/>
      </w:pPr>
      <w:r>
        <w:t xml:space="preserve">核對：2026/10/29 14:17（台灣）。依上線程式、Accounting 與 AUW 主檔整理；只列 PD 專屬差異，例子為合成案例。</w:t>
      </w:r>
    </w:p>
    <w:p>
      <w:pPr>
        <w:pStyle w:val="Heading1"/>
      </w:pPr>
      <w:bookmarkStart w:id="1" w:name="heading_1"/>
      <w:r>
        <w:t xml:space="preserve">一、適用範圍</w:t>
      </w:r>
      <w:bookmarkEnd w:id="1"/>
    </w:p>
    <w:p>
      <w:pPr>
        <w:pStyle w:val="Normal"/>
      </w:pPr>
      <w:r>
        <w:t xml:space="preserve">險種須為 Property，再保人須為 Lloyd's Underwriter Syndicate No. 0609 AUW (Facility)。本文件以 PD 稱呼系統的 Property；QS、XOL 均可適用。非 Property 不提供這家 Facility。</w:t>
      </w:r>
    </w:p>
    <w:p>
      <w:pPr>
        <w:pStyle w:val="Normal"/>
      </w:pPr>
      <w:r>
        <w:t xml:space="preserve">純 AUW 或與其他再保人混合，均啟用 AUW 專屬規則。一般未含「(Facility)」的 Syndicate 609 AUW 不啟用；單獨選 Howden 也不會啟用。</w:t>
      </w:r>
    </w:p>
    <w:p>
      <w:pPr>
        <w:pStyle w:val="Heading1"/>
      </w:pPr>
      <w:bookmarkStart w:id="2" w:name="heading_2"/>
      <w:r>
        <w:t xml:space="preserve">二、Property 固定條款</w:t>
      </w:r>
      <w:bookmarkEnd w:id="2"/>
    </w:p>
    <w:p>
      <w:pPr>
        <w:pStyle w:val="Normal"/>
      </w:pPr>
      <w:r>
        <w:t xml:space="preserve">目前 AUW Facility 主檔對 Property 指定以下12項。條款名稱依目前 Clause 主檔原文列示。</w:t>
      </w:r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300"/>
        <w:gridCol w:w="6700"/>
      </w:tblGrid>
      <w:tr>
        <w:trPr>
          <w:cantSplit/>
          <w:tblHeader/>
        </w:trPr>
        <w:tc>
          <w:tcPr>
            <w:tcW w:w="23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代碼</w:t>
            </w:r>
          </w:p>
        </w:tc>
        <w:tc>
          <w:tcPr>
            <w:tcW w:w="67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條款名稱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t xml:space="preserve">EX-GRATIA</w:t>
            </w:r>
          </w:p>
        </w:tc>
        <w:tc>
          <w:tcPr>
            <w:tcW w:w="6700" w:type="dxa"/>
            <w:shd w:fill="FFFFFF"/>
            <w:vAlign w:val="top"/>
          </w:tcPr>
          <w:p>
            <w:pPr>
              <w:pStyle w:val="TableText"/>
            </w:pPr>
            <w:r>
              <w:t xml:space="preserve">Excluding Ex-Gratia and without prejudice payments</w:t>
            </w:r>
          </w:p>
        </w:tc>
      </w:tr>
      <w:tr>
        <w:trPr>
          <w:cantSplit/>
        </w:trPr>
        <w:tc>
          <w:tcPr>
            <w:tcW w:w="2300" w:type="dxa"/>
            <w:shd w:fill="F1F5F8"/>
            <w:vAlign w:val="top"/>
          </w:tcPr>
          <w:p>
            <w:pPr>
              <w:pStyle w:val="TableText"/>
            </w:pPr>
            <w:r>
              <w:t xml:space="preserve">FOLLOW_FORTUNES</w:t>
            </w:r>
          </w:p>
        </w:tc>
        <w:tc>
          <w:tcPr>
            <w:tcW w:w="6700" w:type="dxa"/>
            <w:shd w:fill="F1F5F8"/>
            <w:vAlign w:val="top"/>
          </w:tcPr>
          <w:p>
            <w:pPr>
              <w:pStyle w:val="TableText"/>
            </w:pPr>
            <w:r>
              <w:t xml:space="preserve">Follow Fortunes Clause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t xml:space="preserve">LMA3100</w:t>
            </w:r>
          </w:p>
        </w:tc>
        <w:tc>
          <w:tcPr>
            <w:tcW w:w="6700" w:type="dxa"/>
            <w:shd w:fill="FFFFFF"/>
            <w:vAlign w:val="top"/>
          </w:tcPr>
          <w:p>
            <w:pPr>
              <w:pStyle w:val="TableText"/>
            </w:pPr>
            <w:r>
              <w:t xml:space="preserve">LMA3100 Sanctions Limitations and Exclusion Clause</w:t>
            </w:r>
          </w:p>
        </w:tc>
      </w:tr>
      <w:tr>
        <w:trPr>
          <w:cantSplit/>
        </w:trPr>
        <w:tc>
          <w:tcPr>
            <w:tcW w:w="2300" w:type="dxa"/>
            <w:shd w:fill="F1F5F8"/>
            <w:vAlign w:val="top"/>
          </w:tcPr>
          <w:p>
            <w:pPr>
              <w:pStyle w:val="TableText"/>
            </w:pPr>
            <w:r>
              <w:t xml:space="preserve">LMA5018</w:t>
            </w:r>
          </w:p>
        </w:tc>
        <w:tc>
          <w:tcPr>
            <w:tcW w:w="6700" w:type="dxa"/>
            <w:shd w:fill="F1F5F8"/>
            <w:vAlign w:val="top"/>
          </w:tcPr>
          <w:p>
            <w:pPr>
              <w:pStyle w:val="TableText"/>
            </w:pPr>
            <w:r>
              <w:t xml:space="preserve">LMA5018 Micro-Organism Exclusion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t xml:space="preserve">LMA5019</w:t>
            </w:r>
          </w:p>
        </w:tc>
        <w:tc>
          <w:tcPr>
            <w:tcW w:w="6700" w:type="dxa"/>
            <w:shd w:fill="FFFFFF"/>
            <w:vAlign w:val="top"/>
          </w:tcPr>
          <w:p>
            <w:pPr>
              <w:pStyle w:val="TableText"/>
            </w:pPr>
            <w:r>
              <w:t xml:space="preserve">LMA5019 Asbestos Endorsement</w:t>
            </w:r>
          </w:p>
        </w:tc>
      </w:tr>
      <w:tr>
        <w:trPr>
          <w:cantSplit/>
        </w:trPr>
        <w:tc>
          <w:tcPr>
            <w:tcW w:w="2300" w:type="dxa"/>
            <w:shd w:fill="F1F5F8"/>
            <w:vAlign w:val="top"/>
          </w:tcPr>
          <w:p>
            <w:pPr>
              <w:pStyle w:val="TableText"/>
            </w:pPr>
            <w:r>
              <w:t xml:space="preserve">LMA5393</w:t>
            </w:r>
          </w:p>
        </w:tc>
        <w:tc>
          <w:tcPr>
            <w:tcW w:w="6700" w:type="dxa"/>
            <w:shd w:fill="F1F5F8"/>
            <w:vAlign w:val="top"/>
          </w:tcPr>
          <w:p>
            <w:pPr>
              <w:pStyle w:val="TableText"/>
            </w:pPr>
            <w:r>
              <w:t xml:space="preserve">LMA5393 Communicable Disease Endorsement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t xml:space="preserve">LMA5401</w:t>
            </w:r>
          </w:p>
        </w:tc>
        <w:tc>
          <w:tcPr>
            <w:tcW w:w="6700" w:type="dxa"/>
            <w:shd w:fill="FFFFFF"/>
            <w:vAlign w:val="top"/>
          </w:tcPr>
          <w:p>
            <w:pPr>
              <w:pStyle w:val="TableText"/>
            </w:pPr>
            <w:r>
              <w:t xml:space="preserve">LMA5401 Property Cyber and Data Exclusion</w:t>
            </w:r>
          </w:p>
        </w:tc>
      </w:tr>
      <w:tr>
        <w:trPr>
          <w:cantSplit/>
        </w:trPr>
        <w:tc>
          <w:tcPr>
            <w:tcW w:w="2300" w:type="dxa"/>
            <w:shd w:fill="F1F5F8"/>
            <w:vAlign w:val="top"/>
          </w:tcPr>
          <w:p>
            <w:pPr>
              <w:pStyle w:val="TableText"/>
            </w:pPr>
            <w:r>
              <w:t xml:space="preserve">NMA1622</w:t>
            </w:r>
          </w:p>
        </w:tc>
        <w:tc>
          <w:tcPr>
            <w:tcW w:w="6700" w:type="dxa"/>
            <w:shd w:fill="F1F5F8"/>
            <w:vAlign w:val="top"/>
          </w:tcPr>
          <w:p>
            <w:pPr>
              <w:pStyle w:val="TableText"/>
            </w:pPr>
            <w:r>
              <w:t xml:space="preserve">NMA1622 Radioactive Contamination and Explosive Nuclear Assemblies Exclusion Clause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t xml:space="preserve">NMA2919</w:t>
            </w:r>
          </w:p>
        </w:tc>
        <w:tc>
          <w:tcPr>
            <w:tcW w:w="6700" w:type="dxa"/>
            <w:shd w:fill="FFFFFF"/>
            <w:vAlign w:val="top"/>
          </w:tcPr>
          <w:p>
            <w:pPr>
              <w:pStyle w:val="TableText"/>
            </w:pPr>
            <w:r>
              <w:t xml:space="preserve">NMA2919 War and Terrorism Exclusion</w:t>
            </w:r>
          </w:p>
        </w:tc>
      </w:tr>
      <w:tr>
        <w:trPr>
          <w:cantSplit/>
        </w:trPr>
        <w:tc>
          <w:tcPr>
            <w:tcW w:w="2300" w:type="dxa"/>
            <w:shd w:fill="F1F5F8"/>
            <w:vAlign w:val="top"/>
          </w:tcPr>
          <w:p>
            <w:pPr>
              <w:pStyle w:val="TableText"/>
            </w:pPr>
            <w:r>
              <w:t xml:space="preserve">NMA2962</w:t>
            </w:r>
          </w:p>
        </w:tc>
        <w:tc>
          <w:tcPr>
            <w:tcW w:w="6700" w:type="dxa"/>
            <w:shd w:fill="F1F5F8"/>
            <w:vAlign w:val="top"/>
          </w:tcPr>
          <w:p>
            <w:pPr>
              <w:pStyle w:val="TableText"/>
            </w:pPr>
            <w:r>
              <w:t xml:space="preserve">NMA2962 Chemical and Biological Exclusion Clause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t xml:space="preserve">PROP_FAC</w:t>
            </w:r>
          </w:p>
        </w:tc>
        <w:tc>
          <w:tcPr>
            <w:tcW w:w="6700" w:type="dxa"/>
            <w:shd w:fill="FFFFFF"/>
            <w:vAlign w:val="top"/>
          </w:tcPr>
          <w:p>
            <w:pPr>
              <w:pStyle w:val="TableText"/>
            </w:pPr>
            <w:r>
              <w:t xml:space="preserve">Proportional Facultative Reinsurance Clause</w:t>
            </w:r>
          </w:p>
        </w:tc>
      </w:tr>
      <w:tr>
        <w:trPr>
          <w:cantSplit/>
        </w:trPr>
        <w:tc>
          <w:tcPr>
            <w:tcW w:w="2300" w:type="dxa"/>
            <w:shd w:fill="F1F5F8"/>
            <w:vAlign w:val="top"/>
          </w:tcPr>
          <w:p>
            <w:pPr>
              <w:pStyle w:val="TableText"/>
            </w:pPr>
            <w:r>
              <w:t xml:space="preserve">SIMULTANEOUS</w:t>
            </w:r>
          </w:p>
        </w:tc>
        <w:tc>
          <w:tcPr>
            <w:tcW w:w="6700" w:type="dxa"/>
            <w:shd w:fill="F1F5F8"/>
            <w:vAlign w:val="top"/>
          </w:tcPr>
          <w:p>
            <w:pPr>
              <w:pStyle w:val="TableText"/>
            </w:pPr>
            <w:r>
              <w:t xml:space="preserve">Simultaneous Settlements Clause</w:t>
            </w:r>
          </w:p>
        </w:tc>
      </w:tr>
    </w:tbl>
    <w:p>
      <w:pPr>
        <w:pStyle w:val="TableSpacer"/>
      </w:pPr>
      <w:r>
        <w:t xml:space="preserve"/>
      </w:r>
    </w:p>
    <w:p>
      <w:pPr>
        <w:pageBreakBefore/>
        <w:pStyle w:val="Heading1"/>
      </w:pPr>
      <w:bookmarkStart w:id="3" w:name="heading_3"/>
      <w:r>
        <w:t xml:space="preserve">三、Howden 綁定與 AUW 保費設定</w:t>
      </w:r>
      <w:bookmarkEnd w:id="3"/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300"/>
        <w:gridCol w:w="6700"/>
      </w:tblGrid>
      <w:tr>
        <w:trPr>
          <w:cantSplit/>
          <w:tblHeader/>
        </w:trPr>
        <w:tc>
          <w:tcPr>
            <w:tcW w:w="23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欄位</w:t>
            </w:r>
          </w:p>
        </w:tc>
        <w:tc>
          <w:tcPr>
            <w:tcW w:w="67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AUW 專屬處理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t xml:space="preserve">Foreign RI Broker</w:t>
            </w:r>
          </w:p>
        </w:tc>
        <w:tc>
          <w:tcPr>
            <w:tcW w:w="6700" w:type="dxa"/>
            <w:shd w:fill="FFFFFF"/>
            <w:vAlign w:val="top"/>
          </w:tcPr>
          <w:p>
            <w:pPr>
              <w:pStyle w:val="TableText"/>
            </w:pPr>
            <w:r>
              <w:t xml:space="preserve">自動帶入 Howden Specialty Limited 並鎖定；會計上的 AUW 收付款對象為 Howden。</w:t>
            </w:r>
          </w:p>
        </w:tc>
      </w:tr>
      <w:tr>
        <w:trPr>
          <w:cantSplit/>
        </w:trPr>
        <w:tc>
          <w:tcPr>
            <w:tcW w:w="2300" w:type="dxa"/>
            <w:shd w:fill="F1F5F8"/>
            <w:vAlign w:val="top"/>
          </w:tcPr>
          <w:p>
            <w:pPr>
              <w:pStyle w:val="TableText"/>
            </w:pPr>
            <w:r>
              <w:t xml:space="preserve">Deductions</w:t>
            </w:r>
          </w:p>
        </w:tc>
        <w:tc>
          <w:tcPr>
            <w:tcW w:w="6700" w:type="dxa"/>
            <w:shd w:fill="F1F5F8"/>
            <w:vAlign w:val="top"/>
          </w:tcPr>
          <w:p>
            <w:pPr>
              <w:pStyle w:val="TableText"/>
            </w:pPr>
            <w:r>
              <w:t xml:space="preserve">選取 AUW 時帶入10%，可修改，包含0%；儲存、重開及 Announce 保留最後輸入值。重新選取 AUW 會再帶入10%。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t xml:space="preserve">Reinsurer Tax</w:t>
            </w:r>
          </w:p>
        </w:tc>
        <w:tc>
          <w:tcPr>
            <w:tcW w:w="6700" w:type="dxa"/>
            <w:shd w:fill="FFFFFF"/>
            <w:vAlign w:val="top"/>
          </w:tcPr>
          <w:p>
            <w:pPr>
              <w:pStyle w:val="TableText"/>
            </w:pPr>
            <w:r>
              <w:t xml:space="preserve">AUW 再保人列固定0%，不可修改；不把保險公司端稅率一併改為0%。</w:t>
            </w:r>
          </w:p>
        </w:tc>
      </w:tr>
      <w:tr>
        <w:trPr>
          <w:cantSplit/>
        </w:trPr>
        <w:tc>
          <w:tcPr>
            <w:tcW w:w="2300" w:type="dxa"/>
            <w:shd w:fill="F1F5F8"/>
            <w:vAlign w:val="top"/>
          </w:tcPr>
          <w:p>
            <w:pPr>
              <w:pStyle w:val="TableText"/>
            </w:pPr>
            <w:r>
              <w:t xml:space="preserve">Payment Terms</w:t>
            </w:r>
          </w:p>
        </w:tc>
        <w:tc>
          <w:tcPr>
            <w:tcW w:w="6700" w:type="dxa"/>
            <w:shd w:fill="F1F5F8"/>
            <w:vAlign w:val="top"/>
          </w:tcPr>
          <w:p>
            <w:pPr>
              <w:pStyle w:val="TableText"/>
            </w:pPr>
            <w:r>
              <w:t xml:space="preserve">AUW 固定採基準月份月底＋120個日曆天；原單、續保及各期付款天數覆寫都不能改成其他條件。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Reinsurer Premium 的保費金額仍由案件資料決定；預設10%指 Deductions，不是自動填入保費金額。批單沿用來源 AUW 的綁定與保費條件，不重新選取預設比例。</w:t>
      </w:r>
    </w:p>
    <w:p>
      <w:pPr>
        <w:pStyle w:val="Heading2"/>
      </w:pPr>
      <w:bookmarkStart w:id="4" w:name="heading_4"/>
      <w:r>
        <w:t xml:space="preserve">Deductions 例子</w:t>
      </w:r>
      <w:bookmarkEnd w:id="4"/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000"/>
        <w:gridCol w:w="2500"/>
        <w:gridCol w:w="2500"/>
      </w:tblGrid>
      <w:tr>
        <w:trPr>
          <w:cantSplit/>
          <w:tblHeader/>
        </w:trPr>
        <w:tc>
          <w:tcPr>
            <w:tcW w:w="40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AUW Premium／承接比例</w:t>
            </w:r>
          </w:p>
        </w:tc>
        <w:tc>
          <w:tcPr>
            <w:tcW w:w="25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Deductions</w:t>
            </w:r>
          </w:p>
        </w:tc>
        <w:tc>
          <w:tcPr>
            <w:tcW w:w="25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AUW 淨額</w:t>
            </w:r>
          </w:p>
        </w:tc>
      </w:tr>
      <w:tr>
        <w:trPr>
          <w:cantSplit/>
        </w:trPr>
        <w:tc>
          <w:tcPr>
            <w:tcW w:w="4000" w:type="dxa"/>
            <w:shd w:fill="FFFFFF"/>
            <w:vAlign w:val="top"/>
          </w:tcPr>
          <w:p>
            <w:pPr>
              <w:pStyle w:val="TableText"/>
            </w:pPr>
            <w:r>
              <w:t xml:space="preserve">10,000／100%</w:t>
            </w:r>
          </w:p>
        </w:tc>
        <w:tc>
          <w:tcPr>
            <w:tcW w:w="2500" w:type="dxa"/>
            <w:shd w:fill="FFFFFF"/>
            <w:vAlign w:val="top"/>
          </w:tcPr>
          <w:p>
            <w:pPr>
              <w:pStyle w:val="TableText"/>
            </w:pPr>
            <w:r>
              <w:t xml:space="preserve">10%</w:t>
            </w:r>
          </w:p>
        </w:tc>
        <w:tc>
          <w:tcPr>
            <w:tcW w:w="2500" w:type="dxa"/>
            <w:shd w:fill="FFFFFF"/>
            <w:vAlign w:val="top"/>
          </w:tcPr>
          <w:p>
            <w:pPr>
              <w:pStyle w:val="TableText"/>
            </w:pPr>
            <w:r>
              <w:t xml:space="preserve">9,000</w:t>
            </w:r>
          </w:p>
        </w:tc>
      </w:tr>
      <w:tr>
        <w:trPr>
          <w:cantSplit/>
        </w:trPr>
        <w:tc>
          <w:tcPr>
            <w:tcW w:w="4000" w:type="dxa"/>
            <w:shd w:fill="F1F5F8"/>
            <w:vAlign w:val="top"/>
          </w:tcPr>
          <w:p>
            <w:pPr>
              <w:pStyle w:val="TableText"/>
            </w:pPr>
            <w:r>
              <w:t xml:space="preserve">10,000／100%</w:t>
            </w:r>
          </w:p>
        </w:tc>
        <w:tc>
          <w:tcPr>
            <w:tcW w:w="2500" w:type="dxa"/>
            <w:shd w:fill="F1F5F8"/>
            <w:vAlign w:val="top"/>
          </w:tcPr>
          <w:p>
            <w:pPr>
              <w:pStyle w:val="TableText"/>
            </w:pPr>
            <w:r>
              <w:t xml:space="preserve">12.5%</w:t>
            </w:r>
          </w:p>
        </w:tc>
        <w:tc>
          <w:tcPr>
            <w:tcW w:w="2500" w:type="dxa"/>
            <w:shd w:fill="F1F5F8"/>
            <w:vAlign w:val="top"/>
          </w:tcPr>
          <w:p>
            <w:pPr>
              <w:pStyle w:val="TableText"/>
            </w:pPr>
            <w:r>
              <w:t xml:space="preserve">8,750</w:t>
            </w:r>
          </w:p>
        </w:tc>
      </w:tr>
      <w:tr>
        <w:trPr>
          <w:cantSplit/>
        </w:trPr>
        <w:tc>
          <w:tcPr>
            <w:tcW w:w="4000" w:type="dxa"/>
            <w:shd w:fill="FFFFFF"/>
            <w:vAlign w:val="top"/>
          </w:tcPr>
          <w:p>
            <w:pPr>
              <w:pStyle w:val="TableText"/>
            </w:pPr>
            <w:r>
              <w:t xml:space="preserve">10,000／100%</w:t>
            </w:r>
          </w:p>
        </w:tc>
        <w:tc>
          <w:tcPr>
            <w:tcW w:w="2500" w:type="dxa"/>
            <w:shd w:fill="FFFFFF"/>
            <w:vAlign w:val="top"/>
          </w:tcPr>
          <w:p>
            <w:pPr>
              <w:pStyle w:val="TableText"/>
            </w:pPr>
            <w:r>
              <w:t xml:space="preserve">0%</w:t>
            </w:r>
          </w:p>
        </w:tc>
        <w:tc>
          <w:tcPr>
            <w:tcW w:w="2500" w:type="dxa"/>
            <w:shd w:fill="FFFFFF"/>
            <w:vAlign w:val="top"/>
          </w:tcPr>
          <w:p>
            <w:pPr>
              <w:pStyle w:val="TableText"/>
            </w:pPr>
            <w:r>
              <w:t xml:space="preserve">10,000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bookmarkStart w:id="5" w:name="heading_5"/>
      <w:r>
        <w:t xml:space="preserve">四、原單與續保的 AUW Ref.</w:t>
      </w:r>
      <w:bookmarkEnd w:id="5"/>
    </w:p>
    <w:p>
      <w:pPr>
        <w:pStyle w:val="Normal"/>
      </w:pPr>
      <w:r>
        <w:t xml:space="preserve">TW Ref. (for AUW) 是整個 Case 的欄位。原單及續保只要含 AUW，儲存 Draft 就必填；同一 Case 即使有多列 AUW，仍只用一組。建立續保 Draft 前，須先輸入新的 AUW Ref.。</w:t>
      </w:r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500"/>
        <w:gridCol w:w="6500"/>
      </w:tblGrid>
      <w:tr>
        <w:trPr>
          <w:cantSplit/>
          <w:tblHeader/>
        </w:trPr>
        <w:tc>
          <w:tcPr>
            <w:tcW w:w="25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原單／續保組成</w:t>
            </w:r>
          </w:p>
        </w:tc>
        <w:tc>
          <w:tcPr>
            <w:tcW w:w="65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Announce 後的編號</w:t>
            </w:r>
          </w:p>
        </w:tc>
      </w:tr>
      <w:tr>
        <w:trPr>
          <w:cantSplit/>
        </w:trPr>
        <w:tc>
          <w:tcPr>
            <w:tcW w:w="2500" w:type="dxa"/>
            <w:shd w:fill="FFFFFF"/>
            <w:vAlign w:val="top"/>
          </w:tcPr>
          <w:p>
            <w:pPr>
              <w:pStyle w:val="TableText"/>
            </w:pPr>
            <w:r>
              <w:t xml:space="preserve">純 AUW</w:t>
            </w:r>
          </w:p>
        </w:tc>
        <w:tc>
          <w:tcPr>
            <w:tcW w:w="6500" w:type="dxa"/>
            <w:shd w:fill="FFFFFF"/>
            <w:vAlign w:val="top"/>
          </w:tcPr>
          <w:p>
            <w:pPr>
              <w:pStyle w:val="TableText"/>
            </w:pPr>
            <w:r>
              <w:t xml:space="preserve">手動 AUW Ref. 成為唯一主 TW Ref.，不生成或消耗系統自動流水號。例：TW26SM010001。</w:t>
            </w:r>
          </w:p>
        </w:tc>
      </w:tr>
      <w:tr>
        <w:trPr>
          <w:cantSplit/>
        </w:trPr>
        <w:tc>
          <w:tcPr>
            <w:tcW w:w="2500" w:type="dxa"/>
            <w:shd w:fill="F1F5F8"/>
            <w:vAlign w:val="top"/>
          </w:tcPr>
          <w:p>
            <w:pPr>
              <w:pStyle w:val="TableText"/>
            </w:pPr>
            <w:r>
              <w:t xml:space="preserve">AUW＋其他再保人</w:t>
            </w:r>
          </w:p>
        </w:tc>
        <w:tc>
          <w:tcPr>
            <w:tcW w:w="6500" w:type="dxa"/>
            <w:shd w:fill="F1F5F8"/>
            <w:vAlign w:val="top"/>
          </w:tcPr>
          <w:p>
            <w:pPr>
              <w:pStyle w:val="TableText"/>
            </w:pPr>
            <w:r>
              <w:t xml:space="preserve">保留自動主 TW Ref. 與 AUW Ref.；依「自動編號 &amp; AUW 編號」顯示。例：TWPF2601001 &amp; TW26SM010001。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手填 Ref. 為單行文字，最多160個系統計數字元；與其他案件主編號、AUW Ref. 或歷史編號重複會阻擋，Draft、封存及回收案件都保留編號。純 AUW 主編號 Announce 後鎖定。</w:t>
      </w:r>
    </w:p>
    <w:p>
      <w:pPr>
        <w:pageBreakBefore/>
        <w:pStyle w:val="Heading1"/>
      </w:pPr>
      <w:bookmarkStart w:id="6" w:name="heading_6"/>
      <w:r>
        <w:t xml:space="preserve">五、AUW PD 日期重點</w:t>
      </w:r>
      <w:bookmarkEnd w:id="6"/>
    </w:p>
    <w:p>
      <w:pPr>
        <w:pStyle w:val="Normal"/>
      </w:pPr>
      <w:r>
        <w:t xml:space="preserve">先確定適用基準日 B，再取該月份實際月底 M。AUW／Howden 端提醒日為 M＋110天，約定到期日為 M＋120天；兩個日期相差10天。</w:t>
      </w:r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600"/>
        <w:gridCol w:w="6400"/>
      </w:tblGrid>
      <w:tr>
        <w:trPr>
          <w:cantSplit/>
          <w:tblHeader/>
        </w:trPr>
        <w:tc>
          <w:tcPr>
            <w:tcW w:w="26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款項類型</w:t>
            </w:r>
          </w:p>
        </w:tc>
        <w:tc>
          <w:tcPr>
            <w:tcW w:w="64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基準日 B</w:t>
            </w:r>
          </w:p>
        </w:tc>
      </w:tr>
      <w:tr>
        <w:trPr>
          <w:cantSplit/>
        </w:trPr>
        <w:tc>
          <w:tcPr>
            <w:tcW w:w="2600" w:type="dxa"/>
            <w:shd w:fill="FFFFFF"/>
            <w:vAlign w:val="top"/>
          </w:tcPr>
          <w:p>
            <w:pPr>
              <w:pStyle w:val="TableText"/>
            </w:pPr>
            <w:r>
              <w:t xml:space="preserve">原保單／續保保費</w:t>
            </w:r>
          </w:p>
        </w:tc>
        <w:tc>
          <w:tcPr>
            <w:tcW w:w="6400" w:type="dxa"/>
            <w:shd w:fill="FFFFFF"/>
            <w:vAlign w:val="top"/>
          </w:tcPr>
          <w:p>
            <w:pPr>
              <w:pStyle w:val="TableText"/>
            </w:pPr>
            <w:r>
              <w:t xml:space="preserve">保單生效日。</w:t>
            </w:r>
          </w:p>
        </w:tc>
      </w:tr>
      <w:tr>
        <w:trPr>
          <w:cantSplit/>
        </w:trPr>
        <w:tc>
          <w:tcPr>
            <w:tcW w:w="2600" w:type="dxa"/>
            <w:shd w:fill="F1F5F8"/>
            <w:vAlign w:val="top"/>
          </w:tcPr>
          <w:p>
            <w:pPr>
              <w:pStyle w:val="TableText"/>
            </w:pPr>
            <w:r>
              <w:t xml:space="preserve">分期保費</w:t>
            </w:r>
          </w:p>
        </w:tc>
        <w:tc>
          <w:tcPr>
            <w:tcW w:w="6400" w:type="dxa"/>
            <w:shd w:fill="F1F5F8"/>
            <w:vAlign w:val="top"/>
          </w:tcPr>
          <w:p>
            <w:pPr>
              <w:pStyle w:val="TableText"/>
            </w:pPr>
            <w:r>
              <w:t xml:space="preserve">各期自己的 Payment Base Date；逐期取月份月底。</w:t>
            </w:r>
          </w:p>
        </w:tc>
      </w:tr>
      <w:tr>
        <w:trPr>
          <w:cantSplit/>
        </w:trPr>
        <w:tc>
          <w:tcPr>
            <w:tcW w:w="2600" w:type="dxa"/>
            <w:shd w:fill="FFFFFF"/>
            <w:vAlign w:val="top"/>
          </w:tcPr>
          <w:p>
            <w:pPr>
              <w:pStyle w:val="TableText"/>
            </w:pPr>
            <w:r>
              <w:t xml:space="preserve">補保費批單</w:t>
            </w:r>
          </w:p>
        </w:tc>
        <w:tc>
          <w:tcPr>
            <w:tcW w:w="6400" w:type="dxa"/>
            <w:shd w:fill="FFFFFF"/>
            <w:vAlign w:val="top"/>
          </w:tcPr>
          <w:p>
            <w:pPr>
              <w:pStyle w:val="TableText"/>
            </w:pPr>
            <w:r>
              <w:t xml:space="preserve">批改生效日與成功 Announce 的台灣日期，取較晚日期。</w:t>
            </w:r>
          </w:p>
        </w:tc>
      </w:tr>
      <w:tr>
        <w:trPr>
          <w:cantSplit/>
        </w:trPr>
        <w:tc>
          <w:tcPr>
            <w:tcW w:w="2600" w:type="dxa"/>
            <w:shd w:fill="F1F5F8"/>
            <w:vAlign w:val="top"/>
          </w:tcPr>
          <w:p>
            <w:pPr>
              <w:pStyle w:val="TableText"/>
            </w:pPr>
            <w:r>
              <w:t xml:space="preserve">退保費／退保批單</w:t>
            </w:r>
          </w:p>
        </w:tc>
        <w:tc>
          <w:tcPr>
            <w:tcW w:w="6400" w:type="dxa"/>
            <w:shd w:fill="F1F5F8"/>
            <w:vAlign w:val="top"/>
          </w:tcPr>
          <w:p>
            <w:pPr>
              <w:pStyle w:val="TableText"/>
            </w:pPr>
            <w:r>
              <w:t xml:space="preserve">同樣取批改生效日與成功 Announce 的台灣日期較晚者；AUW 退款端也用月底＋120天。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te"/>
      </w:pPr>
      <w:r>
        <w:t xml:space="preserve">公式採日曆天，週末及假日不順延；二月及閏年依實際月底計算。未正式 Announce 的批單，不以 Draft 建立日或今天日期冒充成功 Announce 日期。</w:t>
      </w:r>
    </w:p>
    <w:p>
      <w:pPr>
        <w:pStyle w:val="Heading2"/>
      </w:pPr>
      <w:bookmarkStart w:id="7" w:name="heading_7"/>
      <w:r>
        <w:t xml:space="preserve">日期例子</w:t>
      </w:r>
      <w:bookmarkEnd w:id="7"/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00"/>
        <w:gridCol w:w="2100"/>
        <w:gridCol w:w="2100"/>
      </w:tblGrid>
      <w:tr>
        <w:trPr>
          <w:cantSplit/>
          <w:tblHeader/>
        </w:trPr>
        <w:tc>
          <w:tcPr>
            <w:tcW w:w="48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情況／採用月份</w:t>
            </w:r>
          </w:p>
        </w:tc>
        <w:tc>
          <w:tcPr>
            <w:tcW w:w="21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AUW 提醒日</w:t>
            </w:r>
          </w:p>
        </w:tc>
        <w:tc>
          <w:tcPr>
            <w:tcW w:w="21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AUW 到期日</w:t>
            </w:r>
          </w:p>
        </w:tc>
      </w:tr>
      <w:tr>
        <w:trPr>
          <w:cantSplit/>
        </w:trPr>
        <w:tc>
          <w:tcPr>
            <w:tcW w:w="4800" w:type="dxa"/>
            <w:shd w:fill="FFFFFF"/>
            <w:vAlign w:val="top"/>
          </w:tcPr>
          <w:p>
            <w:pPr>
              <w:pStyle w:val="TableText"/>
            </w:pPr>
            <w:r>
              <w:t xml:space="preserve">2026/01/01或01/31生效，均採01/31月底。</w:t>
            </w:r>
          </w:p>
        </w:tc>
        <w:tc>
          <w:tcPr>
            <w:tcW w:w="2100" w:type="dxa"/>
            <w:shd w:fill="FFFFFF"/>
            <w:vAlign w:val="top"/>
          </w:tcPr>
          <w:p>
            <w:pPr>
              <w:pStyle w:val="TableText"/>
            </w:pPr>
            <w:r>
              <w:t xml:space="preserve">2026/05/21</w:t>
            </w:r>
          </w:p>
        </w:tc>
        <w:tc>
          <w:tcPr>
            <w:tcW w:w="2100" w:type="dxa"/>
            <w:shd w:fill="FFFFFF"/>
            <w:vAlign w:val="top"/>
          </w:tcPr>
          <w:p>
            <w:pPr>
              <w:pStyle w:val="TableText"/>
            </w:pPr>
            <w:r>
              <w:t xml:space="preserve">2026/05/31</w:t>
            </w:r>
          </w:p>
        </w:tc>
      </w:tr>
      <w:tr>
        <w:trPr>
          <w:cantSplit/>
        </w:trPr>
        <w:tc>
          <w:tcPr>
            <w:tcW w:w="4800" w:type="dxa"/>
            <w:shd w:fill="F1F5F8"/>
            <w:vAlign w:val="top"/>
          </w:tcPr>
          <w:p>
            <w:pPr>
              <w:pStyle w:val="TableText"/>
            </w:pPr>
            <w:r>
              <w:t xml:space="preserve">某期 Payment Base Date 為2026/02/10，採02/28月底。</w:t>
            </w:r>
          </w:p>
        </w:tc>
        <w:tc>
          <w:tcPr>
            <w:tcW w:w="2100" w:type="dxa"/>
            <w:shd w:fill="F1F5F8"/>
            <w:vAlign w:val="top"/>
          </w:tcPr>
          <w:p>
            <w:pPr>
              <w:pStyle w:val="TableText"/>
            </w:pPr>
            <w:r>
              <w:t xml:space="preserve">2026/06/18</w:t>
            </w:r>
          </w:p>
        </w:tc>
        <w:tc>
          <w:tcPr>
            <w:tcW w:w="2100" w:type="dxa"/>
            <w:shd w:fill="F1F5F8"/>
            <w:vAlign w:val="top"/>
          </w:tcPr>
          <w:p>
            <w:pPr>
              <w:pStyle w:val="TableText"/>
            </w:pPr>
            <w:r>
              <w:t xml:space="preserve">2026/06/28</w:t>
            </w:r>
          </w:p>
        </w:tc>
      </w:tr>
      <w:tr>
        <w:trPr>
          <w:cantSplit/>
        </w:trPr>
        <w:tc>
          <w:tcPr>
            <w:tcW w:w="4800" w:type="dxa"/>
            <w:shd w:fill="FFFFFF"/>
            <w:vAlign w:val="top"/>
          </w:tcPr>
          <w:p>
            <w:pPr>
              <w:pStyle w:val="TableText"/>
            </w:pPr>
            <w:r>
              <w:t xml:space="preserve">加費或退費：10/15生效、11/02成功 Announce，採2026/11月底。</w:t>
            </w:r>
          </w:p>
        </w:tc>
        <w:tc>
          <w:tcPr>
            <w:tcW w:w="2100" w:type="dxa"/>
            <w:shd w:fill="FFFFFF"/>
            <w:vAlign w:val="top"/>
          </w:tcPr>
          <w:p>
            <w:pPr>
              <w:pStyle w:val="TableText"/>
            </w:pPr>
            <w:r>
              <w:t xml:space="preserve">2027/03/20</w:t>
            </w:r>
          </w:p>
        </w:tc>
        <w:tc>
          <w:tcPr>
            <w:tcW w:w="2100" w:type="dxa"/>
            <w:shd w:fill="FFFFFF"/>
            <w:vAlign w:val="top"/>
          </w:tcPr>
          <w:p>
            <w:pPr>
              <w:pStyle w:val="TableText"/>
            </w:pPr>
            <w:r>
              <w:t xml:space="preserve">2027/03/30</w:t>
            </w:r>
          </w:p>
        </w:tc>
      </w:tr>
      <w:tr>
        <w:trPr>
          <w:cantSplit/>
        </w:trPr>
        <w:tc>
          <w:tcPr>
            <w:tcW w:w="4800" w:type="dxa"/>
            <w:shd w:fill="F1F5F8"/>
            <w:vAlign w:val="top"/>
          </w:tcPr>
          <w:p>
            <w:pPr>
              <w:pStyle w:val="TableText"/>
            </w:pPr>
            <w:r>
              <w:t xml:space="preserve">2028/02/10生效，閏年月底為02/29。</w:t>
            </w:r>
          </w:p>
        </w:tc>
        <w:tc>
          <w:tcPr>
            <w:tcW w:w="2100" w:type="dxa"/>
            <w:shd w:fill="F1F5F8"/>
            <w:vAlign w:val="top"/>
          </w:tcPr>
          <w:p>
            <w:pPr>
              <w:pStyle w:val="TableText"/>
            </w:pPr>
            <w:r>
              <w:t xml:space="preserve">2028/06/18</w:t>
            </w:r>
          </w:p>
        </w:tc>
        <w:tc>
          <w:tcPr>
            <w:tcW w:w="2100" w:type="dxa"/>
            <w:shd w:fill="F1F5F8"/>
            <w:vAlign w:val="top"/>
          </w:tcPr>
          <w:p>
            <w:pPr>
              <w:pStyle w:val="TableText"/>
            </w:pPr>
            <w:r>
              <w:t xml:space="preserve">2028/06/28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</w:pPr>
      <w:bookmarkStart w:id="8" w:name="heading_8"/>
      <w:r>
        <w:t xml:space="preserve">Accounting 日期與延期</w:t>
      </w:r>
      <w:bookmarkEnd w:id="8"/>
    </w:p>
    <w:p>
      <w:pPr>
        <w:pStyle w:val="Normal"/>
      </w:pPr>
      <w:r>
        <w:t xml:space="preserve">AUW 帳款列顯示會計提醒日，Contract／AUW due 顯示約定到期日；分期按各期基準月份分別顯示。月底公式只套 AUW 列，其他再保人維持各自條件；保險公司端亦不是改成 AUW 的月底＋120天。</w:t>
      </w:r>
    </w:p>
    <w:p>
      <w:pPr>
        <w:pStyle w:val="Normal"/>
      </w:pPr>
      <w:r>
        <w:t xml:space="preserve">保險公司晚收款或較晚補登，不會重新起算 AUW 的120天，也不自動延到下一個月份。超過原約定期限仍未付清，依原到期日顯示逾期；目前沒有直接手動指定新 AUW 結算日的入口。</w:t>
      </w:r>
    </w:p>
    <w:p>
      <w:pPr>
        <w:pageBreakBefore/>
        <w:pStyle w:val="Heading1"/>
      </w:pPr>
      <w:bookmarkStart w:id="9" w:name="heading_9"/>
      <w:r>
        <w:t xml:space="preserve">六、批單 AUW Ref. 自動加 E 序號</w:t>
      </w:r>
      <w:bookmarkEnd w:id="9"/>
    </w:p>
    <w:p>
      <w:pPr>
        <w:pStyle w:val="Normal"/>
      </w:pPr>
      <w:r>
        <w:t xml:space="preserve">AUW 批單在 Draft 不再手填新的 AUW Ref.；該欄鎖定。成功 Announce 時，由原單 AUW Ref. 加上系統配置的 -E01、-E02 等批單序號。不是從前一張批單編號繼續疊加 -E。</w:t>
      </w:r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3100"/>
        <w:gridCol w:w="3500"/>
      </w:tblGrid>
      <w:tr>
        <w:trPr>
          <w:cantSplit/>
          <w:tblHeader/>
        </w:trPr>
        <w:tc>
          <w:tcPr>
            <w:tcW w:w="24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案件組成</w:t>
            </w:r>
          </w:p>
        </w:tc>
        <w:tc>
          <w:tcPr>
            <w:tcW w:w="31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原單示例</w:t>
            </w:r>
          </w:p>
        </w:tc>
        <w:tc>
          <w:tcPr>
            <w:tcW w:w="35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成功 Announce 的批單示例</w:t>
            </w:r>
          </w:p>
        </w:tc>
      </w:tr>
      <w:tr>
        <w:trPr>
          <w:cantSplit/>
        </w:trPr>
        <w:tc>
          <w:tcPr>
            <w:tcW w:w="2400" w:type="dxa"/>
            <w:shd w:fill="FFFFFF"/>
            <w:vAlign w:val="top"/>
          </w:tcPr>
          <w:p>
            <w:pPr>
              <w:pStyle w:val="TableText"/>
            </w:pPr>
            <w:r>
              <w:t xml:space="preserve">純 AUW</w:t>
            </w:r>
          </w:p>
        </w:tc>
        <w:tc>
          <w:tcPr>
            <w:tcW w:w="3100" w:type="dxa"/>
            <w:shd w:fill="FFFFFF"/>
            <w:vAlign w:val="top"/>
          </w:tcPr>
          <w:p>
            <w:pPr>
              <w:pStyle w:val="TableText"/>
            </w:pPr>
            <w:r>
              <w:t xml:space="preserve">TW26SM010001</w:t>
            </w:r>
          </w:p>
        </w:tc>
        <w:tc>
          <w:tcPr>
            <w:tcW w:w="3500" w:type="dxa"/>
            <w:shd w:fill="FFFFFF"/>
            <w:vAlign w:val="top"/>
          </w:tcPr>
          <w:p>
            <w:pPr>
              <w:pStyle w:val="TableText"/>
            </w:pPr>
            <w:r>
              <w:t xml:space="preserve">TW26SM010001-E01</w:t>
            </w:r>
          </w:p>
        </w:tc>
      </w:tr>
      <w:tr>
        <w:trPr>
          <w:cantSplit/>
        </w:trPr>
        <w:tc>
          <w:tcPr>
            <w:tcW w:w="2400" w:type="dxa"/>
            <w:shd w:fill="F1F5F8"/>
            <w:vAlign w:val="top"/>
          </w:tcPr>
          <w:p>
            <w:pPr>
              <w:pStyle w:val="TableText"/>
            </w:pPr>
            <w:r>
              <w:t xml:space="preserve">混合案件主編號</w:t>
            </w:r>
          </w:p>
        </w:tc>
        <w:tc>
          <w:tcPr>
            <w:tcW w:w="3100" w:type="dxa"/>
            <w:shd w:fill="F1F5F8"/>
            <w:vAlign w:val="top"/>
          </w:tcPr>
          <w:p>
            <w:pPr>
              <w:pStyle w:val="TableText"/>
            </w:pPr>
            <w:r>
              <w:t xml:space="preserve">TWPF2601001</w:t>
            </w:r>
          </w:p>
        </w:tc>
        <w:tc>
          <w:tcPr>
            <w:tcW w:w="3500" w:type="dxa"/>
            <w:shd w:fill="F1F5F8"/>
            <w:vAlign w:val="top"/>
          </w:tcPr>
          <w:p>
            <w:pPr>
              <w:pStyle w:val="TableText"/>
            </w:pPr>
            <w:r>
              <w:t xml:space="preserve">TWPF2601001-E01</w:t>
            </w:r>
          </w:p>
        </w:tc>
      </w:tr>
      <w:tr>
        <w:trPr>
          <w:cantSplit/>
        </w:trPr>
        <w:tc>
          <w:tcPr>
            <w:tcW w:w="2400" w:type="dxa"/>
            <w:shd w:fill="FFFFFF"/>
            <w:vAlign w:val="top"/>
          </w:tcPr>
          <w:p>
            <w:pPr>
              <w:pStyle w:val="TableText"/>
            </w:pPr>
            <w:r>
              <w:t xml:space="preserve">同一混合案件 AUW Ref.</w:t>
            </w:r>
          </w:p>
        </w:tc>
        <w:tc>
          <w:tcPr>
            <w:tcW w:w="3100" w:type="dxa"/>
            <w:shd w:fill="FFFFFF"/>
            <w:vAlign w:val="top"/>
          </w:tcPr>
          <w:p>
            <w:pPr>
              <w:pStyle w:val="TableText"/>
            </w:pPr>
            <w:r>
              <w:t xml:space="preserve">TW26SM010001</w:t>
            </w:r>
          </w:p>
        </w:tc>
        <w:tc>
          <w:tcPr>
            <w:tcW w:w="3500" w:type="dxa"/>
            <w:shd w:fill="FFFFFF"/>
            <w:vAlign w:val="top"/>
          </w:tcPr>
          <w:p>
            <w:pPr>
              <w:pStyle w:val="TableText"/>
            </w:pPr>
            <w:r>
              <w:t xml:space="preserve">TW26SM010001-E01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混合批單顯示例：TWPF2601001-E01 &amp; TW26SM010001-E01。兩組編號使用同一批單序號；純 AUW 的兩組值相同時，畫面只顯示一次。</w:t>
      </w:r>
    </w:p>
    <w:p>
      <w:pPr>
        <w:pStyle w:val="Normal"/>
      </w:pPr>
      <w:r>
        <w:t xml:space="preserve">正式配置時仍檢查主編號、AUW Ref.、歷史及回收編號，已占用的編號會跳過。若原單缺少可用的 AUW Ref.，會阻擋批單 Announce，不以系統自動編號代替。</w:t>
      </w:r>
    </w:p>
    <w:p>
      <w:pPr>
        <w:pStyle w:val="Heading1"/>
      </w:pPr>
      <w:bookmarkStart w:id="10" w:name="heading_10"/>
      <w:r>
        <w:t xml:space="preserve">七、批單跨月與退保費</w:t>
      </w:r>
      <w:bookmarkEnd w:id="10"/>
    </w:p>
    <w:p>
      <w:pPr>
        <w:pStyle w:val="Normal"/>
      </w:pPr>
      <w:r>
        <w:t xml:space="preserve">AUW 的補保費與退保費均按較晚基準日取月底。相同月份 Announce 的回溯批單，即使生效日期不同，也可能有相同 AUW 到期日；跨到下一個月份 Announce，則採下一個月份的月底。</w:t>
      </w:r>
    </w:p>
    <w:p>
      <w:pPr>
        <w:pStyle w:val="Normal"/>
      </w:pPr>
      <w:r>
        <w:t xml:space="preserve">例：批改生效日為2026/10/15，Announce 時間為2026/10/31 16:30 UTC，即台灣11/01 00:30。B＝11/01，M＝11/30，AUW 提醒日2027/03/20，到期日2027/03/30。</w:t>
      </w:r>
    </w:p>
    <w:p>
      <w:pPr>
        <w:pStyle w:val="Normal"/>
      </w:pPr>
      <w:r>
        <w:t xml:space="preserve">退保費向 Howden／AUW 收回，仍沿用本頁的 AUW 月底＋120天，不另提前一個結算期。AUW 原定日期不因對方尚未退款而自動往後移。</w:t>
      </w:r>
    </w:p>
    <w:p>
      <w:pPr>
        <w:pStyle w:val="Heading1"/>
      </w:pPr>
      <w:bookmarkStart w:id="11" w:name="heading_11"/>
      <w:r>
        <w:t xml:space="preserve">八、在 Draft 改選其他再保人</w:t>
      </w:r>
      <w:bookmarkEnd w:id="11"/>
    </w:p>
    <w:p>
      <w:pPr>
        <w:pStyle w:val="Normal"/>
      </w:pPr>
      <w:r>
        <w:t xml:space="preserve">解除 Howden 綁定並清空原 Foreign RI Broker、Deductions 及 AUW 各期付款天數覆寫；Tax 與付款天數改依新選項規則／預設處理，須重新核對。選回 AUW 時，再帶入 Howden、10% Deductions、0% Tax 及固定120天。</w:t>
      </w:r>
    </w:p>
    <w:sectPr>
      <w:headerReference w:type="default" r:id="rIdHeader"/>
      <w:footerReference w:type="default" r:id="rIdFooter"/>
      <w:pgSz w:w="11906" w:h="16838"/>
      <w:pgMar w:top="1134" w:right="1453" w:bottom="1134" w:left="1453" w:header="567" w:footer="567"/>
      <w:cols w:space="708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6"/>
      </w:rPr>
      <w:t xml:space="preserve">2026-10-29  ·  第 </w:t>
    </w:r>
    <w:fldSimple w:instr="PAGE">
      <w:r>
        <w:rPr>
          <w:sz w:val="16"/>
        </w:rPr>
        <w:t xml:space="preserve">1</w:t>
      </w:r>
    </w:fldSimple>
    <w:r>
      <w:rPr>
        <w:sz w:val="16"/>
      </w:rPr>
      <w:t xml:space="preserve"> 頁／共 </w:t>
    </w:r>
    <w:fldSimple w:instr="NUMPAGES">
      <w:r>
        <w:rPr>
          <w:sz w:val="16"/>
        </w:rPr>
        <w:t xml:space="preserve">1</w:t>
      </w:r>
    </w:fldSimple>
    <w:r>
      <w:rPr>
        <w:sz w:val="16"/>
      </w:rPr>
      <w:t xml:space="preserve"> 頁</w:t>
    </w:r>
  </w:p>
</w:ftr>
</file>

<file path=word/header1.xml><?xml version="1.0" encoding="utf-8"?>
<w:hdr xmlns:w="http://schemas.openxmlformats.org/wordprocessingml/2006/main">
  <w:p>
    <w:pPr>
      <w:spacing w:after="80"/>
      <w:pBdr>
        <w:bottom w:val="single" w:sz="4" w:color="B7C7D3"/>
      </w:pBdr>
    </w:pPr>
    <w:r>
      <w:rPr>
        <w:sz w:val="16"/>
        <w:color w:val="536674"/>
      </w:rPr>
      <w:t xml:space="preserve">Reinsurance Department System  |  Syndicate 609 AUW Facility · Property</w:t>
    </w:r>
  </w:p>
</w:hdr>
</file>

<file path=word/settings.xml><?xml version="1.0" encoding="utf-8"?>
<w:settings xmlns:w="http://schemas.openxmlformats.org/wordprocessingml/2006/main">
  <w:defaultTabStop w:val="420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JhengHei"/>
        <w:sz w:val="21"/>
        <w:szCs w:val="21"/>
        <w:lang w:val="en-US" w:eastAsia="zh-TW"/>
      </w:rPr>
    </w:rPrDefault>
    <w:pPrDefault>
      <w:pPr>
        <w:spacing w:after="90" w:line="300" w:lineRule="auto"/>
      </w:pPr>
    </w:pPrDefault>
  </w:docDefaults>
  <w:style w:type="paragraph" w:styleId="Normal" w:default="1">
    <w:name w:val="正文"/>
    <w:pPr>
      <w:spacing w:before="0" w:after="90" w:line="300" w:lineRule="auto"/>
      <w:widowControl/>
    </w:pPr>
    <w:rPr>
      <w:sz w:val="21"/>
      <w:szCs w:val="21"/>
      <w:color w:val="202B33"/>
    </w:rPr>
  </w:style>
  <w:style w:type="paragraph" w:styleId="Title">
    <w:name w:val="文件標題"/>
    <w:basedOn w:val="Normal"/>
    <w:pPr>
      <w:spacing w:before="200" w:after="250" w:line="300" w:lineRule="auto"/>
      <w:widowControl/>
    </w:pPr>
    <w:rPr>
      <w:sz w:val="40"/>
      <w:szCs w:val="40"/>
      <w:b/>
      <w:color w:val="245C80"/>
    </w:rPr>
  </w:style>
  <w:style w:type="paragraph" w:styleId="Subtitle">
    <w:name w:val="副標題"/>
    <w:basedOn w:val="Normal"/>
    <w:pPr>
      <w:spacing w:before="100" w:after="160" w:line="300" w:lineRule="auto"/>
      <w:widowControl/>
    </w:pPr>
    <w:rPr>
      <w:sz w:val="24"/>
      <w:szCs w:val="24"/>
      <w:color w:val="536674"/>
    </w:rPr>
  </w:style>
  <w:style w:type="paragraph" w:styleId="Heading1">
    <w:name w:val="標題 1"/>
    <w:basedOn w:val="Normal"/>
    <w:pPr>
      <w:keepNext/>
      <w:outlineLvl w:val="0"/>
      <w:spacing w:before="280" w:after="150" w:line="300" w:lineRule="auto"/>
      <w:widowControl/>
    </w:pPr>
    <w:rPr>
      <w:sz w:val="30"/>
      <w:szCs w:val="30"/>
      <w:b/>
      <w:color w:val="245C80"/>
    </w:rPr>
  </w:style>
  <w:style w:type="paragraph" w:styleId="Heading2">
    <w:name w:val="標題 2"/>
    <w:basedOn w:val="Normal"/>
    <w:pPr>
      <w:keepNext/>
      <w:outlineLvl w:val="1"/>
      <w:spacing w:before="200" w:after="110" w:line="300" w:lineRule="auto"/>
      <w:widowControl/>
    </w:pPr>
    <w:rPr>
      <w:sz w:val="25"/>
      <w:szCs w:val="25"/>
      <w:b/>
      <w:color w:val="245C80"/>
    </w:rPr>
  </w:style>
  <w:style w:type="paragraph" w:styleId="Heading3">
    <w:name w:val="標題 3"/>
    <w:basedOn w:val="Normal"/>
    <w:pPr>
      <w:keepNext/>
      <w:outlineLvl w:val="2"/>
      <w:spacing w:before="180" w:after="90" w:line="300" w:lineRule="auto"/>
      <w:widowControl/>
    </w:pPr>
    <w:rPr>
      <w:sz w:val="22"/>
      <w:szCs w:val="22"/>
      <w:b/>
      <w:color w:val="245C80"/>
    </w:rPr>
  </w:style>
  <w:style w:type="paragraph" w:styleId="TableText">
    <w:name w:val="表格文字"/>
    <w:basedOn w:val="Normal"/>
    <w:pPr>
      <w:spacing w:before="0" w:after="20" w:line="255" w:lineRule="auto"/>
      <w:widowControl/>
    </w:pPr>
    <w:rPr>
      <w:sz w:val="18"/>
      <w:szCs w:val="18"/>
      <w:color w:val="202B33"/>
    </w:rPr>
  </w:style>
  <w:style w:type="paragraph" w:styleId="TableSpacer">
    <w:name w:val="表後間距"/>
    <w:basedOn w:val="Normal"/>
    <w:pPr>
      <w:spacing w:before="0" w:after="20" w:line="300" w:lineRule="auto"/>
      <w:widowControl/>
    </w:pPr>
    <w:rPr>
      <w:sz w:val="6"/>
      <w:szCs w:val="6"/>
      <w:color w:val="202B33"/>
    </w:rPr>
  </w:style>
  <w:style w:type="paragraph" w:styleId="Note">
    <w:name w:val="附註"/>
    <w:basedOn w:val="Normal"/>
    <w:pPr>
      <w:spacing w:before="40" w:after="90" w:line="300" w:lineRule="auto"/>
      <w:widowControl/>
    </w:pPr>
    <w:rPr>
      <w:sz w:val="19"/>
      <w:szCs w:val="19"/>
      <w:color w:val="536674"/>
    </w:rPr>
  </w:style>
  <w:style w:type="paragraph" w:styleId="Bullet">
    <w:name w:val="項目"/>
    <w:basedOn w:val="Normal"/>
    <w:pPr>
      <w:ind w:left="250" w:hanging="250"/>
      <w:spacing w:before="0" w:after="70" w:line="300" w:lineRule="auto"/>
      <w:widowControl/>
    </w:pPr>
    <w:rPr>
      <w:sz w:val="21"/>
      <w:szCs w:val="21"/>
      <w:color w:val="202B33"/>
    </w:rPr>
  </w:style>
  <w:style w:type="paragraph" w:styleId="Code">
    <w:name w:val="程式與資料範例"/>
    <w:basedOn w:val="Normal"/>
    <w:pPr>
      <w:spacing w:before="0" w:after="10" w:line="255" w:lineRule="auto"/>
      <w:widowControl/>
    </w:pPr>
    <w:rPr>
      <w:rFonts w:ascii="Consolas" w:hAnsi="Consolas" w:eastAsia="Microsoft JhengHei"/>
      <w:sz w:val="17"/>
      <w:szCs w:val="17"/>
      <w:color w:val="202B33"/>
    </w:rPr>
  </w:style>
  <w:style w:type="paragraph" w:styleId="TOC1">
    <w:name w:val="目錄"/>
    <w:basedOn w:val="Normal"/>
    <w:pPr>
      <w:spacing w:before="50" w:after="100" w:line="300" w:lineRule="auto"/>
      <w:widowControl/>
    </w:pPr>
    <w:rPr>
      <w:sz w:val="23"/>
      <w:szCs w:val="23"/>
      <w:color w:val="245C80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Syndicate 609 AUW Facility - PD 專屬規則</dc:title>
  <dc:creator>Reinsurance Department System</dc:creator>
  <dc:description>Syndicate 609 AUW Facility - PD 專屬規則；2026-10-29</dc:description>
  <dcterms:created xsi:type="dcterms:W3CDTF">2026-10-29T06:17:42.048921+00:00</dcterms:created>
</cp:coreProperties>
</file>