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AUW Facility 會計邏輯與確認表</w:t>
      </w:r>
    </w:p>
    <w:p>
      <w:pPr>
        <w:pStyle w:val="Subtitle"/>
      </w:pPr>
      <w:r>
        <w:t xml:space="preserve">核對日期：2026-10-13｜供再保部與會計逐項確認</w:t>
      </w:r>
    </w:p>
    <w:p>
      <w:pPr>
        <w:pStyle w:val="Normal"/>
      </w:pPr>
      <w:r>
        <w:rPr>
          <w:b/>
        </w:rPr>
        <w:t xml:space="preserve">適用再保人：Lloyd's Underwriter Syndicate No. 0609 AUW (Facility)</w:t>
      </w:r>
    </w:p>
    <w:p>
      <w:pPr>
        <w:pStyle w:val="Normal"/>
      </w:pPr>
      <w:r>
        <w:t xml:space="preserve">本文件整理目前系統的 AUW 保費與帳款邏輯，涵蓋 Cedant 收款、Howden 付款、批單、分期、上帳、實際收付款及沖銷。日期與金額均有例子；最後一頁供會計填寫確認結果。</w:t>
      </w:r>
    </w:p>
    <w:p>
      <w:pPr>
        <w:pStyle w:val="Heading2"/>
        <w:keepNext/>
      </w:pPr>
      <w:r>
        <w:t xml:space="preserve">1. AUW 的帳務參數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500"/>
        <w:gridCol w:w="7400"/>
      </w:tblGrid>
      <w:tr>
        <w:trPr>
          <w:cantSplit/>
          <w:tblHeader/>
        </w:trPr>
        <w:tc>
          <w:tcPr>
            <w:tcW w:w="25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74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目前規則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再保人與收付款對象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再保人為 AUW；Foreign RI Broker 固定為 Howden Specialty Limited，選取 AUW 時自動帶入並鎖定。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Deductions</w:t>
            </w:r>
          </w:p>
        </w:tc>
        <w:tc>
          <w:tcPr>
            <w:tcW w:w="7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選取 AUW 時預設 10%；可以修改，包含 0%。儲存、重開及 Announce 保留修改值。重新選取 AUW 會再次帶入 10%。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 Tax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系統設定 0%，不可修改；只適用 AUW 再保人列，Cedant Tax 仍按個別設定。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付款條件</w:t>
            </w:r>
          </w:p>
        </w:tc>
        <w:tc>
          <w:tcPr>
            <w:tcW w:w="7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基準月份月底＋120 個日曆天；會計顯示提前 10 天。月底及 120 天不可修改。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收款條件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新原保單預設 90 天、可修改；會計顯示提前 15 天。既有已填天數保留。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批單</w:t>
            </w:r>
          </w:p>
        </w:tc>
        <w:tc>
          <w:tcPr>
            <w:tcW w:w="7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Cedant 天數繼承原始保單並鎖定；批單單期，不允許分期。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2. 會計辨識案件用的編號</w:t>
      </w:r>
    </w:p>
    <w:p>
      <w:pPr>
        <w:pStyle w:val="Normal"/>
      </w:pPr>
      <w:r>
        <w:t xml:space="preserve">TW Ref. (for AUW) 手動填寫，含 AUW 的 Draft 就必填。純 AUW 案件 Announce 後，只使用手動 AUW Ref. 作為主編號，不另生成系統 TW Ref.；混合案件顯示「系統自動 TW Ref. &amp; AUW Ref.」。</w:t>
      </w:r>
    </w:p>
    <w:p>
      <w:pPr>
        <w:pStyle w:val="Example"/>
      </w:pPr>
      <w:r>
        <w:t xml:space="preserve">純 AUW：TW26SM010001</w:t>
        <w:br/>
        <w:t xml:space="preserve">混合案件：TWPF2601001 &amp; TW26SM010001</w:t>
      </w:r>
    </w:p>
    <w:p>
      <w:pPr>
        <w:pStyle w:val="Normal"/>
      </w:pPr>
      <w:r>
        <w:t xml:space="preserve">交易編號使用案件主 TW Ref.；混合案件的手動 AUW Ref. 不會取代自動主編號。新續保／批單需新 AUW Ref.，不能重用來源案件或其他案件的編號。純 AUW 主編號 Announce 後鎖定。</w:t>
      </w:r>
    </w:p>
    <w:p>
      <w:pPr>
        <w:pStyle w:val="Note"/>
      </w:pPr>
      <w:r>
        <w:t xml:space="preserve">本版記錄系統已確認的設定與實際行為。各例子使用示例金額與編號，不是實際匯款指示；稅率為系統參數，不在本文件判定法定稅務處理。</w:t>
      </w:r>
    </w:p>
    <w:p>
      <w:pPr>
        <w:pStyle w:val="Heading1"/>
        <w:pageBreakBefore/>
      </w:pPr>
      <w:r>
        <w:t xml:space="preserve">3. 保費、扣除額與保留經紀收入</w:t>
      </w:r>
    </w:p>
    <w:p>
      <w:pPr>
        <w:pStyle w:val="Normal"/>
      </w:pPr>
      <w:r>
        <w:t xml:space="preserve">每一個再保人列按其 Order hereon／承接比例分別計算。Cedant Premium 與 Reinsurer Premium 是兩個不同輸入金額；AUW 的預設 10% 指 Deductions，不是自動填入的保費金額。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900"/>
        <w:gridCol w:w="7000"/>
      </w:tblGrid>
      <w:tr>
        <w:trPr>
          <w:cantSplit/>
          <w:tblHeader/>
        </w:trPr>
        <w:tc>
          <w:tcPr>
            <w:tcW w:w="2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交易</w:t>
            </w:r>
          </w:p>
        </w:tc>
        <w:tc>
          <w:tcPr>
            <w:tcW w:w="7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計算方式／現金性質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T1：Cedant 淨應收</w:t>
            </w:r>
          </w:p>
        </w:tc>
        <w:tc>
          <w:tcPr>
            <w:tcW w:w="7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分配保費＝原保費 × 承接比例</w:t>
              <w:br/>
              <w:t xml:space="preserve">淨應收＝分配保費−Ceding Commission−Cedant Tax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T2：AUW／Howden 淨應付</w:t>
            </w:r>
          </w:p>
        </w:tc>
        <w:tc>
          <w:tcPr>
            <w:tcW w:w="7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分配保費＝RI Premium × 承接比例</w:t>
              <w:br/>
              <w:t xml:space="preserve">淨應付＝分配保費−Deductions；AUW Tax＝0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T3：保留經紀收入</w:t>
            </w:r>
          </w:p>
        </w:tc>
        <w:tc>
          <w:tcPr>
            <w:tcW w:w="7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T3＝T1−T2；為收付款後保留的差額，不能另記一筆實際匯款。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完整金額例子：同幣別，承接比例 100%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800"/>
        <w:gridCol w:w="3550"/>
        <w:gridCol w:w="3550"/>
      </w:tblGrid>
      <w:tr>
        <w:trPr>
          <w:cantSplit/>
          <w:tblHeader/>
        </w:trPr>
        <w:tc>
          <w:tcPr>
            <w:tcW w:w="28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355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Cedant 端</w:t>
            </w:r>
          </w:p>
        </w:tc>
        <w:tc>
          <w:tcPr>
            <w:tcW w:w="355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端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保費輸入</w:t>
            </w:r>
          </w:p>
        </w:tc>
        <w:tc>
          <w:tcPr>
            <w:tcW w:w="35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12,000.00</w:t>
            </w:r>
          </w:p>
        </w:tc>
        <w:tc>
          <w:tcPr>
            <w:tcW w:w="35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佣金／Deductions</w:t>
            </w:r>
          </w:p>
        </w:tc>
        <w:tc>
          <w:tcPr>
            <w:tcW w:w="35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10%＝1,200.00</w:t>
            </w:r>
          </w:p>
        </w:tc>
        <w:tc>
          <w:tcPr>
            <w:tcW w:w="35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10%＝1,000.00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Tax</w:t>
            </w:r>
          </w:p>
        </w:tc>
        <w:tc>
          <w:tcPr>
            <w:tcW w:w="35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1%＝120.00</w:t>
            </w:r>
          </w:p>
        </w:tc>
        <w:tc>
          <w:tcPr>
            <w:tcW w:w="35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0%＝0.00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淨額</w:t>
            </w:r>
          </w:p>
        </w:tc>
        <w:tc>
          <w:tcPr>
            <w:tcW w:w="35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T1 應收 10,680.00</w:t>
            </w:r>
          </w:p>
        </w:tc>
        <w:tc>
          <w:tcPr>
            <w:tcW w:w="35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T2 應付 9,000.00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Example"/>
      </w:pPr>
      <w:r>
        <w:t xml:space="preserve">T3 保留經紀收入＝10,680.00−9,000.00＝1,680.00。AUW Deductions 的 1,000.00 不等於本案最終保留收入。</w:t>
      </w:r>
    </w:p>
    <w:p>
      <w:pPr>
        <w:pStyle w:val="Heading2"/>
        <w:keepNext/>
      </w:pPr>
      <w:r>
        <w:t xml:space="preserve">Deductions 與承接比例改變的例子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75"/>
        <w:gridCol w:w="2475"/>
        <w:gridCol w:w="2475"/>
        <w:gridCol w:w="2475"/>
      </w:tblGrid>
      <w:tr>
        <w:trPr>
          <w:cantSplit/>
          <w:tblHeader/>
        </w:trPr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RI Premium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承接比例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Deductions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淨應付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9,000.00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12.5%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8,750.00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50%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4,500.00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系統各步計算四捨五入到小數點後兩位。比例以百分比轉成倍率：50%＝0.5。以下分期及退款例子沿用 T1 10,680.00／T2 9,000.00／T3 1,680.00 的基礎。</w:t>
      </w:r>
    </w:p>
    <w:p>
      <w:pPr>
        <w:pStyle w:val="Heading1"/>
        <w:pageBreakBefore/>
      </w:pPr>
      <w:r>
        <w:t xml:space="preserve">4. 原保單／續保：實際到期與會計顯示日</w:t>
      </w:r>
    </w:p>
    <w:p>
      <w:pPr>
        <w:pStyle w:val="Example"/>
      </w:pPr>
      <w:r>
        <w:t xml:space="preserve">AUW 實際到期＝基準月份月底＋120 個日曆天</w:t>
        <w:br/>
        <w:t xml:space="preserve">AUW 會計顯示＝實際到期−10 個日曆天</w:t>
        <w:br/>
        <w:t xml:space="preserve">Cedant 實際到期＝基準日＋Cedant 收款天數</w:t>
        <w:br/>
        <w:t xml:space="preserve">Cedant 會計顯示＝實際到期−15 個日曆天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66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情境</w:t>
            </w:r>
          </w:p>
        </w:tc>
        <w:tc>
          <w:tcPr>
            <w:tcW w:w="66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原保單／續保單期</w:t>
            </w:r>
          </w:p>
        </w:tc>
        <w:tc>
          <w:tcPr>
            <w:tcW w:w="6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Policy Effective Date／保單生效日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原保單／續保分期</w:t>
            </w:r>
          </w:p>
        </w:tc>
        <w:tc>
          <w:tcPr>
            <w:tcW w:w="6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各期 Payment base date／付款基準日；AUW 每期分別取月底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天數</w:t>
            </w:r>
          </w:p>
        </w:tc>
        <w:tc>
          <w:tcPr>
            <w:tcW w:w="6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使用 Cedant 自己的約定；AUW 的 120 天不會改寫 Cedant 收款條件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AUW：同月的生效日，到期日相同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75"/>
        <w:gridCol w:w="2475"/>
        <w:gridCol w:w="2475"/>
        <w:gridCol w:w="2475"/>
      </w:tblGrid>
      <w:tr>
        <w:trPr>
          <w:cantSplit/>
          <w:tblHeader/>
        </w:trPr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月份月底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實際到期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會計顯示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2026-01-01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2026-05-31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2026-05-21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2026-05-21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2026-02-10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2026-02-28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2026-06-28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2026-06-18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2026-10-13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2027-02-28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2027-02-18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Cedant 90 天：同月不同生效日，到期日不同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保單生效日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實際收款期限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會計顯示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2026-01-01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2026-04-01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2026-03-17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2026-05-01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2026-04-16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120 天及提前 10／15 天均按日曆天計算，週末或假日不順延；月底按實際曆法處理，包含閏年二月。系統排程到期判斷使用台灣時間 12:00。</w:t>
      </w:r>
    </w:p>
    <w:p>
      <w:pPr>
        <w:pStyle w:val="Normal"/>
      </w:pPr>
      <w:r>
        <w:t xml:space="preserve">Accounting 的 Due date 是提前顯示日；AUW due 是實際到期日。未清帳款的 Overdue 依提前顯示日判斷，因此可能在 AUW 實際到期前已顯示 Overdue。</w:t>
      </w:r>
    </w:p>
    <w:p>
      <w:pPr>
        <w:pStyle w:val="Note"/>
      </w:pPr>
      <w:r>
        <w:t xml:space="preserve">對外付款承諾及銀行作業日應另行核對。系統目前不依假日自動調整，也不以實際 Cedant 到帳日重新起算 AUW 的 120 天。</w:t>
      </w:r>
    </w:p>
    <w:p>
      <w:pPr>
        <w:pStyle w:val="Heading1"/>
        <w:pageBreakBefore/>
      </w:pPr>
      <w:r>
        <w:t xml:space="preserve">5. 批單：起算日、原保單天數與退保費</w:t>
      </w:r>
    </w:p>
    <w:p>
      <w:pPr>
        <w:pStyle w:val="Example"/>
      </w:pPr>
      <w:r>
        <w:t xml:space="preserve">批單基準日＝實際成功 Announce 的台灣日期與批單生效日，取較晚者。Draft 建立日不作為 Announce 日期；未 Announce 不用今天日期代替。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600"/>
        <w:gridCol w:w="7300"/>
      </w:tblGrid>
      <w:tr>
        <w:trPr>
          <w:cantSplit/>
          <w:tblHeader/>
        </w:trPr>
        <w:tc>
          <w:tcPr>
            <w:tcW w:w="26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7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批單計算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</w:t>
            </w:r>
          </w:p>
        </w:tc>
        <w:tc>
          <w:tcPr>
            <w:tcW w:w="7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繼承原始保單的收款天數並鎖定；基準日＋天數，再提前 15 天顯示。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AUW／Howden</w:t>
            </w:r>
          </w:p>
        </w:tc>
        <w:tc>
          <w:tcPr>
            <w:tcW w:w="7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基準日所在月份月底＋120 天，再提前 10 天顯示。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分期</w:t>
            </w:r>
          </w:p>
        </w:tc>
        <w:tc>
          <w:tcPr>
            <w:tcW w:w="7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不允許；原保單有分期，批單仍單期結算。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繼承的是「收款天數」，不是原保單原來的到期日期。原單 90 天，批單也為 90 天；原單 120 天，批單也為 120 天。</w:t>
      </w:r>
    </w:p>
    <w:p>
      <w:pPr>
        <w:pStyle w:val="Heading2"/>
        <w:keepNext/>
      </w:pPr>
      <w:r>
        <w:t xml:space="preserve">例：原保單 Cedant 120 天；批單 2026-10-13 Announce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日期項目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未來生效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回溯生效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批單生效日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2026-10-30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2026-09-15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較晚基準日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2026-10-30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2026-10-13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實際到期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2027-02-27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2027-02-10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Cedant 會計顯示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2027-02-12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2027-01-26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 取月底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2026-10-31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2026-10-31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實際到期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2027-02-28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2027-02-28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 會計顯示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2027-02-18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2027-02-18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退保費：金額負數，現金方向反轉</w:t>
      </w:r>
    </w:p>
    <w:p>
      <w:pPr>
        <w:pStyle w:val="Normal"/>
      </w:pPr>
      <w:r>
        <w:t xml:space="preserve">若同一比例的退保費例子為原保費−12,000.00、AUW Premium−10,000.00，系統保留 T1−10,680.00、T2−9,000.00、T3−1,680.00。T1 改為應付 Cedant 退款；T2 改為向 AUW／Howden 收回退費；T3 為負的保留經紀收入。</w:t>
      </w:r>
    </w:p>
    <w:p>
      <w:pPr>
        <w:pStyle w:val="Normal"/>
      </w:pPr>
      <w:r>
        <w:t xml:space="preserve">Record remittance 仍輸入正的金額大小，例如 9,000.00；系統依交易符號及收付方向登錄。AUW 退費仍按月底＋120 天規則顯示，Tax 仍 0%；不是輸入負數後就自動完成退款或收回。</w:t>
      </w:r>
    </w:p>
    <w:p>
      <w:pPr>
        <w:pStyle w:val="Note"/>
      </w:pPr>
      <w:r>
        <w:t xml:space="preserve">混合案件的其他再保人使用各自條件，不跟著 AUW 改成月底＋120 天；每列須按金額正負核對收付方向。</w:t>
      </w:r>
    </w:p>
    <w:p>
      <w:pPr>
        <w:pStyle w:val="Heading1"/>
        <w:pageBreakBefore/>
      </w:pPr>
      <w:r>
        <w:t xml:space="preserve">6. 分期保費與每期上帳</w:t>
      </w:r>
    </w:p>
    <w:p>
      <w:pPr>
        <w:pStyle w:val="Normal"/>
      </w:pPr>
      <w:r>
        <w:t xml:space="preserve">原保單／續保可分期。系統按各期保費或比例作為權重，分配各再保人的 T1、T2；各期 T3＝該期 T1−T2。分配到分後的尾差放在最後一期，保留總額。批單不適用分期。</w:t>
      </w:r>
    </w:p>
    <w:p>
      <w:pPr>
        <w:pStyle w:val="Heading2"/>
        <w:keepNext/>
      </w:pPr>
      <w:r>
        <w:t xml:space="preserve">例：30%／70% 兩期，Cedant 90 天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第一期 30%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第二期 70%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付款基準日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2026-01-15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2026-04-15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T1 Cedant 淨應收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3,204.00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7,476.00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T2 AUW 淨應付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2,700.00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6,300.00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T3 保留經紀收入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504.00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1,176.00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實際到期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2026-04-15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2026-07-14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Cedant 會計顯示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2026-03-31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2026-06-29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 實際到期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2026-05-31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2026-08-28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會計顯示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2026-05-21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2026-08-18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T1 合計 10,680.00；T2 合計 9,000.00；T3 合計 1,680.00。各期 AUW 到期由各自付款基準月份起算，不全部使用保單生效月份。</w:t>
      </w:r>
    </w:p>
    <w:p>
      <w:pPr>
        <w:pStyle w:val="Heading2"/>
        <w:keepNext/>
      </w:pPr>
      <w:r>
        <w:t xml:space="preserve">每期 Production 確認與會計交易</w:t>
      </w:r>
    </w:p>
    <w:p>
      <w:pPr>
        <w:pStyle w:val="Normal"/>
      </w:pPr>
      <w:r>
        <w:t xml:space="preserve">分期案件在該期全部 Production 項目完成確認後，產生該期交易；不必等最後一期。每期只產生一次。尚有未確認期別時，案件仍可能是 Announced，但已確認期別的交易可以在 Accounting 處理。</w:t>
      </w:r>
    </w:p>
    <w:p>
      <w:pPr>
        <w:pStyle w:val="Normal"/>
      </w:pPr>
      <w:r>
        <w:t xml:space="preserve">單期案件需全案相關 Production 項目完成確認，才產生全額 T1／T2／T3。案件顯示 Confirmed 表示 Production 已全部確認，不表示現金已全部收付。</w:t>
      </w:r>
    </w:p>
    <w:p>
      <w:pPr>
        <w:pStyle w:val="Heading2"/>
        <w:keepNext/>
      </w:pPr>
      <w:r>
        <w:t xml:space="preserve">付款天數設定</w:t>
      </w:r>
    </w:p>
    <w:p>
      <w:pPr>
        <w:pStyle w:val="Normal"/>
      </w:pPr>
      <w:r>
        <w:t xml:space="preserve">Cedant 分期可使用該期適用天數；未填則回用 Case 的 Cedant 天數。AUW 的月底＋120 天固定，不接受各期再保人付款天數覆寫。</w:t>
      </w:r>
    </w:p>
    <w:p>
      <w:pPr>
        <w:pStyle w:val="Note"/>
      </w:pPr>
      <w:r>
        <w:t xml:space="preserve">若歷史分期案件已存在全案總額交易，系統不再另生成各期交易以免重複；其 Accounting 日期可能取所涵蓋排程的最早日期。會計應按原交易及各期排程核對。</w:t>
      </w:r>
    </w:p>
    <w:p>
      <w:pPr>
        <w:pStyle w:val="Heading1"/>
        <w:pageBreakBefore/>
      </w:pPr>
      <w:r>
        <w:t xml:space="preserve">7. Announce、Production、SoA 與匯率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900"/>
        <w:gridCol w:w="7000"/>
      </w:tblGrid>
      <w:tr>
        <w:trPr>
          <w:cantSplit/>
          <w:tblHeader/>
        </w:trPr>
        <w:tc>
          <w:tcPr>
            <w:tcW w:w="2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階段</w:t>
            </w:r>
          </w:p>
        </w:tc>
        <w:tc>
          <w:tcPr>
            <w:tcW w:w="7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系統行為／會計意義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Draft</w:t>
            </w:r>
          </w:p>
        </w:tc>
        <w:tc>
          <w:tcPr>
            <w:tcW w:w="7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資料準備；含 AUW 時手動 Ref. 必填，尚未產生正式保費交易。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Announce</w:t>
            </w:r>
          </w:p>
        </w:tc>
        <w:tc>
          <w:tcPr>
            <w:tcW w:w="7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案件公告並確認主編號；不代表已完成收付款或 Production 上帳。仍需 Offer Slip 及涵蓋 AUW 的 Signed Slip 或 Confirmation E-mail。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Production 關帳</w:t>
            </w:r>
          </w:p>
        </w:tc>
        <w:tc>
          <w:tcPr>
            <w:tcW w:w="7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確認本月適用項目；符合全案或該期確認條件時，產生 T1／T2／T3。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SoA／Accounting</w:t>
            </w:r>
          </w:p>
        </w:tc>
        <w:tc>
          <w:tcPr>
            <w:tcW w:w="7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顯示已產生的交易及餘額；Accounting 主清單不把所有未來排程直接當成交易。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Record payment</w:t>
            </w:r>
          </w:p>
        </w:tc>
        <w:tc>
          <w:tcPr>
            <w:tcW w:w="7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登錄實際收付款日、金額與交易分配，更新 Paid、Outstanding、Settlement。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交易編號與對帳資料</w:t>
      </w:r>
    </w:p>
    <w:p>
      <w:pPr>
        <w:pStyle w:val="Normal"/>
      </w:pPr>
      <w:r>
        <w:t xml:space="preserve">純 AUW 示例：TW26SM010001-R1-T1／T2／T3；分期交易再加 -I1、-I2 等期別。混合案件使用自動主 TW Ref. 為交易編號前綴。SoA No.、TW Ref. 與銀行匯款 Reference 分開保存。</w:t>
      </w:r>
    </w:p>
    <w:p>
      <w:pPr>
        <w:pStyle w:val="Normal"/>
      </w:pPr>
      <w:r>
        <w:t xml:space="preserve">Cedant 的對帳識別取案件 Statement／SoA 編號；再保人端取該再保人列的 Settlement Ref.。這個 Settlement Ref. 與 TW Ref. (for AUW) 是不同欄位；手動 AUW Ref. 不會自動填入 Settlement Ref.。</w:t>
      </w:r>
    </w:p>
    <w:p>
      <w:pPr>
        <w:pStyle w:val="Heading2"/>
        <w:keepNext/>
      </w:pPr>
      <w:r>
        <w:t xml:space="preserve">月份與匯率</w:t>
      </w:r>
    </w:p>
    <w:p>
      <w:pPr>
        <w:pStyle w:val="Normal"/>
      </w:pPr>
      <w:r>
        <w:t xml:space="preserve">AUW 付款日期、Production 上帳月份及實際銀行收付款日期各自保存。晚 Announce 的來源月份若已關帳，Production 項目會遞延至後續第一個開放月份；不改變保單日期或 AUW 付款日期公式。</w:t>
      </w:r>
    </w:p>
    <w:p>
      <w:pPr>
        <w:pStyle w:val="Normal"/>
      </w:pPr>
      <w:r>
        <w:t xml:space="preserve">Production 換算台幣使用上帳月份的正式匯率；TWD 為 1。缺少所需外幣匯率時不能生成該月報表，關帳會鎖定使用的匯率。SoA／Accounting 的保費交易及付款分配仍按案件原幣。</w:t>
      </w:r>
    </w:p>
    <w:p>
      <w:pPr>
        <w:pStyle w:val="Note"/>
      </w:pPr>
      <w:r>
        <w:t xml:space="preserve">目前 Record remittance 沒有銀行匯率、匯差、手續費或跨幣別換算欄位；不能只因 Production 已換算台幣，就當作實際銀行匯差已入帳。</w:t>
      </w:r>
    </w:p>
    <w:p>
      <w:pPr>
        <w:pStyle w:val="Heading1"/>
        <w:pageBreakBefore/>
      </w:pPr>
      <w:r>
        <w:t xml:space="preserve">8. 實際收付款、部分結清與合併匯款</w:t>
      </w:r>
    </w:p>
    <w:p>
      <w:pPr>
        <w:pStyle w:val="Normal"/>
      </w:pPr>
      <w:r>
        <w:t xml:space="preserve">只對已產生且可登錄的 T1／T2 交易記收付款。Finance Staff、Finance Manager 及 System Administrator 有會計寫入權限；其他唯讀角色不能登錄。</w:t>
      </w:r>
    </w:p>
    <w:p>
      <w:pPr>
        <w:pStyle w:val="Heading2"/>
        <w:keepNext/>
      </w:pPr>
      <w:r>
        <w:t xml:space="preserve">Record remittance 要填的資料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800"/>
        <w:gridCol w:w="7100"/>
      </w:tblGrid>
      <w:tr>
        <w:trPr>
          <w:cantSplit/>
          <w:tblHeader/>
        </w:trPr>
        <w:tc>
          <w:tcPr>
            <w:tcW w:w="28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資料</w:t>
            </w:r>
          </w:p>
        </w:tc>
        <w:tc>
          <w:tcPr>
            <w:tcW w:w="71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檢查與結果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Payment date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實際收款／付款日期，需為真實日曆日期。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Remittance amount</w:t>
            </w:r>
          </w:p>
        </w:tc>
        <w:tc>
          <w:tcPr>
            <w:tcW w:w="7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輸入正數、原幣金額；正負方向由所選交易決定。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Allocated amount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每筆分配必須大於 0 且不超過該交易未清金額；分配總額必須等於匯款金額。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合併交易</w:t>
            </w:r>
          </w:p>
        </w:tc>
        <w:tc>
          <w:tcPr>
            <w:tcW w:w="7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可以跨 Case；必須同幣別、同收付方向、同收付款對象。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Reference／Note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保存銀行／匯款識別及說明，供後續對帳。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多個 AUW Case 的 Howden 應付交易，只要幣別及方向一致，即可合併匯款；即使其他再保人也透過 Howden，符合相同分組條件仍可合併。不同幣別或收付方向的交易不能放進同一筆。</w:t>
      </w:r>
    </w:p>
    <w:p>
      <w:pPr>
        <w:pStyle w:val="Heading2"/>
        <w:keepNext/>
      </w:pPr>
      <w:r>
        <w:t xml:space="preserve">部分付款與合併匯款例子</w:t>
      </w:r>
    </w:p>
    <w:p>
      <w:pPr>
        <w:pStyle w:val="Normal"/>
      </w:pPr>
      <w:r>
        <w:t xml:space="preserve">Case A 的 AUW 應付 9,000.00，先付 4,000.00：Paid 4,000.00、Outstanding 5,000.00，Settlement＝Partial；再付 5,000.00 後為 Settled。</w:t>
      </w:r>
    </w:p>
    <w:p>
      <w:pPr>
        <w:pStyle w:val="Example"/>
      </w:pPr>
      <w:r>
        <w:t xml:space="preserve">另一個例子：同為 USD／Howden 應付，Case A 未清 9,000.00、Case B 未清 6,000.00。匯出 13,000.00，分配 A 9,000.00、B 4,000.00：A 結清，B 尚餘 2,000.00。匯款與分配差額必須為 0。</w:t>
      </w:r>
    </w:p>
    <w:p>
      <w:pPr>
        <w:pStyle w:val="Heading2"/>
        <w:keepNext/>
      </w:pPr>
      <w:r>
        <w:t xml:space="preserve">保留經紀收入 T3 自動結清</w:t>
      </w:r>
    </w:p>
    <w:p>
      <w:pPr>
        <w:pStyle w:val="Normal"/>
      </w:pPr>
      <w:r>
        <w:t xml:space="preserve">T3 無 Record payment 操作。同一再保人、同一期別及相同分拆範圍的 T1 與 T2 全部結清，T3 才顯示 Settled；只收妥 Cedant、尚未付 AUW，T3 仍未完全結清。T3 不按部分現金另產生逐筆可提領收入。</w:t>
      </w:r>
    </w:p>
    <w:p>
      <w:pPr>
        <w:pStyle w:val="Note"/>
      </w:pPr>
      <w:r>
        <w:t xml:space="preserve">系統不自動以 AUW 退費應收抵銷其他案件的 AUW 應付；收款與付款方向不能混在同一筆匯款分配。淨額結算應先由會計確認實際作業方式。</w:t>
      </w:r>
    </w:p>
    <w:p>
      <w:pPr>
        <w:pStyle w:val="Heading1"/>
        <w:pageBreakBefore/>
      </w:pPr>
      <w:r>
        <w:t xml:space="preserve">9. 付款沖銷、歷史帳款與對帳限制</w:t>
      </w:r>
    </w:p>
    <w:p>
      <w:pPr>
        <w:pStyle w:val="Heading2"/>
        <w:keepNext/>
      </w:pPr>
      <w:r>
        <w:t xml:space="preserve">登錄錯誤：Reverse remittance</w:t>
      </w:r>
    </w:p>
    <w:p>
      <w:pPr>
        <w:pStyle w:val="Normal"/>
      </w:pPr>
      <w:r>
        <w:t xml:space="preserve">合併匯款沖銷須涵蓋整筆匯款及全部關聯案件，不能只沖銷其中一筆分配，也不能重複沖銷同一筆。系統保留原收付款紀錄，新增 Reversal 紀錄並重新計算未清餘額；錯誤資料不直接刪除。</w:t>
      </w:r>
    </w:p>
    <w:p>
      <w:pPr>
        <w:pStyle w:val="Normal"/>
      </w:pPr>
      <w:r>
        <w:t xml:space="preserve">例：上一頁 13,000.00 匯款若整筆沖銷，Case A 的 9,000.00 與 Case B 的 4,000.00 分配同時取消，回到沖銷前未收付的餘額狀態。必要時再按正確日期及金額重新登錄。</w:t>
      </w:r>
    </w:p>
    <w:p>
      <w:pPr>
        <w:pStyle w:val="Heading2"/>
        <w:keepNext/>
      </w:pPr>
      <w:r>
        <w:t xml:space="preserve">付款沖銷與 Case Reverse 分開處理</w:t>
      </w:r>
    </w:p>
    <w:p>
      <w:pPr>
        <w:pStyle w:val="Normal"/>
      </w:pPr>
      <w:r>
        <w:t xml:space="preserve">Reverse remittance 更正實際收付款分配；Case Reverse 處理案件與上帳更正。已 Reverse 的案件歷史交易仍可供查閱，不能再向歷史交易分配新款。重新關帳時，系統按流程保留原交易、產生沖銷及新交易。</w:t>
      </w:r>
    </w:p>
    <w:p>
      <w:pPr>
        <w:pStyle w:val="Normal"/>
      </w:pPr>
      <w:r>
        <w:t xml:space="preserve">Case Reverse 不等於銀行款項實際退回。若款項確實須退回或重新分配，應核對現金歷史與新交易餘額；原有收付款紀錄仍保留。</w:t>
      </w:r>
    </w:p>
    <w:p>
      <w:pPr>
        <w:pStyle w:val="Heading2"/>
        <w:keepNext/>
      </w:pPr>
      <w:r>
        <w:t xml:space="preserve">對帳時請逐項核對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500"/>
        <w:gridCol w:w="7400"/>
      </w:tblGrid>
      <w:tr>
        <w:trPr>
          <w:cantSplit/>
          <w:tblHeader/>
        </w:trPr>
        <w:tc>
          <w:tcPr>
            <w:tcW w:w="25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核對點</w:t>
            </w:r>
          </w:p>
        </w:tc>
        <w:tc>
          <w:tcPr>
            <w:tcW w:w="74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應確認的資料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案件與對象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主 TW Ref.、AUW Ref.、SoA No.、AUW 名稱與 Howden 收付款對象。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金額與幣別</w:t>
            </w:r>
          </w:p>
        </w:tc>
        <w:tc>
          <w:tcPr>
            <w:tcW w:w="7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T1／T2 原幣淨額、承接比例、已修改 Deductions、Cedant Tax 與 AUW Tax 0%。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日期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 實際到期與提前顯示日、Cedant 期限、批單較晚基準日、實際 Payment date。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收付款記錄</w:t>
            </w:r>
          </w:p>
        </w:tc>
        <w:tc>
          <w:tcPr>
            <w:tcW w:w="7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Bank reference、分配合計、部分款、整筆沖銷及 Outstanding。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T3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與對應 T1／T2 的結清狀態；不要重複登錄經紀收入匯款。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目前需會計另行決定的作業</w:t>
      </w:r>
    </w:p>
    <w:p>
      <w:pPr>
        <w:pStyle w:val="Normal"/>
      </w:pPr>
      <w:r>
        <w:t xml:space="preserve">銀行手續費、匯差、核准小額差異沖帳、跨幣別付款及收付淨額抵銷，目前沒有獨立自動處理流程。已存在的保費交易不能用超額分配或不相等的匯款總額硬湊結清；應先確認會計制度及是否需後續系統功能。</w:t>
      </w:r>
    </w:p>
    <w:p>
      <w:pPr>
        <w:pStyle w:val="Note"/>
      </w:pPr>
      <w:r>
        <w:t xml:space="preserve">既有 AUW 付款排程使用新日期規則顯示；原有收付款及已上帳交易保留。歷史編號仍可追蹤，讀取帳款不會重寫原交易。</w:t>
      </w:r>
    </w:p>
    <w:p>
      <w:pPr>
        <w:pStyle w:val="Heading1"/>
        <w:pageBreakBefore/>
      </w:pPr>
      <w:r>
        <w:t xml:space="preserve">10. 與會計確認：選擇題核對清單</w:t>
      </w:r>
    </w:p>
    <w:p>
      <w:pPr>
        <w:pStyle w:val="Normal"/>
      </w:pPr>
      <w:r>
        <w:t xml:space="preserve">以下為確認現行規則與安排後續作業的表單。選 B 的項目請記錄原因與建議，另行確認後再決定是否修改系統；不會因填寫此表就自動變更帳務。建議每次集中討論 1–3 項。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700"/>
        <w:gridCol w:w="7200"/>
      </w:tblGrid>
      <w:tr>
        <w:trPr>
          <w:cantSplit/>
          <w:tblHeader/>
        </w:trPr>
        <w:tc>
          <w:tcPr>
            <w:tcW w:w="27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72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A／B 選擇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① 收付款對象與稅率</w:t>
            </w:r>
          </w:p>
        </w:tc>
        <w:tc>
          <w:tcPr>
            <w:tcW w:w="72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□ A　AUW 透過 Howden；AUW Tax 0% 的系統設定符合本業務</w:t>
              <w:br/>
              <w:t xml:space="preserve">□ B　需會計補充稅務／收付款對象的處理依據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② Deductions 與保留收入</w:t>
            </w:r>
          </w:p>
        </w:tc>
        <w:tc>
          <w:tcPr>
            <w:tcW w:w="72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□ A　預設 10% 可修改；T3＝T1−T2，理解一致</w:t>
              <w:br/>
              <w:t xml:space="preserve">□ B　需指定另行核准或檢核機制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③ 到期與會計提前日期</w:t>
            </w:r>
          </w:p>
        </w:tc>
        <w:tc>
          <w:tcPr>
            <w:tcW w:w="72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□ A　AUW 提前 10 天、Cedant 提前 15 天作內部排程；實際到期分開看</w:t>
              <w:br/>
              <w:t xml:space="preserve">□ B　需調整顯示或會計處理方式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④ 批單與分期</w:t>
            </w:r>
          </w:p>
        </w:tc>
        <w:tc>
          <w:tcPr>
            <w:tcW w:w="72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□ A　較晚日期起算、繼承原保單 Cedant 天數、批單不分期</w:t>
              <w:br/>
              <w:t xml:space="preserve">□ B　有特定補／退保費例外需要另列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⑤ 上帳與現金結清</w:t>
            </w:r>
          </w:p>
        </w:tc>
        <w:tc>
          <w:tcPr>
            <w:tcW w:w="72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□ A　Production 確認、現金 Settled 分開；T3 隨 T1／T2 自動結清</w:t>
              <w:br/>
              <w:t xml:space="preserve">□ B　需補充公司的收入認列與總帳科目對應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⑥ 假日及 Cedant 未收款</w:t>
            </w:r>
          </w:p>
        </w:tc>
        <w:tc>
          <w:tcPr>
            <w:tcW w:w="72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□ A　系統日曆天不順延；資金安排與銀行作業另行人工核對</w:t>
              <w:br/>
              <w:t xml:space="preserve">□ B　需提出假日順延或未收先付的作業規則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⑦ 合併匯款／淨額結算</w:t>
            </w:r>
          </w:p>
        </w:tc>
        <w:tc>
          <w:tcPr>
            <w:tcW w:w="72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□ A　同幣別、方向、對象合併；收付淨額抵銷先另行核對</w:t>
              <w:br/>
              <w:t xml:space="preserve">□ B　需要規劃正式淨額結算功能</w:t>
            </w:r>
          </w:p>
        </w:tc>
      </w:tr>
      <w:tr>
        <w:trPr>
          <w:cantSplit/>
        </w:trPr>
        <w:tc>
          <w:tcPr>
            <w:tcW w:w="2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⑧ 匯差、手續費與小額差異</w:t>
            </w:r>
          </w:p>
        </w:tc>
        <w:tc>
          <w:tcPr>
            <w:tcW w:w="72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□ A　先由公司既有會計流程處理，本系統保留原幣保費分配</w:t>
              <w:br/>
              <w:t xml:space="preserve">□ B　需規劃匯差／手續費／差異沖帳功能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會計確認記錄</w:t>
      </w:r>
    </w:p>
    <w:p>
      <w:pPr>
        <w:pStyle w:val="Normal"/>
      </w:pPr>
      <w:r>
        <w:t xml:space="preserve">會計確認人：________________　日期：________________</w:t>
        <w:br/>
        <w:t xml:space="preserve">再保部確認人：______________　日期：________________</w:t>
      </w:r>
    </w:p>
    <w:p>
      <w:pPr>
        <w:pStyle w:val="Normal"/>
      </w:pPr>
      <w:r>
        <w:t xml:space="preserve">需調整的項目與原因：</w:t>
        <w:br/>
        <w:t xml:space="preserve">______________________________________________________</w:t>
        <w:br/>
        <w:t xml:space="preserve">______________________________________________________</w:t>
      </w:r>
    </w:p>
    <w:p>
      <w:pPr>
        <w:pStyle w:val="Note"/>
      </w:pPr>
      <w:r>
        <w:t xml:space="preserve">版本：2026-10-13。內容範圍限 AUW 及連動 Cedant 保費帳務；一般理賠與整體總帳科目對應不在本版範圍。System Guides 為管理員可存取的區域，可下載本檔交會計確認。</w:t>
      </w:r>
    </w:p>
    <w:sectPr>
      <w:headerReference w:type="default" r:id="rIdHeader"/>
      <w:footerReference w:type="default" r:id="rIdFooter"/>
      <w:pgSz w:w="11906" w:h="16838"/>
      <w:pgMar w:top="900" w:right="1003" w:bottom="900" w:left="1003" w:header="420" w:footer="420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AUW_Facility_Accounting　｜　第 </w:t>
    </w:r>
    <w:fldSimple w:instr=" PAGE ">
      <w:r>
        <w:t>1</w:t>
      </w:r>
    </w:fldSimple>
    <w:r>
      <w:t> 頁，共 </w:t>
    </w:r>
    <w:fldSimple w:instr=" NUMPAGES ">
      <w:r>
        <w:t>9</w:t>
      </w:r>
    </w:fldSimple>
    <w:r>
      <w:t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6" w:color="CBD5E1"/>
      </w:pBdr>
    </w:pPr>
    <w:r>
      <w:t xml:space="preserve">AUW Facility 會計邏輯與確認表　｜　2026-10-13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 w:cs="Arial"/>
        <w:sz w:val="22"/>
        <w:szCs w:val="22"/>
        <w:lang w:val="en-US" w:eastAsia="zh-TW"/>
      </w:rPr>
    </w:rPrDefault>
    <w:pPrDefault>
      <w:pPr>
        <w:spacing w:after="95" w:line="280" w:lineRule="auto"/>
        <w:widowControl/>
      </w:pPr>
    </w:pPrDefault>
  </w:docDefaults>
  <w:style w:type="paragraph" w:styleId="Normal" w:default="1">
    <w:name w:val="Normal"/>
    <w:next w:val="Normal"/>
    <w:pPr>
      <w:spacing w:before="0" w:after="95" w:line="280" w:lineRule="auto"/>
    </w:pPr>
    <w:rPr/>
  </w:style>
  <w:style w:type="paragraph" w:styleId="Title">
    <w:name w:val="Title"/>
    <w:basedOn w:val="Normal"/>
    <w:next w:val="Normal"/>
    <w:pPr>
      <w:spacing w:before="0" w:after="145" w:line="280" w:lineRule="auto"/>
      <w:keepNext/>
      <w:keepLines/>
    </w:pPr>
    <w:rPr>
      <w:sz w:val="38"/>
      <w:szCs w:val="38"/>
      <w:b/>
      <w:color w:val="193B59"/>
    </w:rPr>
  </w:style>
  <w:style w:type="paragraph" w:styleId="Subtitle">
    <w:name w:val="Subtitle"/>
    <w:basedOn w:val="Normal"/>
    <w:next w:val="Normal"/>
    <w:pPr>
      <w:spacing w:before="0" w:after="190" w:line="280" w:lineRule="auto"/>
      <w:keepNext/>
      <w:keepLines/>
    </w:pPr>
    <w:rPr>
      <w:sz w:val="21"/>
      <w:szCs w:val="21"/>
      <w:color w:val="5C7083"/>
    </w:rPr>
  </w:style>
  <w:style w:type="paragraph" w:styleId="Heading1">
    <w:name w:val="Heading 1"/>
    <w:basedOn w:val="Normal"/>
    <w:next w:val="Normal"/>
    <w:pPr>
      <w:spacing w:before="0" w:after="155" w:line="280" w:lineRule="auto"/>
      <w:keepNext/>
      <w:keepLines/>
      <w:outlineLvl w:val="0"/>
    </w:pPr>
    <w:rPr>
      <w:sz w:val="31"/>
      <w:szCs w:val="31"/>
      <w:b/>
      <w:color w:val="193B59"/>
    </w:rPr>
  </w:style>
  <w:style w:type="paragraph" w:styleId="Heading2">
    <w:name w:val="Heading 2"/>
    <w:basedOn w:val="Normal"/>
    <w:next w:val="Normal"/>
    <w:pPr>
      <w:spacing w:before="110" w:after="70" w:line="280" w:lineRule="auto"/>
      <w:keepNext/>
      <w:keepLines/>
      <w:outlineLvl w:val="1"/>
    </w:pPr>
    <w:rPr>
      <w:sz w:val="24"/>
      <w:szCs w:val="24"/>
      <w:b/>
      <w:color w:val="215D87"/>
    </w:rPr>
  </w:style>
  <w:style w:type="paragraph" w:styleId="TableText">
    <w:name w:val="Table Text"/>
    <w:basedOn w:val="Normal"/>
    <w:next w:val="Normal"/>
    <w:pPr>
      <w:spacing w:before="0" w:after="0" w:line="260" w:lineRule="auto"/>
    </w:pPr>
    <w:rPr>
      <w:sz w:val="20"/>
      <w:szCs w:val="20"/>
    </w:rPr>
  </w:style>
  <w:style w:type="paragraph" w:styleId="Example">
    <w:name w:val="Example"/>
    <w:basedOn w:val="Normal"/>
    <w:next w:val="Normal"/>
    <w:pPr>
      <w:spacing w:before="25" w:after="100" w:line="280" w:lineRule="auto"/>
    </w:pPr>
    <w:rPr>
      <w:sz w:val="21"/>
      <w:szCs w:val="21"/>
      <w:color w:val="193B59"/>
    </w:rPr>
  </w:style>
  <w:style w:type="paragraph" w:styleId="Note">
    <w:name w:val="Note"/>
    <w:basedOn w:val="Normal"/>
    <w:next w:val="Normal"/>
    <w:pPr>
      <w:spacing w:before="50" w:after="70" w:line="260" w:lineRule="auto"/>
    </w:pPr>
    <w:rPr>
      <w:sz w:val="19"/>
      <w:szCs w:val="19"/>
      <w:color w:val="546373"/>
    </w:rPr>
  </w:style>
  <w:style w:type="paragraph" w:styleId="Spacer">
    <w:name w:val="Spacer"/>
    <w:basedOn w:val="Normal"/>
    <w:next w:val="Normal"/>
    <w:pPr>
      <w:spacing w:before="0" w:after="30" w:line="240" w:lineRule="auto"/>
    </w:pPr>
    <w:rPr>
      <w:sz w:val="2"/>
      <w:szCs w:val="2"/>
    </w:rPr>
  </w:style>
  <w:style w:type="paragraph" w:styleId="Header">
    <w:name w:val="Header"/>
    <w:basedOn w:val="Normal"/>
    <w:next w:val="Normal"/>
    <w:pPr>
      <w:spacing w:before="0" w:after="0" w:line="280" w:lineRule="auto"/>
    </w:pPr>
    <w:rPr>
      <w:sz w:val="17"/>
      <w:szCs w:val="17"/>
      <w:color w:val="5C7083"/>
    </w:rPr>
  </w:style>
  <w:style w:type="paragraph" w:styleId="Footer">
    <w:name w:val="Footer"/>
    <w:basedOn w:val="Normal"/>
    <w:next w:val="Normal"/>
    <w:pPr>
      <w:spacing w:before="0" w:after="0" w:line="280" w:lineRule="auto"/>
    </w:pPr>
    <w:rPr>
      <w:sz w:val="17"/>
      <w:szCs w:val="17"/>
      <w:color w:val="5C7083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9</ns0:Pages>
  <ns0:Company>TW</ns0:Company>
  <ns0:AppVersion>16.0000</ns0:AppVersion>
</ns0: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>AUW Facility 會計邏輯與確認表</dc:title>
  <dc:subject>AUW 保費帳務、收付款與會計確認清單</dc:subject>
  <dc:creator>TW Reinsurance Department</dc:creator>
  <ns0:lastModifiedBy>TW Reinsurance Department</ns0:lastModifiedBy>
  <dcterms:created xsi:type="dcterms:W3CDTF">2026-10-13T07:35:39Z</dcterms:created>
  <dcterms:modified xsi:type="dcterms:W3CDTF">2026-10-13T07:35:39Z</dcterms:modified>
</ns0:coreProperties>
</file>