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AUW Facility 專屬規則</w:t>
      </w:r>
    </w:p>
    <w:p>
      <w:pPr>
        <w:pStyle w:val="Subtitle"/>
      </w:pPr>
      <w:r>
        <w:t xml:space="preserve">版本日期：2026-10-14｜現行案件操作、日期與帳務規則</w:t>
      </w:r>
    </w:p>
    <w:p>
      <w:pPr>
        <w:pStyle w:val="Normal"/>
      </w:pPr>
      <w:r>
        <w:rPr>
          <w:b/>
        </w:rPr>
        <w:t xml:space="preserve">適用再保人：Lloyd's Underwriter Syndicate No. 0609 AUW (Facility)</w:t>
      </w:r>
    </w:p>
    <w:p>
      <w:pPr>
        <w:pStyle w:val="Normal"/>
      </w:pPr>
      <w:r>
        <w:t xml:space="preserve">本文簡稱「AUW」，亦即 Syndicate 609 AUW (Facility)。在系統建案時，請選取上方完整再保人名稱。只要 Schedule of Security／Placement 任一列選到 AUW，就啟用 AUW 編號、Howden 綁定、保費參數及付款日期規則。</w:t>
      </w:r>
    </w:p>
    <w:p>
      <w:pPr>
        <w:pStyle w:val="Normal"/>
      </w:pPr>
      <w:r>
        <w:t xml:space="preserve">本版依目前已上線的系統整理，取代原有 AUW 會計指南。涵蓋純 AUW 與混合案件，並附實際計算例子；只記錄現行行為。與 AUW 連動的 Facility 共通規則及人工銷帳，另在相關頁面標明。</w:t>
      </w:r>
    </w:p>
    <w:p>
      <w:pPr>
        <w:pStyle w:val="Heading2"/>
        <w:keepNext/>
      </w:pPr>
      <w:r>
        <w:t xml:space="preserve">1. TW Ref. (for AUW)：儲存 Draft 就必填</w:t>
      </w:r>
    </w:p>
    <w:p>
      <w:pPr>
        <w:pStyle w:val="Normal"/>
      </w:pPr>
      <w:r>
        <w:t xml:space="preserve">整個 Case 多一組手動 TW Ref. (for AUW)。即使有多列 AUW，也只填一組。含 AUW 的 Draft 未填妥這組編號就不能儲存；建立續保或批單前，同樣須先輸入新的 AUW Ref.。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600"/>
        <w:gridCol w:w="7300"/>
      </w:tblGrid>
      <w:tr>
        <w:trPr>
          <w:cantSplit/>
          <w:tblHeader/>
        </w:trPr>
        <w:tc>
          <w:tcPr>
            <w:tcW w:w="26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案件組成</w:t>
            </w:r>
          </w:p>
        </w:tc>
        <w:tc>
          <w:tcPr>
            <w:tcW w:w="7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Announce 後的編號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只有 AUW</w:t>
            </w:r>
          </w:p>
        </w:tc>
        <w:tc>
          <w:tcPr>
            <w:tcW w:w="7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手動 AUW Ref. 成為案件主 TW Ref.；不另生成自動編號，也不消耗自動流水號。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AUW＋其他再保人</w:t>
            </w:r>
          </w:p>
        </w:tc>
        <w:tc>
          <w:tcPr>
            <w:tcW w:w="7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保留系統自動主 TW Ref. 與手動 AUW Ref.；顯示順序為「自動編號 &amp; AUW 編號」。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Example"/>
      </w:pPr>
      <w:r>
        <w:t xml:space="preserve">純 AUW：TW26SM010001</w:t>
        <w:br/>
        <w:t xml:space="preserve">混合案件：TWPF2601001 &amp; TW26SM010001</w:t>
      </w:r>
    </w:p>
    <w:p>
      <w:pPr>
        <w:pStyle w:val="Heading2"/>
        <w:keepNext/>
      </w:pPr>
      <w:r>
        <w:t xml:space="preserve">編號檢查與鎖定</w:t>
      </w:r>
    </w:p>
    <w:p>
      <w:pPr>
        <w:pStyle w:val="Normal"/>
      </w:pPr>
      <w:r>
        <w:t xml:space="preserve">編號為單行文字，上限 160 個系統計數字元；沒有強制固定格式。與其他案件的主編號、AUW Ref. 或歷史編號重複時會阻擋，大小寫不同也視為重複；Draft、封存與 Draft Recycle 內案件都納入檢查。</w:t>
      </w:r>
    </w:p>
    <w:p>
      <w:pPr>
        <w:pStyle w:val="Normal"/>
      </w:pPr>
      <w:r>
        <w:t xml:space="preserve">純 AUW 主編號一旦 Announce，不能以一般編輯修改。純 AUW 批單保留批單序次及原單關聯，但主編號不另生成自動 -E 編號。</w:t>
      </w:r>
    </w:p>
    <w:p>
      <w:pPr>
        <w:pStyle w:val="Note"/>
      </w:pPr>
      <w:r>
        <w:t xml:space="preserve">本文編號與金額均為示例，不是實際案件或匯款指示。</w:t>
      </w:r>
    </w:p>
    <w:p>
      <w:pPr>
        <w:pStyle w:val="Heading1"/>
        <w:pageBreakBefore/>
      </w:pPr>
      <w:r>
        <w:t xml:space="preserve">2. Howden 綁定、Deductions 與 Tax</w:t>
      </w:r>
    </w:p>
    <w:p>
      <w:pPr>
        <w:pStyle w:val="Normal"/>
      </w:pPr>
      <w:r>
        <w:t xml:space="preserve">選取 AUW 時，Foreign RI Broker 自動帶入 Howden Specialty Limited 並鎖定。再保人仍為 AUW；相關會計收付款對象顯示 Howden。混合案件的其他再保人，依各自設定處理。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00"/>
        <w:gridCol w:w="4000"/>
        <w:gridCol w:w="3500"/>
      </w:tblGrid>
      <w:tr>
        <w:trPr>
          <w:cantSplit/>
          <w:tblHeader/>
        </w:trPr>
        <w:tc>
          <w:tcPr>
            <w:tcW w:w="24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欄位</w:t>
            </w:r>
          </w:p>
        </w:tc>
        <w:tc>
          <w:tcPr>
            <w:tcW w:w="4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帶入或計算</w:t>
            </w:r>
          </w:p>
        </w:tc>
        <w:tc>
          <w:tcPr>
            <w:tcW w:w="35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可否修改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Foreign RI Broker</w:t>
            </w:r>
          </w:p>
        </w:tc>
        <w:tc>
          <w:tcPr>
            <w:tcW w:w="4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Howden Specialty Limited</w:t>
            </w:r>
          </w:p>
        </w:tc>
        <w:tc>
          <w:tcPr>
            <w:tcW w:w="3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鎖定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Deductions</w:t>
            </w:r>
          </w:p>
        </w:tc>
        <w:tc>
          <w:tcPr>
            <w:tcW w:w="4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選取 AUW 時預設 10%</w:t>
            </w:r>
          </w:p>
        </w:tc>
        <w:tc>
          <w:tcPr>
            <w:tcW w:w="3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可修改，包含 0%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Tax</w:t>
            </w:r>
          </w:p>
        </w:tc>
        <w:tc>
          <w:tcPr>
            <w:tcW w:w="4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0%</w:t>
            </w:r>
          </w:p>
        </w:tc>
        <w:tc>
          <w:tcPr>
            <w:tcW w:w="3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鎖定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Payment Terms</w:t>
            </w:r>
          </w:p>
        </w:tc>
        <w:tc>
          <w:tcPr>
            <w:tcW w:w="4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基準月份月底＋120 天</w:t>
            </w:r>
          </w:p>
        </w:tc>
        <w:tc>
          <w:tcPr>
            <w:tcW w:w="3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月底及 120 天固定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Deductions 的 10% 是選取 AUW 時的預設值；儲存、重開及 Announce 保留手動修改值。重新選取 AUW 會再次帶入 10%。Reinsurer Premium 的保費金額仍由使用者輸入，不會由 10% 自動決定。</w:t>
      </w:r>
    </w:p>
    <w:p>
      <w:pPr>
        <w:pStyle w:val="Normal"/>
      </w:pPr>
      <w:r>
        <w:t xml:space="preserve">Tax 0% 只套用 AUW 再保人列；Cedant Tax 依案件設定，不會跟著變成 0%。本頁描述系統稅率設定。</w:t>
      </w:r>
    </w:p>
    <w:p>
      <w:pPr>
        <w:pStyle w:val="Heading2"/>
        <w:keepNext/>
      </w:pPr>
      <w:r>
        <w:t xml:space="preserve">AUW 淨應付例子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75"/>
        <w:gridCol w:w="2475"/>
        <w:gridCol w:w="2475"/>
        <w:gridCol w:w="2475"/>
      </w:tblGrid>
      <w:tr>
        <w:trPr>
          <w:cantSplit/>
          <w:tblHeader/>
        </w:trPr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RI Premium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承接比例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Deductions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淨應付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10,000.00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10%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9,000.00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10,000.00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12.5%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8,750.00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10,000.00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0%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10,000.00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10,000.00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50%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10%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4,500.00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在 Draft 將 AUW 改成其他再保人</w:t>
      </w:r>
    </w:p>
    <w:p>
      <w:pPr>
        <w:pStyle w:val="Normal"/>
      </w:pPr>
      <w:r>
        <w:t xml:space="preserve">該列 Howden 解除鎖定並清空；Deductions、Tax、再保人付款天數及各期再保人付款天數覆寫也清空。Tax 與付款天數解除鎖定，由使用者重新填寫；不自動還原一般預設值。</w:t>
      </w:r>
    </w:p>
    <w:p>
      <w:pPr>
        <w:pStyle w:val="Normal"/>
      </w:pPr>
      <w:r>
        <w:t xml:space="preserve">其他列仍含 AUW 時，AUW Ref. 仍必填。移除最後一列 AUW 後，依剩餘再保人的編號規則處理。Announce 後的再保人及付款條件受案件鎖定規則限制，不能當作 Draft 任意改換。</w:t>
      </w:r>
    </w:p>
    <w:p>
      <w:pPr>
        <w:pStyle w:val="Heading1"/>
        <w:pageBreakBefore/>
      </w:pPr>
      <w:r>
        <w:t xml:space="preserve">3. 原保單／續保的付款與收款日期</w:t>
      </w:r>
    </w:p>
    <w:p>
      <w:pPr>
        <w:pStyle w:val="Example"/>
      </w:pPr>
      <w:r>
        <w:t xml:space="preserve">AUW 實際到期＝適用基準日所在月份月底＋120 個日曆天</w:t>
        <w:br/>
        <w:t xml:space="preserve">AUW 會計顯示＝實際到期－10 個日曆天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800"/>
        <w:gridCol w:w="7100"/>
      </w:tblGrid>
      <w:tr>
        <w:trPr>
          <w:cantSplit/>
          <w:tblHeader/>
        </w:trPr>
        <w:tc>
          <w:tcPr>
            <w:tcW w:w="28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情境</w:t>
            </w:r>
          </w:p>
        </w:tc>
        <w:tc>
          <w:tcPr>
            <w:tcW w:w="71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使用的基準日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原保單／續保單期</w:t>
            </w:r>
          </w:p>
        </w:tc>
        <w:tc>
          <w:tcPr>
            <w:tcW w:w="7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Policy Effective Date／保單生效日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原保單／續保分期</w:t>
            </w:r>
          </w:p>
        </w:tc>
        <w:tc>
          <w:tcPr>
            <w:tcW w:w="7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各期 Payment base date／付款基準日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批單</w:t>
            </w:r>
          </w:p>
        </w:tc>
        <w:tc>
          <w:tcPr>
            <w:tcW w:w="7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實際 Announce 台灣日期與批單生效日，取較晚者；詳見下一頁。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同一月份的 AUW，到期相同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75"/>
        <w:gridCol w:w="2475"/>
        <w:gridCol w:w="2475"/>
        <w:gridCol w:w="2475"/>
      </w:tblGrid>
      <w:tr>
        <w:trPr>
          <w:cantSplit/>
          <w:tblHeader/>
        </w:trPr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當月月底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實際到期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會計顯示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2026-01-01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2026-05-31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2026-05-21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2026-05-31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2026-05-21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2026-02-10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2026-02-28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2026-06-28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2026-06-18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2026-10-14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2026-10-31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2027-02-28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2027-02-18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2028-02-10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2028-02-29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2028-06-28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2028-06-18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Cedant 獨立計算，不跟著 AUW 變成 120 天</w:t>
      </w:r>
    </w:p>
    <w:p>
      <w:pPr>
        <w:pStyle w:val="Normal"/>
      </w:pPr>
      <w:r>
        <w:t xml:space="preserve">新原保單 Cedant 收款天數預設 90 天、可修改；既有已填天數保留。實際收款期限為適用基準日＋Cedant 天數，會計顯示再提前 15 天。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475"/>
        <w:gridCol w:w="2475"/>
        <w:gridCol w:w="2475"/>
        <w:gridCol w:w="2475"/>
      </w:tblGrid>
      <w:tr>
        <w:trPr>
          <w:cantSplit/>
          <w:tblHeader/>
        </w:trPr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保單生效日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Cedant 天數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實際收款期限</w:t>
            </w:r>
          </w:p>
        </w:tc>
        <w:tc>
          <w:tcPr>
            <w:tcW w:w="2475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會計顯示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2026-01-01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90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2026-04-01</w:t>
            </w:r>
          </w:p>
        </w:tc>
        <w:tc>
          <w:tcPr>
            <w:tcW w:w="2475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2026-03-17</w:t>
            </w:r>
          </w:p>
        </w:tc>
      </w:tr>
      <w:tr>
        <w:trPr>
          <w:cantSplit/>
        </w:trPr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90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2026-05-01</w:t>
            </w:r>
          </w:p>
        </w:tc>
        <w:tc>
          <w:tcPr>
            <w:tcW w:w="2475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2026-04-16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120 天與提前 10／15 天均按日曆天計算，週末及假日不順延；月底依實際曆法處理，包含閏年。Cedant 實際到帳日期不會重新起算 AUW 的 120 天。</w:t>
      </w:r>
    </w:p>
    <w:p>
      <w:pPr>
        <w:pStyle w:val="Note"/>
      </w:pPr>
      <w:r>
        <w:t xml:space="preserve">Accounting 的 Due date 是提前顯示日，AUW due 是實際到期日。一般 AUW 未清款的 Overdue 依提前顯示日、台灣時間 12:00 判斷，可能早於 AUW 實際到期。</w:t>
      </w:r>
    </w:p>
    <w:p>
      <w:pPr>
        <w:pStyle w:val="Heading1"/>
        <w:pageBreakBefore/>
      </w:pPr>
      <w:r>
        <w:t xml:space="preserve">4. 批單：較晚日期、原單天數與退保費</w:t>
      </w:r>
    </w:p>
    <w:p>
      <w:pPr>
        <w:pStyle w:val="Normal"/>
      </w:pPr>
      <w:r>
        <w:t xml:space="preserve">批單基準日＝實際成功 Announce 的台灣日期與批單生效日，取較晚者。Draft 建立日不作為 Announce 日期；尚未 Announce 時，不用今天日期代替。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500"/>
        <w:gridCol w:w="7400"/>
      </w:tblGrid>
      <w:tr>
        <w:trPr>
          <w:cantSplit/>
          <w:tblHeader/>
        </w:trPr>
        <w:tc>
          <w:tcPr>
            <w:tcW w:w="25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74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批單規則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AUW／Howden</w:t>
            </w:r>
          </w:p>
        </w:tc>
        <w:tc>
          <w:tcPr>
            <w:tcW w:w="7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較晚基準日所在月份月底＋120 天；會計提前 10 天。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Cedant</w:t>
            </w:r>
          </w:p>
        </w:tc>
        <w:tc>
          <w:tcPr>
            <w:tcW w:w="7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繼承原始保單的收款天數並鎖定；較晚基準日＋天數；會計提前 15 天。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分期</w:t>
            </w:r>
          </w:p>
        </w:tc>
        <w:tc>
          <w:tcPr>
            <w:tcW w:w="74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批單單期，不允許分期；原單有分期，批單仍單期。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Ref.</w:t>
            </w:r>
          </w:p>
        </w:tc>
        <w:tc>
          <w:tcPr>
            <w:tcW w:w="74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建立批單 Draft 前須輸入新編號，不沿用來源案件編號。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繼承的是「收款天數」，不是原單到期日，也不是中間批單的天數。原單 90 天，批單也是 90 天；原單 120 天，批單也是 120 天。</w:t>
      </w:r>
    </w:p>
    <w:p>
      <w:pPr>
        <w:pStyle w:val="Heading2"/>
        <w:keepNext/>
      </w:pPr>
      <w:r>
        <w:t xml:space="preserve">例：原單 Cedant 120 天；批單 2026-10-14 Announce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日期項目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未來生效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回溯生效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批單生效日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2026-10-30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2026-09-15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較晚基準日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2026-10-30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2026-10-14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實際期限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2027-02-27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2027-02-11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Cedant 會計顯示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2027-02-12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2027-01-27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AUW 實際到期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2027-02-28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2027-02-28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會計顯示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2027-02-18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2027-02-18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退保費的現金方向反轉</w:t>
      </w:r>
    </w:p>
    <w:p>
      <w:pPr>
        <w:pStyle w:val="Normal"/>
      </w:pPr>
      <w:r>
        <w:t xml:space="preserve">退保費保留負的交易金額。若 T1＝－10,680、T2＝－9,000、T3＝－1,680，T1 為退給 Cedant 的應付，T2 為向 Howden／AUW 收回的應收，T3 為負的保留經紀收入。</w:t>
      </w:r>
    </w:p>
    <w:p>
      <w:pPr>
        <w:pStyle w:val="Normal"/>
      </w:pPr>
      <w:r>
        <w:t xml:space="preserve">Record payment 仍輸入正的金額大小，系統依交易符號處理收付方向；負數不代表已退款或已收回。AUW 的月底＋120 天、Tax 0% 及新 Ref. 規則仍適用。</w:t>
      </w:r>
    </w:p>
    <w:p>
      <w:pPr>
        <w:pStyle w:val="Heading1"/>
        <w:pageBreakBefore/>
      </w:pPr>
      <w:r>
        <w:t xml:space="preserve">5. 分期、續保與交易編號</w:t>
      </w:r>
    </w:p>
    <w:p>
      <w:pPr>
        <w:pStyle w:val="Normal"/>
      </w:pPr>
      <w:r>
        <w:t xml:space="preserve">原保單及續保可分期；批單不分期。各期按填寫的保費或比例作為權重分配 T1、T2；各期 T3＝該期 T1－T2。保費排程分配到分的尾差放在最後一期，保留全案總額。</w:t>
      </w:r>
    </w:p>
    <w:p>
      <w:pPr>
        <w:pStyle w:val="Heading2"/>
        <w:keepNext/>
      </w:pPr>
      <w:r>
        <w:t xml:space="preserve">例：30%／70% 兩期，Cedant 90 天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第一期 30%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第二期 70%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付款基準日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2026-01-15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2026-04-15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T1 淨應收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3,204.00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7,476.00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T2 AUW 淨應付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2,700.00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6,300.00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T3 保留經紀收入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504.00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1,176.00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實際期限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2026-04-15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2026-07-14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Cedant 會計顯示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2026-03-31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2026-06-29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AUW 實際到期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2026-05-31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2026-08-28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會計顯示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2026-05-21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2026-08-18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本例合計 T1 10,680、T2 9,000、T3 1,680。每期 AUW 到期日使用該期基準月份，不全部使用保單生效月份。AUW 的 120 天固定，各期再保人付款天數覆寫不能改變此規則。</w:t>
      </w:r>
    </w:p>
    <w:p>
      <w:pPr>
        <w:pStyle w:val="Heading2"/>
        <w:keepNext/>
      </w:pPr>
      <w:r>
        <w:t xml:space="preserve">續保與批單都使用新的 AUW Ref.</w:t>
      </w:r>
    </w:p>
    <w:p>
      <w:pPr>
        <w:pStyle w:val="Normal"/>
      </w:pPr>
      <w:r>
        <w:t xml:space="preserve">建立續保或批單時，先輸入新的 AUW Ref.；填妥且未重複才建立 Draft，取消則不建立。純 AUW 子案件以新的手動編號為主編號；混合子案件保留自動與 AUW 兩組編號。續保須核對新年度日期、保費、沿用的 Deductions 及分期安排。</w:t>
      </w:r>
    </w:p>
    <w:p>
      <w:pPr>
        <w:pStyle w:val="Heading2"/>
        <w:keepNext/>
      </w:pPr>
      <w:r>
        <w:t xml:space="preserve">SoA 交易辨識</w:t>
      </w:r>
    </w:p>
    <w:p>
      <w:pPr>
        <w:pStyle w:val="Normal"/>
      </w:pPr>
      <w:r>
        <w:t xml:space="preserve">交易編號使用案件主 TW Ref.。純 AUW 例：TW26SM010001-R1-T1／T2／T3；分期再加 -I1、-I2。混合案件使用自動主 TW Ref. 作為前綴，手動 AUW Ref. 不取代交易主編號。</w:t>
      </w:r>
    </w:p>
    <w:p>
      <w:pPr>
        <w:pStyle w:val="Note"/>
      </w:pPr>
      <w:r>
        <w:t xml:space="preserve">若使用兩方 Performance Split，交易會有 a／b 分拆；兩方合計 100% 時，第二方承接尾差，維持各 Leg 總額。</w:t>
      </w:r>
    </w:p>
    <w:p>
      <w:pPr>
        <w:pStyle w:val="Heading1"/>
        <w:pageBreakBefore/>
      </w:pPr>
      <w:r>
        <w:t xml:space="preserve">6. Facility 資料模式與文件檢核</w:t>
      </w:r>
    </w:p>
    <w:p>
      <w:pPr>
        <w:pStyle w:val="Heading2"/>
        <w:keepNext/>
      </w:pPr>
      <w:r>
        <w:t xml:space="preserve">純 AUW 會同時啟用全 Facility 資料模式</w:t>
      </w:r>
    </w:p>
    <w:p>
      <w:pPr>
        <w:pStyle w:val="Normal"/>
      </w:pPr>
      <w:r>
        <w:t xml:space="preserve">這是 Facility 共通規則：全部已選再保人名稱都以 (Facility) 結尾時，Sum Insured 以 Items 彙總，不按 Location 分組。純 AUW 一定符合；AUW 與其他 Facility 混合，也可能符合。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900"/>
        <w:gridCol w:w="7000"/>
      </w:tblGrid>
      <w:tr>
        <w:trPr>
          <w:cantSplit/>
          <w:tblHeader/>
        </w:trPr>
        <w:tc>
          <w:tcPr>
            <w:tcW w:w="2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案件組成或變更</w:t>
            </w:r>
          </w:p>
        </w:tc>
        <w:tc>
          <w:tcPr>
            <w:tcW w:w="7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目前處理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全為 Facility</w:t>
            </w:r>
          </w:p>
        </w:tc>
        <w:tc>
          <w:tcPr>
            <w:tcW w:w="7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Interest insured 名稱在 Facility Items 內不可重複；不逐一要求保額指派 Location。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一般模式改為全 Facility</w:t>
            </w:r>
          </w:p>
        </w:tc>
        <w:tc>
          <w:tcPr>
            <w:tcW w:w="7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同名保額項目合併為 Facility 總額；金額未完整時不視為零。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加入非 Facility 再保人</w:t>
            </w:r>
          </w:p>
        </w:tc>
        <w:tc>
          <w:tcPr>
            <w:tcW w:w="7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保額改按 Location 分組；保留有效指派，未指派項目須補 Location，每個 Location 至少有一筆保額。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案件自訂條款</w:t>
            </w:r>
          </w:p>
        </w:tc>
        <w:tc>
          <w:tcPr>
            <w:tcW w:w="7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全 Facility 不開放新增 Case-specific clauses；Universal、Class 及適用的再保人 Fixed Clauses 仍會帶入。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AUW 不免除 Announce 文件要求</w:t>
      </w:r>
    </w:p>
    <w:p>
      <w:pPr>
        <w:pStyle w:val="Normal"/>
      </w:pPr>
      <w:r>
        <w:t xml:space="preserve">純 AUW 與混合案件都保留完整文件檢核。Announce 前須選取 Offer Slip，以及 Reinsurer Signed Slip 或 Reinsurer Confirmation E-mail；確認證據合計須涵蓋所有再保人，包含 AUW。</w:t>
      </w:r>
    </w:p>
    <w:p>
      <w:pPr>
        <w:pStyle w:val="Normal"/>
      </w:pPr>
      <w:r>
        <w:t xml:space="preserve">在 Overview 上傳及選取文件，完成 Announce 檢視確認。只有手動 AUW Ref.，不能代替文件證據。更換所選證據或相關內容後，依畫面要求重新確認。</w:t>
      </w:r>
    </w:p>
    <w:p>
      <w:pPr>
        <w:pStyle w:val="Heading2"/>
        <w:keepNext/>
      </w:pPr>
      <w:r>
        <w:t xml:space="preserve">Confirmation E-mail 不代替 Signed Slip 追蹤</w:t>
      </w:r>
    </w:p>
    <w:p>
      <w:pPr>
        <w:pStyle w:val="Normal"/>
      </w:pPr>
      <w:r>
        <w:t xml:space="preserve">Confirmation E-mail 可以滿足 Announce 的確認證據；Signed Slip 追蹤仍須實際 Signed Slip 才完成。Announced／Confirmed 案件生效滿 60 天仍缺 Signed Slip 時，進入提醒判斷，週期為 7 天。提醒狀態與是否實際寄信，依系統寄信設定分開處理。</w:t>
      </w:r>
    </w:p>
    <w:p>
      <w:pPr>
        <w:pStyle w:val="Note"/>
      </w:pPr>
      <w:r>
        <w:t xml:space="preserve">若混合案件另含 Swiss Facility Property，Cedant 與部分退費控制還會受 Swiss 規則影響；AUW 列的月底＋120 天仍保留。本文件未將 Swiss 季結算規則當作 AUW 規則。</w:t>
      </w:r>
    </w:p>
    <w:p>
      <w:pPr>
        <w:pStyle w:val="Heading1"/>
        <w:pageBreakBefore/>
      </w:pPr>
      <w:r>
        <w:t xml:space="preserve">7. AUW 上帳與 T1／T2／T3 計算</w:t>
      </w:r>
    </w:p>
    <w:p>
      <w:pPr>
        <w:pStyle w:val="Normal"/>
      </w:pPr>
      <w:r>
        <w:t xml:space="preserve">Announce 確定案件及主編號，不代表正式保費交易已產生。Production 關帳時，單期案件完成全部相關確認後產生 T1／T2／T3；分期案件則每期完成相關確認後產生該期交易。</w:t>
      </w:r>
    </w:p>
    <w:p>
      <w:pPr>
        <w:pStyle w:val="Normal"/>
      </w:pPr>
      <w:r>
        <w:t xml:space="preserve">SoA／Accounting 顯示已產生的交易。分期尚有未確認期別時，案件仍可能是 Announced；已產生期別可以處理。案件 Confirmed 是 Production 全部確認，不等於現金結清。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00"/>
        <w:gridCol w:w="6600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交易</w:t>
            </w:r>
          </w:p>
        </w:tc>
        <w:tc>
          <w:tcPr>
            <w:tcW w:w="66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按每個再保人承接比例計算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T1：Cedant 淨應收</w:t>
            </w:r>
          </w:p>
        </w:tc>
        <w:tc>
          <w:tcPr>
            <w:tcW w:w="6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分配保費－Ceding Commission－Cedant Tax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T2：Howden／AUW 淨應付</w:t>
            </w:r>
          </w:p>
        </w:tc>
        <w:tc>
          <w:tcPr>
            <w:tcW w:w="66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AUW 分配保費－Deductions；AUW Tax＝0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T3：保留經紀收入</w:t>
            </w:r>
          </w:p>
        </w:tc>
        <w:tc>
          <w:tcPr>
            <w:tcW w:w="6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T1－T2；不另外記一筆銀行匯款。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完整金額例子：同幣別、承接比例 100%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Cedant</w:t>
            </w:r>
          </w:p>
        </w:tc>
        <w:tc>
          <w:tcPr>
            <w:tcW w:w="3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保費輸入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12,000.00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10,000.00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佣金／Deductions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10%＝1,200.00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10%＝1,000.00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Tax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1%＝120.00</w:t>
            </w:r>
          </w:p>
        </w:tc>
        <w:tc>
          <w:tcPr>
            <w:tcW w:w="3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0%＝0.00</w:t>
            </w:r>
          </w:p>
        </w:tc>
      </w:tr>
      <w:tr>
        <w:trPr>
          <w:cantSplit/>
        </w:trPr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淨額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T1＝10,680.00</w:t>
            </w:r>
          </w:p>
        </w:tc>
        <w:tc>
          <w:tcPr>
            <w:tcW w:w="3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T2＝9,000.00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Example"/>
      </w:pPr>
      <w:r>
        <w:t xml:space="preserve">T3＝10,680－9,000＝1,680。AUW Deductions 的 1,000 不等於本案最終保留收入。金額各步計算到小數點後兩位。</w:t>
      </w:r>
    </w:p>
    <w:p>
      <w:pPr>
        <w:pStyle w:val="Heading2"/>
        <w:keepNext/>
      </w:pPr>
      <w:r>
        <w:t xml:space="preserve">上帳月份、到期日與銀行日分開保存</w:t>
      </w:r>
    </w:p>
    <w:p>
      <w:pPr>
        <w:pStyle w:val="Normal"/>
      </w:pPr>
      <w:r>
        <w:t xml:space="preserve">Production 上帳月份不改寫 AUW 月底＋120 天公式。Production 使用上帳月份正式匯率換算台幣，TWD 為 1；缺少必要匯率不能產生報表。Finance Manager 或 System Administrator 可產生及關帳，關帳後月份與使用的匯率鎖定。</w:t>
      </w:r>
    </w:p>
    <w:p>
      <w:pPr>
        <w:pStyle w:val="Normal"/>
      </w:pPr>
      <w:r>
        <w:t xml:space="preserve">新 Announce 的來源月份已關帳時，依系統流程遞延至後續開放月份。SoA 交易與付款分配仍按案件原幣；銀行換匯、匯差與手續費須與公司會計資料核對。</w:t>
      </w:r>
    </w:p>
    <w:p>
      <w:pPr>
        <w:pStyle w:val="Heading1"/>
        <w:pageBreakBefore/>
      </w:pPr>
      <w:r>
        <w:t xml:space="preserve">8. 收付款、對帳與人工銷帳</w:t>
      </w:r>
    </w:p>
    <w:p>
      <w:pPr>
        <w:pStyle w:val="Normal"/>
      </w:pPr>
      <w:r>
        <w:t xml:space="preserve">目前 AUW 收款及付款可分次登錄。Record payment 更新 Paid 與 Outstanding；餘額歸零後仍顯示 Awaiting confirmation，會計按 Confirm settlement 才變成 Settled。人工銷帳目前是全系統共通規則，包含 AUW 與同案其他再保人。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200"/>
        <w:gridCol w:w="6700"/>
      </w:tblGrid>
      <w:tr>
        <w:trPr>
          <w:cantSplit/>
          <w:tblHeader/>
        </w:trPr>
        <w:tc>
          <w:tcPr>
            <w:tcW w:w="32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操作階段</w:t>
            </w:r>
          </w:p>
        </w:tc>
        <w:tc>
          <w:tcPr>
            <w:tcW w:w="67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本例結果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Cedant 收入 10,680</w:t>
            </w:r>
          </w:p>
        </w:tc>
        <w:tc>
          <w:tcPr>
            <w:tcW w:w="6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T1 Outstanding＝0；待人工確認。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會計確認 T1</w:t>
            </w:r>
          </w:p>
        </w:tc>
        <w:tc>
          <w:tcPr>
            <w:tcW w:w="6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T1＝Settled。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Howden 先付 4,000</w:t>
            </w:r>
          </w:p>
        </w:tc>
        <w:tc>
          <w:tcPr>
            <w:tcW w:w="6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T2 Paid＝4,000；Outstanding＝5,000；Partial。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再付 Howden 5,000</w:t>
            </w:r>
          </w:p>
        </w:tc>
        <w:tc>
          <w:tcPr>
            <w:tcW w:w="6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T2 Outstanding＝0；待人工確認。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會計確認 T2</w:t>
            </w:r>
          </w:p>
        </w:tc>
        <w:tc>
          <w:tcPr>
            <w:tcW w:w="6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T2＝Settled；T3 開放確認，仍未自動銷帳。</w:t>
            </w:r>
          </w:p>
        </w:tc>
      </w:tr>
      <w:tr>
        <w:trPr>
          <w:cantSplit/>
        </w:trPr>
        <w:tc>
          <w:tcPr>
            <w:tcW w:w="32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會計另確認 T3</w:t>
            </w:r>
          </w:p>
        </w:tc>
        <w:tc>
          <w:tcPr>
            <w:tcW w:w="6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T3＝Settled；不新增銀行匯款。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對帳資料與操作權限</w:t>
      </w:r>
    </w:p>
    <w:p>
      <w:pPr>
        <w:pStyle w:val="Normal"/>
      </w:pPr>
      <w:r>
        <w:t xml:space="preserve">核對主 TW Ref.、AUW Ref.、Cedant Statement No.、再保人 Settlement Ref.、銀行 Reference、幣別、淨額與日期。Settlement Ref. 與 TW Ref. (for AUW) 是不同欄位，手動 AUW Ref. 不會自動帶入 Settlement Ref.。</w:t>
      </w:r>
    </w:p>
    <w:p>
      <w:pPr>
        <w:pStyle w:val="Normal"/>
      </w:pPr>
      <w:r>
        <w:t xml:space="preserve">Finance Staff、Finance Manager、System Administrator 可登錄、沖銷及確認；可由同一人登錄與確認。確認須填對帳參考或原因，保存實際操作時間、操作者與歷史，不因讀取帳款而自動建立確認。</w:t>
      </w:r>
    </w:p>
    <w:p>
      <w:pPr>
        <w:pStyle w:val="Heading2"/>
        <w:keepNext/>
      </w:pPr>
      <w:r>
        <w:t xml:space="preserve">合併匯款</w:t>
      </w:r>
    </w:p>
    <w:p>
      <w:pPr>
        <w:pStyle w:val="Normal"/>
      </w:pPr>
      <w:r>
        <w:t xml:space="preserve">可跨案件及到期日合併，但須同幣別、同收付方向、同收付款對象。每筆分配大於 0 且不超過未清金額，分配合計須等於匯款總額。例：同為 USD／Howden，A 未清 9,000、B 未清 6,000，登錄 13,000，分配 A 9,000、B 4,000；A 待確認，B 尚餘 2,000。</w:t>
      </w:r>
    </w:p>
    <w:p>
      <w:pPr>
        <w:pStyle w:val="Normal"/>
      </w:pPr>
      <w:r>
        <w:t xml:space="preserve">一般 AUW 的付款登錄不以 Cedant 已人工銷帳作為前置阻擋；AUW 合約到期仍固定。保費付款與退費收回按各自方向登錄，不在同筆匯款內相抵。</w:t>
      </w:r>
    </w:p>
    <w:p>
      <w:pPr>
        <w:pStyle w:val="Note"/>
      </w:pPr>
      <w:r>
        <w:t xml:space="preserve">T3 是保留收入；其畫面的 Paid／Outstanding 反映銷帳狀態，不是一筆另外匯給經紀人的銀行款項。</w:t>
      </w:r>
    </w:p>
    <w:p>
      <w:pPr>
        <w:pStyle w:val="Heading1"/>
        <w:pageBreakBefore/>
      </w:pPr>
      <w:r>
        <w:t xml:space="preserve">9. 取消銷帳、收付款沖銷與 Case Reverse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000"/>
        <w:gridCol w:w="6900"/>
      </w:tblGrid>
      <w:tr>
        <w:trPr>
          <w:cantSplit/>
          <w:tblHeader/>
        </w:trPr>
        <w:tc>
          <w:tcPr>
            <w:tcW w:w="3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操作</w:t>
            </w:r>
          </w:p>
        </w:tc>
        <w:tc>
          <w:tcPr>
            <w:tcW w:w="6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現行效果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Cancel settlement</w:t>
            </w:r>
          </w:p>
        </w:tc>
        <w:tc>
          <w:tcPr>
            <w:tcW w:w="6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取消人工銷帳確認；保留原收付款金額及紀錄，餘額不因取消確認改變。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Reverse remittance</w:t>
            </w:r>
          </w:p>
        </w:tc>
        <w:tc>
          <w:tcPr>
            <w:tcW w:w="6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保留原收付款紀錄，追加 Reversal；重新計算 Paid、Outstanding 與確認狀態。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Case Reverse</w:t>
            </w:r>
          </w:p>
        </w:tc>
        <w:tc>
          <w:tcPr>
            <w:tcW w:w="6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更正案件及上帳分錄；不是銀行退款，也不是保費與退費抵銷。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已付 9,000 並銷帳：兩種操作的差別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000"/>
        <w:gridCol w:w="2000"/>
        <w:gridCol w:w="2000"/>
        <w:gridCol w:w="2900"/>
      </w:tblGrid>
      <w:tr>
        <w:trPr>
          <w:cantSplit/>
          <w:tblHeader/>
        </w:trPr>
        <w:tc>
          <w:tcPr>
            <w:tcW w:w="3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操作</w:t>
            </w:r>
          </w:p>
        </w:tc>
        <w:tc>
          <w:tcPr>
            <w:tcW w:w="2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Paid</w:t>
            </w:r>
          </w:p>
        </w:tc>
        <w:tc>
          <w:tcPr>
            <w:tcW w:w="2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Outstanding</w:t>
            </w:r>
          </w:p>
        </w:tc>
        <w:tc>
          <w:tcPr>
            <w:tcW w:w="2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結果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取消銷帳確認</w:t>
            </w:r>
          </w:p>
        </w:tc>
        <w:tc>
          <w:tcPr>
            <w:tcW w:w="2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9,000</w:t>
            </w:r>
          </w:p>
        </w:tc>
        <w:tc>
          <w:tcPr>
            <w:tcW w:w="2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回到 Awaiting confirmation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沖銷原付款</w:t>
            </w:r>
          </w:p>
        </w:tc>
        <w:tc>
          <w:tcPr>
            <w:tcW w:w="2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9,000</w:t>
            </w:r>
          </w:p>
        </w:tc>
        <w:tc>
          <w:tcPr>
            <w:tcW w:w="2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付款恢復未清，須重新處理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rmal"/>
      </w:pPr>
      <w:r>
        <w:t xml:space="preserve">合併匯款必須整筆沖銷，包含全部案件及分配；不能只沖其中一筆，也不能重複沖銷。原款項仍留在歷史，不直接刪除。舊的單筆排程款項按完整原紀錄沖銷。</w:t>
      </w:r>
    </w:p>
    <w:p>
      <w:pPr>
        <w:pStyle w:val="Heading2"/>
        <w:keepNext/>
      </w:pPr>
      <w:r>
        <w:t xml:space="preserve">Case Reverse 的上帳更正流程</w:t>
      </w:r>
    </w:p>
    <w:p>
      <w:pPr>
        <w:pStyle w:val="Normal"/>
      </w:pPr>
      <w:r>
        <w:t xml:space="preserve">只有 Confirmed 案件可做 Case Reverse。系統標記舊交易為 Reversed，保留原收付款及案件歷史；按 Reverse 當下不立即追加反向分錄。</w:t>
      </w:r>
    </w:p>
    <w:p>
      <w:pPr>
        <w:pStyle w:val="Normal"/>
      </w:pPr>
      <w:r>
        <w:t xml:space="preserve">確認更正並儲存後，案件回到 Announced。後續符合 Production 關帳條件時，追加 -RVS 的反向分錄及 -C 的新交易，舊交易保留。歷史交易及反向分錄不能再分配新款。</w:t>
      </w:r>
    </w:p>
    <w:p>
      <w:pPr>
        <w:pStyle w:val="Normal"/>
      </w:pPr>
      <w:r>
        <w:t xml:space="preserve">原收付款會依排程帶入新交易的餘額計算；若更正後應付減少，例如已付 9,000 改為應付 8,100，原付款歷史仍為 9,000，新交易的 Paid 不超過 8,100。多付 900 須另行對帳處理，不能只看新交易餘額。</w:t>
      </w:r>
    </w:p>
    <w:p>
      <w:pPr>
        <w:pStyle w:val="Normal"/>
      </w:pPr>
      <w:r>
        <w:t xml:space="preserve">相關收付款紀錄或金額改變，原銷帳確認會失效；T1／T2 確認失效，也使對應 T3 確認失效。重新核對後再人工確認，舊確認歷史保留。</w:t>
      </w:r>
    </w:p>
    <w:p>
      <w:pPr>
        <w:pStyle w:val="Note"/>
      </w:pPr>
      <w:r>
        <w:t xml:space="preserve">已關帳月份不能直接重開或重產報表。Case Reverse 不保證自動完成跨月更正；須核對可上帳月份及實際更正分錄。</w:t>
      </w:r>
    </w:p>
    <w:p>
      <w:pPr>
        <w:pStyle w:val="Heading1"/>
        <w:pageBreakBefore/>
      </w:pPr>
      <w:r>
        <w:t xml:space="preserve">10. AUW 操作與對帳檢查表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600"/>
        <w:gridCol w:w="7300"/>
      </w:tblGrid>
      <w:tr>
        <w:trPr>
          <w:cantSplit/>
          <w:tblHeader/>
        </w:trPr>
        <w:tc>
          <w:tcPr>
            <w:tcW w:w="26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階段</w:t>
            </w:r>
          </w:p>
        </w:tc>
        <w:tc>
          <w:tcPr>
            <w:tcW w:w="73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逐項核對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建立 Draft</w:t>
            </w:r>
          </w:p>
        </w:tc>
        <w:tc>
          <w:tcPr>
            <w:tcW w:w="7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選取完整 AUW 名稱；Howden 已帶入；填新 AUW Ref.；核對 Deductions、保費、Tax 0% 及日期。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純 AUW／混合</w:t>
            </w:r>
          </w:p>
        </w:tc>
        <w:tc>
          <w:tcPr>
            <w:tcW w:w="7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純 AUW 主編號只用手動 Ref.；混合案件自動 Ref. 在前。全 Facility 保額與條款模式另依組成判斷。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續保／批單</w:t>
            </w:r>
          </w:p>
        </w:tc>
        <w:tc>
          <w:tcPr>
            <w:tcW w:w="7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使用新 Ref.；續保核對新年度保費與分期；批單原單天數鎖定、不分期、Announce 與生效日取較晚者。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Announce 前</w:t>
            </w:r>
          </w:p>
        </w:tc>
        <w:tc>
          <w:tcPr>
            <w:tcW w:w="7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已選 Offer Slip；Signed Slip 或 Confirmation E-mail 覆蓋所有再保人，包含 AUW；完成檢視確認。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Production／SoA</w:t>
            </w:r>
          </w:p>
        </w:tc>
        <w:tc>
          <w:tcPr>
            <w:tcW w:w="7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核對關帳月份、匯率、已產生期別、T1／T2／T3 原幣淨額及交易編號。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收付款</w:t>
            </w:r>
          </w:p>
        </w:tc>
        <w:tc>
          <w:tcPr>
            <w:tcW w:w="7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核對 Howden／Cedant、原幣金額、實際日期、銀行 Reference；合併分配總額一致。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銷帳</w:t>
            </w:r>
          </w:p>
        </w:tc>
        <w:tc>
          <w:tcPr>
            <w:tcW w:w="73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T1／T2 餘額零後逐筆人工確認；兩者銷帳後另確認 T3；填參考或原因並核對歷史。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更正或沖銷</w:t>
            </w:r>
          </w:p>
        </w:tc>
        <w:tc>
          <w:tcPr>
            <w:tcW w:w="73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區分取消確認、付款沖銷及 Case Reverse；整筆匯款一起處理；核對原現金、多付差額與新分錄。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重要日期與狀態速查</w:t>
      </w:r>
    </w:p>
    <w:p>
      <w:pPr>
        <w:pStyle w:val="Example"/>
      </w:pPr>
      <w:r>
        <w:t xml:space="preserve">AUW：基準月份月底＋120 天；會計提前 10 天。</w:t>
        <w:br/>
        <w:t xml:space="preserve">Cedant：適用基準日＋自身天數；會計提前 15 天。</w:t>
        <w:br/>
        <w:t xml:space="preserve">批單：Announce 台灣日期與批單生效日取較晚；不分期。</w:t>
        <w:br/>
        <w:t xml:space="preserve">Confirmed：Production 全部確認。</w:t>
        <w:br/>
        <w:t xml:space="preserve">Awaiting confirmation：金額已收付足額，尚待會計確認銷帳。</w:t>
        <w:br/>
        <w:t xml:space="preserve">Settled：有效人工銷帳確認已完成。</w:t>
      </w:r>
    </w:p>
    <w:p>
      <w:pPr>
        <w:pStyle w:val="Heading2"/>
        <w:keepNext/>
      </w:pPr>
      <w:r>
        <w:t xml:space="preserve">文件下載與版本</w:t>
      </w:r>
    </w:p>
    <w:p>
      <w:pPr>
        <w:pStyle w:val="Normal"/>
      </w:pPr>
      <w:r>
        <w:t xml:space="preserve">下載位置：System Reference Data → System Guides → AUW Facility 專屬規則。System Guides 依目前權限供 System Administrator 存取，可下載後交再保部與會計核對。</w:t>
      </w:r>
    </w:p>
    <w:p>
      <w:pPr>
        <w:pStyle w:val="Note"/>
      </w:pPr>
      <w:r>
        <w:t xml:space="preserve">版本日期：2026-10-14。範圍為 AUW 專屬規則與其連動的案件、文件及保費帳務流程；計算例子依本版現行程式核對。</w:t>
      </w:r>
    </w:p>
    <w:sectPr>
      <w:headerReference w:type="default" r:id="rIdHeader"/>
      <w:footerReference w:type="default" r:id="rIdFooter"/>
      <w:pgSz w:w="11906" w:h="16838"/>
      <w:pgMar w:top="900" w:right="1003" w:bottom="900" w:left="1003" w:header="420" w:footer="420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AUW_Facility_Rules　｜　第 </w:t>
    </w:r>
    <w:fldSimple w:instr=" PAGE ">
      <w:r>
        <w:t>1</w:t>
      </w:r>
    </w:fldSimple>
    <w:r>
      <w:t> 頁，共 </w:t>
    </w:r>
    <w:fldSimple w:instr=" NUMPAGES ">
      <w:r>
        <w:t>10</w:t>
      </w:r>
    </w:fldSimple>
    <w:r>
      <w:t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6" w:color="CBD5E1"/>
      </w:pBdr>
    </w:pPr>
    <w:r>
      <w:t xml:space="preserve">AUW Facility 專屬規則　｜　2026-10-14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 w:cs="Arial"/>
        <w:sz w:val="22"/>
        <w:szCs w:val="22"/>
        <w:lang w:val="en-US" w:eastAsia="zh-TW"/>
      </w:rPr>
    </w:rPrDefault>
    <w:pPrDefault>
      <w:pPr>
        <w:spacing w:after="95" w:line="280" w:lineRule="auto"/>
        <w:widowControl/>
      </w:pPr>
    </w:pPrDefault>
  </w:docDefaults>
  <w:style w:type="paragraph" w:styleId="Normal" w:default="1">
    <w:name w:val="Normal"/>
    <w:next w:val="Normal"/>
    <w:pPr>
      <w:spacing w:before="0" w:after="95" w:line="280" w:lineRule="auto"/>
    </w:pPr>
    <w:rPr/>
  </w:style>
  <w:style w:type="paragraph" w:styleId="Title">
    <w:name w:val="Title"/>
    <w:basedOn w:val="Normal"/>
    <w:next w:val="Normal"/>
    <w:pPr>
      <w:spacing w:before="0" w:after="145" w:line="280" w:lineRule="auto"/>
      <w:keepNext/>
      <w:keepLines/>
    </w:pPr>
    <w:rPr>
      <w:sz w:val="38"/>
      <w:szCs w:val="38"/>
      <w:b/>
      <w:color w:val="193B59"/>
    </w:rPr>
  </w:style>
  <w:style w:type="paragraph" w:styleId="Subtitle">
    <w:name w:val="Subtitle"/>
    <w:basedOn w:val="Normal"/>
    <w:next w:val="Normal"/>
    <w:pPr>
      <w:spacing w:before="0" w:after="190" w:line="280" w:lineRule="auto"/>
      <w:keepNext/>
      <w:keepLines/>
    </w:pPr>
    <w:rPr>
      <w:sz w:val="21"/>
      <w:szCs w:val="21"/>
      <w:color w:val="5C7083"/>
    </w:rPr>
  </w:style>
  <w:style w:type="paragraph" w:styleId="Heading1">
    <w:name w:val="Heading 1"/>
    <w:basedOn w:val="Normal"/>
    <w:next w:val="Normal"/>
    <w:pPr>
      <w:spacing w:before="0" w:after="155" w:line="280" w:lineRule="auto"/>
      <w:keepNext/>
      <w:keepLines/>
      <w:outlineLvl w:val="0"/>
    </w:pPr>
    <w:rPr>
      <w:sz w:val="31"/>
      <w:szCs w:val="31"/>
      <w:b/>
      <w:color w:val="193B59"/>
    </w:rPr>
  </w:style>
  <w:style w:type="paragraph" w:styleId="Heading2">
    <w:name w:val="Heading 2"/>
    <w:basedOn w:val="Normal"/>
    <w:next w:val="Normal"/>
    <w:pPr>
      <w:spacing w:before="110" w:after="70" w:line="280" w:lineRule="auto"/>
      <w:keepNext/>
      <w:keepLines/>
      <w:outlineLvl w:val="1"/>
    </w:pPr>
    <w:rPr>
      <w:sz w:val="24"/>
      <w:szCs w:val="24"/>
      <w:b/>
      <w:color w:val="215D87"/>
    </w:rPr>
  </w:style>
  <w:style w:type="paragraph" w:styleId="TableText">
    <w:name w:val="Table Text"/>
    <w:basedOn w:val="Normal"/>
    <w:next w:val="Normal"/>
    <w:pPr>
      <w:spacing w:before="0" w:after="0" w:line="260" w:lineRule="auto"/>
    </w:pPr>
    <w:rPr>
      <w:sz w:val="20"/>
      <w:szCs w:val="20"/>
    </w:rPr>
  </w:style>
  <w:style w:type="paragraph" w:styleId="Example">
    <w:name w:val="Example"/>
    <w:basedOn w:val="Normal"/>
    <w:next w:val="Normal"/>
    <w:pPr>
      <w:spacing w:before="25" w:after="100" w:line="280" w:lineRule="auto"/>
    </w:pPr>
    <w:rPr>
      <w:sz w:val="21"/>
      <w:szCs w:val="21"/>
      <w:color w:val="193B59"/>
    </w:rPr>
  </w:style>
  <w:style w:type="paragraph" w:styleId="Note">
    <w:name w:val="Note"/>
    <w:basedOn w:val="Normal"/>
    <w:next w:val="Normal"/>
    <w:pPr>
      <w:spacing w:before="50" w:after="70" w:line="260" w:lineRule="auto"/>
    </w:pPr>
    <w:rPr>
      <w:sz w:val="19"/>
      <w:szCs w:val="19"/>
      <w:color w:val="546373"/>
    </w:rPr>
  </w:style>
  <w:style w:type="paragraph" w:styleId="Spacer">
    <w:name w:val="Spacer"/>
    <w:basedOn w:val="Normal"/>
    <w:next w:val="Normal"/>
    <w:pPr>
      <w:spacing w:before="0" w:after="30" w:line="240" w:lineRule="auto"/>
    </w:pPr>
    <w:rPr>
      <w:sz w:val="2"/>
      <w:szCs w:val="2"/>
    </w:rPr>
  </w:style>
  <w:style w:type="paragraph" w:styleId="Header">
    <w:name w:val="Header"/>
    <w:basedOn w:val="Normal"/>
    <w:next w:val="Normal"/>
    <w:pPr>
      <w:spacing w:before="0" w:after="0" w:line="280" w:lineRule="auto"/>
    </w:pPr>
    <w:rPr>
      <w:sz w:val="17"/>
      <w:szCs w:val="17"/>
      <w:color w:val="5C7083"/>
    </w:rPr>
  </w:style>
  <w:style w:type="paragraph" w:styleId="Footer">
    <w:name w:val="Footer"/>
    <w:basedOn w:val="Normal"/>
    <w:next w:val="Normal"/>
    <w:pPr>
      <w:spacing w:before="0" w:after="0" w:line="280" w:lineRule="auto"/>
    </w:pPr>
    <w:rPr>
      <w:sz w:val="17"/>
      <w:szCs w:val="17"/>
      <w:color w:val="5C7083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10</ns0:Pages>
  <ns0:Company>TW</ns0:Company>
  <ns0:AppVersion>16.0000</ns0:AppVersion>
</ns0: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>AUW Facility 專屬規則</dc:title>
  <dc:subject>AUW 專屬案件與帳務規則及計算例子</dc:subject>
  <dc:creator>TW Reinsurance Department</dc:creator>
  <ns0:lastModifiedBy>TW Reinsurance Department</ns0:lastModifiedBy>
  <dcterms:created xsi:type="dcterms:W3CDTF">2026-10-14T07:26:55Z</dcterms:created>
  <dcterms:modified xsi:type="dcterms:W3CDTF">2026-10-14T07:26:55Z</dcterms:modified>
</ns0:coreProperties>
</file>