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Title"/>
      </w:pPr>
      <w:r>
        <w:t xml:space="preserve">Allianz Facility</w:t>
        <w:br/>
        <w:t xml:space="preserve">結算日規則摘要及同仁覆核問卷</w:t>
      </w:r>
    </w:p>
    <w:p>
      <w:pPr>
        <w:pStyle w:val="Subtitle"/>
      </w:pPr>
      <w:r>
        <w:t xml:space="preserve">已確認規則｜保費付款</w:t>
      </w:r>
    </w:p>
    <w:p>
      <w:pPr>
        <w:pStyle w:val="Note"/>
      </w:pPr>
      <w:r>
        <w:t xml:space="preserve">Allianz Global Corporate &amp; Specialty SE, Hong Kong Branch (Facility)</w:t>
      </w:r>
    </w:p>
    <w:p>
      <w:pPr>
        <w:pStyle w:val="Note"/>
      </w:pPr>
      <w:r>
        <w:t xml:space="preserve">2026-10-19　v6.0　｜　第1～2頁為本次已確認規則，第3～4頁請同仁覆核並補充差異。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原保單／續保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一般保費以保單生效日所在月份為結算基準月份。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分期保費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逐期採各期 Payment base date（付款基準日）所在月份，每期獨立計算90／75天。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加費批改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採批改生效日與實際 Announce 日兩者較晚者所在月份。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90天最晚到帳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基準月份實際月底＋90個日曆天，為 Allianz 最晚收到應付全額的日期；可以提前付款。週末及假日均計入，期限不順延。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75天顯示／提醒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同一月底＋75個日曆天開始顯示／提醒，之後由會計安排實際匯款。75天不是強制匯款日；遇週末或假日維持原日，不作營業日調整。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付款放行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該筆對應的 Cedant 應收款須全數收齊，且已在系統完成人工確認收齊，才可付款給 Allianz。分期僅要求該期對應應收款全數收齊。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12個保費結算點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一年按12個基準月份，各以該月底＋90天形成結算點；不是每月固定同一日，相鄰點可能落在同一曆月。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保費自動顯示逾期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適用原保單／續保、分期及加費。超過原90天最晚到帳日，且會計尚未確認全額付款完成時，系統自動顯示逾期；收付資料仍人工登錄。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未清款處理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原基準月份與原結算日維持，不移至下一月份重算。單純顯示逾期，不另設延期申請、Allianz 同意或同意證據留存要求。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分筆安排付款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多筆已符合付款條件、但原到帳期限不同的保費，分別依各筆原期限安排，不合併匯款。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本版取代舊版逐期移期、提醒日按銀行假日調整、保費逾期人工標示，以及 Allianz 延後付款同意與同意留存要求。請依本版覆核。</w:t>
      </w:r>
    </w:p>
    <w:p>
      <w:pPr>
        <w:pStyle w:val="Heading1"/>
        <w:pageBreakBefore/>
      </w:pPr>
      <w:r>
        <w:t xml:space="preserve">已確認規則｜退款、理賠及人工會計作業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100"/>
        <w:gridCol w:w="8100"/>
      </w:tblGrid>
      <w:tr>
        <w:trPr>
          <w:cantSplit/>
          <w:tblHeader/>
        </w:trPr>
        <w:tc>
          <w:tcPr>
            <w:tcW w:w="2100" w:type="dxa"/>
            <w:shd w:fill="E6EEF5"/>
          </w:tcPr>
          <w:p>
            <w:pPr>
              <w:pStyle w:val="TableText"/>
            </w:pPr>
            <w:r>
              <w:t xml:space="preserve">項目</w:t>
            </w:r>
          </w:p>
        </w:tc>
        <w:tc>
          <w:tcPr>
            <w:tcW w:w="8100" w:type="dxa"/>
            <w:shd w:fill="E6EEF5"/>
          </w:tcPr>
          <w:p>
            <w:pPr>
              <w:pStyle w:val="TableText"/>
            </w:pPr>
            <w:r>
              <w:t xml:space="preserve">已確認規則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退款起算及期限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向 Allianz 收回退費／退保退款：採生效日與實際 Announce 日較晚者所在月份，月底＋90個日曆天為最晚到帳日、＋75個日曆天開始提醒，兩日期均不作假日調整。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退款分別收付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退費／退保退款與應付 Allianz 的保費分別收付，不辦理抵減。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理賠起算及期限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各筆理賠採系統執行 Announce 成功時記錄的 Claim Announced 日期／時間為起算依據；最晚到帳日＝該筆 Claim Announced 日期＋15個日曆天。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理賠追蹤提醒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Claim Announced 後第7天開始，每7個日曆天由系統列示提醒，即第7、14、21天等；會計人工處理並登錄追蹤紀錄，持續至全額到帳且完成人工確認。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理賠新增／部分收款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同案新增請款，各自採新增請款的 Claim Announced 時間起算。同一筆款項部分到帳，餘額仍持續追蹤，原起算日及15天期限不變。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理賠獨立收付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理賠獨立收付，不納入12個保費結算點。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pStyle w:val="TableText"/>
            </w:pPr>
            <w:r>
              <w:t xml:space="preserve">人工會計作業</w:t>
            </w:r>
          </w:p>
        </w:tc>
        <w:tc>
          <w:tcPr>
            <w:tcW w:w="8100" w:type="dxa"/>
          </w:tcPr>
          <w:p>
            <w:pPr>
              <w:pStyle w:val="TableText"/>
            </w:pPr>
            <w:r>
              <w:t xml:space="preserve">對帳、沖帳及銷帳暫由人工處理。收付資料、付款完成及是否如期到帳，由會計人工確認及登錄；保費逾期顯示依前頁原期限與人工全額付款確認狀態自動判斷。</w:t>
            </w:r>
          </w:p>
        </w:tc>
      </w:tr>
    </w:tbl>
    <w:p>
      <w:pPr>
        <w:pStyle w:val="Spacer"/>
      </w:pPr>
    </w:p>
    <w:p>
      <w:pPr>
        <w:pStyle w:val="Heading2"/>
      </w:pPr>
      <w:r>
        <w:t xml:space="preserve">日期驗算</w:t>
      </w:r>
    </w:p>
    <w:tbl>
      <w:tblPr>
        <w:tblW w:w="1020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4200"/>
        <w:gridCol w:w="2000"/>
        <w:gridCol w:w="2000"/>
        <w:gridCol w:w="2000"/>
      </w:tblGrid>
      <w:tr>
        <w:trPr>
          <w:cantSplit/>
          <w:tblHeader/>
        </w:trPr>
        <w:tc>
          <w:tcPr>
            <w:tcW w:w="4200" w:type="dxa"/>
            <w:shd w:fill="E6EEF5"/>
          </w:tcPr>
          <w:p>
            <w:pPr>
              <w:pStyle w:val="TableText"/>
            </w:pPr>
            <w:r>
              <w:t xml:space="preserve">案例／基準事件</w:t>
            </w:r>
          </w:p>
        </w:tc>
        <w:tc>
          <w:tcPr>
            <w:tcW w:w="2000" w:type="dxa"/>
            <w:shd w:fill="E6EEF5"/>
          </w:tcPr>
          <w:p>
            <w:pPr>
              <w:pStyle w:val="TableText"/>
            </w:pPr>
            <w:r>
              <w:t xml:space="preserve">基準月底</w:t>
            </w:r>
          </w:p>
        </w:tc>
        <w:tc>
          <w:tcPr>
            <w:tcW w:w="2000" w:type="dxa"/>
            <w:shd w:fill="E6EEF5"/>
          </w:tcPr>
          <w:p>
            <w:pPr>
              <w:pStyle w:val="TableText"/>
            </w:pPr>
            <w:r>
              <w:t xml:space="preserve">＋75天提醒</w:t>
            </w:r>
          </w:p>
        </w:tc>
        <w:tc>
          <w:tcPr>
            <w:tcW w:w="2000" w:type="dxa"/>
            <w:shd w:fill="E6EEF5"/>
          </w:tcPr>
          <w:p>
            <w:pPr>
              <w:pStyle w:val="TableText"/>
            </w:pPr>
            <w:r>
              <w:t xml:space="preserve">＋90天到帳</w:t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pStyle w:val="TableText"/>
            </w:pPr>
            <w:r>
              <w:t xml:space="preserve">原保單／續保</w:t>
              <w:br/>
              <w:t xml:space="preserve">2026年1月生效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2026-01-31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2026-04-16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2026-05-01</w:t>
            </w:r>
          </w:p>
        </w:tc>
      </w:tr>
      <w:tr>
        <w:trPr>
          <w:cantSplit/>
        </w:trPr>
        <w:tc>
          <w:tcPr>
            <w:tcW w:w="4200" w:type="dxa"/>
          </w:tcPr>
          <w:p>
            <w:pPr>
              <w:pStyle w:val="TableText"/>
            </w:pPr>
            <w:r>
              <w:t xml:space="preserve">加費／退費批改</w:t>
              <w:br/>
              <w:t xml:space="preserve">生效2026-01-20；實際 Announce 2026-02-03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2026-02-28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2026-05-14</w:t>
            </w:r>
          </w:p>
        </w:tc>
        <w:tc>
          <w:tcPr>
            <w:tcW w:w="2000" w:type="dxa"/>
          </w:tcPr>
          <w:p>
            <w:pPr>
              <w:pStyle w:val="TableText"/>
            </w:pPr>
            <w:r>
              <w:t xml:space="preserve">2026-05-29</w:t>
            </w:r>
          </w:p>
        </w:tc>
      </w:tr>
    </w:tbl>
    <w:p>
      <w:pPr>
        <w:pStyle w:val="Spacer"/>
      </w:pPr>
    </w:p>
    <w:p>
      <w:pPr>
        <w:pStyle w:val="Note"/>
      </w:pPr>
      <w:r>
        <w:t xml:space="preserve">理賠例：Claim Announced 為2026-10-19，最晚到帳日為2026-11-03；追蹤日為10/26、11/02、11/09……，持續至全額到帳且完成人工確認。</w:t>
      </w:r>
    </w:p>
    <w:p>
      <w:pPr>
        <w:pStyle w:val="Note"/>
      </w:pPr>
      <w:r>
        <w:t xml:space="preserve">AUW 原保單／續保單期為基準月份月底＋120天，會計提前10天顯示。Allianz 保費採月底＋90天到帳、＋75天提醒。</w:t>
      </w:r>
    </w:p>
    <w:p>
      <w:pPr>
        <w:pStyle w:val="Note"/>
      </w:pPr>
      <w:r>
        <w:t xml:space="preserve">本文件供同仁覆核本次討論的規則；若實務、條款或處理方式有差異，請於後頁填寫依據及案例。</w:t>
      </w:r>
    </w:p>
    <w:p>
      <w:pPr>
        <w:pStyle w:val="Heading1"/>
        <w:pageBreakBefore/>
      </w:pPr>
      <w:r>
        <w:t xml:space="preserve">同仁覆核問卷（一）｜保費日期及付款</w:t>
      </w:r>
    </w:p>
    <w:p>
      <w:pPr>
        <w:pStyle w:val="PageNote"/>
      </w:pPr>
      <w:r>
        <w:t xml:space="preserve">以下為本次已確認規則，請同仁核對實務並補充差異；每題單選，不需重選日期公式。</w:t>
      </w:r>
    </w:p>
    <w:p>
      <w:pPr>
        <w:pStyle w:val="Note"/>
      </w:pPr>
      <w:r>
        <w:t xml:space="preserve">填答人／部門：</w:t>
      </w:r>
      <w:sdt>
        <w:sdtPr>
          <w:alias w:val="respondent"/>
          <w:tag w:val="respondent"/>
          <w:id w:val="1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  <w:r>
        <w:t xml:space="preserve">　日期：</w:t>
      </w:r>
      <w:sdt>
        <w:sdtPr>
          <w:alias w:val="response_date"/>
          <w:tag w:val="response_date"/>
          <w:id w:val="2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te"/>
      </w:pPr>
      <w:r>
        <w:t xml:space="preserve">依據文件／版本：</w:t>
      </w:r>
      <w:sdt>
        <w:sdtPr>
          <w:alias w:val="evidence"/>
          <w:tag w:val="evidence"/>
          <w:id w:val="3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  <w:r>
        <w:t xml:space="preserve">　覆核窗口：</w:t>
      </w:r>
      <w:sdt>
        <w:sdtPr>
          <w:alias w:val="reviewer"/>
          <w:tag w:val="reviewer"/>
          <w:id w:val="4"/>
          <w:text/>
        </w:sdtPr>
        <w:sdtContent>
          <w:r>
            <w:rPr>
              <w:color w:val="64748B"/>
            </w:rPr>
            <w:t xml:space="preserve">［點此輸入］</w:t>
          </w:r>
        </w:sdtContent>
      </w:sdt>
    </w:p>
    <w:p>
      <w:pPr>
        <w:pStyle w:val="Note"/>
      </w:pPr>
      <w:r>
        <w:t xml:space="preserve">每題單選：符合實務／有差異／其他／待確認／不適用。有差異或不適用請說明；待確認請填窗口及期限。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AZR-01【單選】結算基準月份是否符合實務？</w:t>
            </w:r>
          </w:p>
          <w:p>
            <w:pPr>
              <w:pStyle w:val="Reference"/>
            </w:pPr>
            <w:r>
              <w:t xml:space="preserve">原保單／續保採生效月份；分期採各期 Payment base date 所在月份；加費採批改生效日與實際 Announce 日較晚者所在月份。</w:t>
            </w:r>
          </w:p>
          <w:p>
            <w:pPr>
              <w:pStyle w:val="Option"/>
            </w:pPr>
            <w:sdt>
              <w:sdtPr>
                <w:alias w:val="AZR-01_A"/>
                <w:tag w:val="AZR-01_A"/>
                <w:id w:val="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AZR-01_B"/>
                <w:tag w:val="AZR-01_B"/>
                <w:id w:val="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有差異（請在補充欄說明）</w:t>
            </w:r>
          </w:p>
          <w:p>
            <w:pPr>
              <w:pStyle w:val="Common"/>
            </w:pPr>
            <w:sdt>
              <w:sdtPr>
                <w:alias w:val="AZR-01_X"/>
                <w:tag w:val="AZR-01_X"/>
                <w:id w:val="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R-01_Y"/>
                <w:tag w:val="AZR-01_Y"/>
                <w:id w:val="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R-01_Z"/>
                <w:tag w:val="AZR-01_Z"/>
                <w:id w:val="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R-01_notes"/>
                <w:tag w:val="AZR-01_notes"/>
                <w:id w:val="10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AZR-02【單選】90天到帳、75天提醒的安排是否符合實務？</w:t>
            </w:r>
          </w:p>
          <w:p>
            <w:pPr>
              <w:pStyle w:val="Reference"/>
            </w:pPr>
            <w:r>
              <w:t xml:space="preserve">各基準月份實際月底＋90個日曆天為最晚到帳日，＋75個日曆天開始提醒；兩日期均不作假日調整。75天提醒後安排匯款，可以提前付款。</w:t>
            </w:r>
          </w:p>
          <w:p>
            <w:pPr>
              <w:pStyle w:val="Option"/>
            </w:pPr>
            <w:sdt>
              <w:sdtPr>
                <w:alias w:val="AZR-02_A"/>
                <w:tag w:val="AZR-02_A"/>
                <w:id w:val="1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AZR-02_B"/>
                <w:tag w:val="AZR-02_B"/>
                <w:id w:val="1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有差異（請在補充欄說明）</w:t>
            </w:r>
          </w:p>
          <w:p>
            <w:pPr>
              <w:pStyle w:val="Common"/>
            </w:pPr>
            <w:sdt>
              <w:sdtPr>
                <w:alias w:val="AZR-02_X"/>
                <w:tag w:val="AZR-02_X"/>
                <w:id w:val="1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R-02_Y"/>
                <w:tag w:val="AZR-02_Y"/>
                <w:id w:val="1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R-02_Z"/>
                <w:tag w:val="AZR-02_Z"/>
                <w:id w:val="1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R-02_notes"/>
                <w:tag w:val="AZR-02_notes"/>
                <w:id w:val="16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AZR-03【單選】付款放行、人工登錄及分筆付款是否符合實務？</w:t>
            </w:r>
          </w:p>
          <w:p>
            <w:pPr>
              <w:pStyle w:val="Reference"/>
            </w:pPr>
            <w:r>
              <w:t xml:space="preserve">付款前須將該筆對應 Cedant 應收款在系統完成人工確認收齊，分期以該期為準。收付資料、付款完成與實際到帳由會計人工確認及登錄；不同原到帳期限的保費分別付款，不合併匯款。</w:t>
            </w:r>
          </w:p>
          <w:p>
            <w:pPr>
              <w:pStyle w:val="Option"/>
            </w:pPr>
            <w:sdt>
              <w:sdtPr>
                <w:alias w:val="AZR-03_A"/>
                <w:tag w:val="AZR-03_A"/>
                <w:id w:val="1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AZR-03_B"/>
                <w:tag w:val="AZR-03_B"/>
                <w:id w:val="1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有差異（請在補充欄說明）</w:t>
            </w:r>
          </w:p>
          <w:p>
            <w:pPr>
              <w:pStyle w:val="Common"/>
            </w:pPr>
            <w:sdt>
              <w:sdtPr>
                <w:alias w:val="AZR-03_X"/>
                <w:tag w:val="AZR-03_X"/>
                <w:id w:val="1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R-03_Y"/>
                <w:tag w:val="AZR-03_Y"/>
                <w:id w:val="2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R-03_Z"/>
                <w:tag w:val="AZR-03_Z"/>
                <w:id w:val="2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R-03_notes"/>
                <w:tag w:val="AZR-03_notes"/>
                <w:id w:val="22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p>
      <w:pPr>
        <w:pStyle w:val="Heading1"/>
        <w:pageBreakBefore/>
      </w:pPr>
      <w:r>
        <w:t xml:space="preserve">同仁覆核問卷（二）｜逾期、退款及理賠</w:t>
      </w:r>
    </w:p>
    <w:p>
      <w:pPr>
        <w:pStyle w:val="PageNote"/>
      </w:pPr>
      <w:r>
        <w:t xml:space="preserve">請確認下列規則是否符合實際作業；有差異請填觸發條件、日期／金額例及依據。</w:t>
      </w: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AZR-04【單選】保費未清款及自動顯示逾期的規則是否符合實務？</w:t>
            </w:r>
          </w:p>
          <w:p>
            <w:pPr>
              <w:pStyle w:val="Reference"/>
            </w:pPr>
            <w:r>
              <w:t xml:space="preserve">超過原90天最晚到帳日，且會計尚未確認全額付款完成時，系統自動顯示逾期。原結算日維持，不另設延期申請、Allianz 同意或同意證據留存要求；收付資料仍人工登錄。</w:t>
            </w:r>
          </w:p>
          <w:p>
            <w:pPr>
              <w:pStyle w:val="Option"/>
            </w:pPr>
            <w:sdt>
              <w:sdtPr>
                <w:alias w:val="AZR-04_A"/>
                <w:tag w:val="AZR-04_A"/>
                <w:id w:val="2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AZR-04_B"/>
                <w:tag w:val="AZR-04_B"/>
                <w:id w:val="24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有差異（請在補充欄說明）</w:t>
            </w:r>
          </w:p>
          <w:p>
            <w:pPr>
              <w:pStyle w:val="Common"/>
            </w:pPr>
            <w:sdt>
              <w:sdtPr>
                <w:alias w:val="AZR-04_X"/>
                <w:tag w:val="AZR-04_X"/>
                <w:id w:val="2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R-04_Y"/>
                <w:tag w:val="AZR-04_Y"/>
                <w:id w:val="2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R-04_Z"/>
                <w:tag w:val="AZR-04_Z"/>
                <w:id w:val="2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R-04_notes"/>
                <w:tag w:val="AZR-04_notes"/>
                <w:id w:val="28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AZR-05【單選】退費／退保退款的日期及分別收付是否符合實務？</w:t>
            </w:r>
          </w:p>
          <w:p>
            <w:pPr>
              <w:pStyle w:val="Reference"/>
            </w:pPr>
            <w:r>
              <w:t xml:space="preserve">向 Allianz 收回退款，採生效日與實際 Announce 日較晚者所在月份，月底＋90個日曆天到帳、＋75個日曆天提醒，兩日期均不作假日調整。退款與保費分別收付，不抵減。</w:t>
            </w:r>
          </w:p>
          <w:p>
            <w:pPr>
              <w:pStyle w:val="Option"/>
            </w:pPr>
            <w:sdt>
              <w:sdtPr>
                <w:alias w:val="AZR-05_A"/>
                <w:tag w:val="AZR-05_A"/>
                <w:id w:val="2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AZR-05_B"/>
                <w:tag w:val="AZR-05_B"/>
                <w:id w:val="30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有差異（請在補充欄說明）</w:t>
            </w:r>
          </w:p>
          <w:p>
            <w:pPr>
              <w:pStyle w:val="Common"/>
            </w:pPr>
            <w:sdt>
              <w:sdtPr>
                <w:alias w:val="AZR-05_X"/>
                <w:tag w:val="AZR-05_X"/>
                <w:id w:val="31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R-05_Y"/>
                <w:tag w:val="AZR-05_Y"/>
                <w:id w:val="32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R-05_Z"/>
                <w:tag w:val="AZR-05_Z"/>
                <w:id w:val="33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R-05_notes"/>
                <w:tag w:val="AZR-05_notes"/>
                <w:id w:val="34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tbl>
      <w:tblPr>
        <w:tblW w:w="10200" w:type="dxa"/>
        <w:tblLayout w:type="fixed"/>
        <w:tblBorders>
          <w:bottom w:val="single" w:sz="4" w:color="CBD5E1"/>
        </w:tblBorders>
      </w:tblPr>
      <w:tblGrid>
        <w:gridCol w:w="10200"/>
      </w:tblGrid>
      <w:tr>
        <w:trPr>
          <w:cantSplit/>
        </w:trPr>
        <w:tc>
          <w:tcPr>
            <w:tcW w:w="10200" w:type="dxa"/>
          </w:tcPr>
          <w:p>
            <w:pPr>
              <w:pStyle w:val="Question"/>
            </w:pPr>
            <w:r>
              <w:t xml:space="preserve">AZR-06【單選】理賠15天到帳及每7天追蹤的規則是否符合實務？</w:t>
            </w:r>
          </w:p>
          <w:p>
            <w:pPr>
              <w:pStyle w:val="Reference"/>
            </w:pPr>
            <w:r>
              <w:t xml:space="preserve">各筆採系統 Claim Announced 日期＋15個日曆天到帳；第7天起每7天由系統列示提醒，會計人工處理並留紀錄，至全額到帳且人工確認。新增請款各自起算；同筆部分到帳仍追蹤餘額，原15天期限不變；理賠不納入12個保費結算點。</w:t>
            </w:r>
          </w:p>
          <w:p>
            <w:pPr>
              <w:pStyle w:val="Option"/>
            </w:pPr>
            <w:sdt>
              <w:sdtPr>
                <w:alias w:val="AZR-06_A"/>
                <w:tag w:val="AZR-06_A"/>
                <w:id w:val="35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A 符合實務</w:t>
            </w:r>
          </w:p>
          <w:p>
            <w:pPr>
              <w:pStyle w:val="Option"/>
            </w:pPr>
            <w:sdt>
              <w:sdtPr>
                <w:alias w:val="AZR-06_B"/>
                <w:tag w:val="AZR-06_B"/>
                <w:id w:val="36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B 有差異（請在補充欄說明）</w:t>
            </w:r>
          </w:p>
          <w:p>
            <w:pPr>
              <w:pStyle w:val="Common"/>
            </w:pPr>
            <w:sdt>
              <w:sdtPr>
                <w:alias w:val="AZR-06_X"/>
                <w:tag w:val="AZR-06_X"/>
                <w:id w:val="37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X 其他（請說明）</w:t>
            </w:r>
            <w:r>
              <w:t xml:space="preserve">　</w:t>
            </w:r>
            <w:sdt>
              <w:sdtPr>
                <w:alias w:val="AZR-06_Y"/>
                <w:tag w:val="AZR-06_Y"/>
                <w:id w:val="38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Y 待確認</w:t>
            </w:r>
            <w:r>
              <w:t xml:space="preserve">　</w:t>
            </w:r>
            <w:sdt>
              <w:sdtPr>
                <w:alias w:val="AZR-06_Z"/>
                <w:tag w:val="AZR-06_Z"/>
                <w:id w:val="39"/>
                <w14:checkbox>
                  <w14:checked w14:val="0"/>
                  <w14:checkedState w14:val="2612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 w:eastAsia="DejaVu Sans"/>
                  </w:rPr>
                  <w:t>☐</w:t>
                </w:r>
              </w:sdtContent>
            </w:sdt>
            <w:r>
              <w:t xml:space="preserve"> Z 不適用</w:t>
            </w:r>
            <w:r>
              <w:t xml:space="preserve">　</w:t>
            </w:r>
          </w:p>
          <w:p>
            <w:pPr>
              <w:pStyle w:val="Answer"/>
            </w:pPr>
            <w:r>
              <w:t xml:space="preserve">補充／依據：</w:t>
            </w:r>
            <w:sdt>
              <w:sdtPr>
                <w:alias w:val="AZR-06_notes"/>
                <w:tag w:val="AZR-06_notes"/>
                <w:id w:val="40"/>
                <w:text/>
              </w:sdtPr>
              <w:sdtContent>
                <w:r>
                  <w:rPr>
                    <w:color w:val="64748B"/>
                  </w:rPr>
                  <w:t xml:space="preserve">［差異、例外、依據或匿名案例；待確認填窗口及期限］</w:t>
                </w:r>
              </w:sdtContent>
            </w:sdt>
          </w:p>
        </w:tc>
      </w:tr>
    </w:tbl>
    <w:p>
      <w:pPr>
        <w:pStyle w:val="Spacer"/>
      </w:pPr>
    </w:p>
    <w:sectPr>
      <w:headerReference w:type="default" r:id="rIdHeader"/>
      <w:footerReference w:type="default" r:id="rIdFooter"/>
      <w:pgSz w:w="11906" w:h="16838"/>
      <w:pgMar w:top="800" w:bottom="800" w:left="853" w:right="853" w:header="350" w:footer="35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同事填答／跨部門覆核　｜　第 </w:t>
    </w:r>
    <w:fldSimple w:instr=" PAGE ">
      <w:r>
        <w:t xml:space="preserve">1</w:t>
      </w:r>
    </w:fldSimple>
    <w:r>
      <w:t xml:space="preserve"> 頁／共 </w:t>
    </w:r>
    <w:fldSimple w:instr=" NUMPAGES ">
      <w:r>
        <w:t xml:space="preserve">4</w:t>
      </w:r>
    </w:fldSimple>
    <w:r>
      <w:t xml:space="preserve"> 頁</w:t>
    </w:r>
  </w:p>
</w:ftr>
</file>

<file path=word/header1.xml><?xml version="1.0" encoding="utf-8"?>
<w:hdr xmlns:w="http://schemas.openxmlformats.org/wordprocessingml/2006/main">
  <w:p>
    <w:pPr>
      <w:pStyle w:val="Header"/>
      <w:pBdr>
        <w:bottom w:val="single" w:sz="4" w:space="5" w:color="CBD5E1"/>
      </w:pBdr>
    </w:pPr>
    <w:r>
      <w:t xml:space="preserve">Allianz Facility｜結算日規則摘要及同仁覆核問卷｜v6.0・2026-10-19</w:t>
    </w:r>
  </w:p>
</w:hdr>
</file>

<file path=word/settings.xml><?xml version="1.0" encoding="utf-8"?>
<w:settings xmlns:w="http://schemas.openxmlformats.org/wordprocessingml/2006/main">
  <w:updateFields w:val="true"/>
  <w:defaultTabStop w:val="720"/>
  <w:compat/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 w:eastAsia="Noto Sans CJK TC" w:cs="Liberation Sans"/>
        <w:sz w:val="20"/>
        <w:szCs w:val="20"/>
        <w:lang w:val="en-US" w:eastAsia="zh-TW"/>
      </w:rPr>
    </w:rPrDefault>
  </w:docDefaults>
  <w:style w:type="paragraph" w:styleId="Normal" w:default="1">
    <w:name w:val="Normal"/>
    <w:next w:val="Normal"/>
    <w:pPr>
      <w:spacing w:before="0" w:after="100" w:line="280" w:lineRule="auto"/>
      <w:widowControl/>
      <w:keepLines/>
    </w:pPr>
    <w:rPr>
      <w:sz w:val="20"/>
      <w:szCs w:val="20"/>
      <w:color w:val="203040"/>
    </w:rPr>
  </w:style>
  <w:style w:type="paragraph" w:styleId="Title">
    <w:name w:val="Title"/>
    <w:next w:val="Normal"/>
    <w:basedOn w:val="Normal"/>
    <w:pPr>
      <w:spacing w:before="0" w:after="150" w:line="280" w:lineRule="auto"/>
      <w:widowControl/>
      <w:keepLines/>
      <w:keepNext/>
      <w:outlineLvl w:val="0"/>
    </w:pPr>
    <w:rPr>
      <w:sz w:val="36"/>
      <w:szCs w:val="36"/>
      <w:color w:val="173B5A"/>
      <w:b/>
    </w:rPr>
  </w:style>
  <w:style w:type="paragraph" w:styleId="Subtitle">
    <w:name w:val="Subtitle"/>
    <w:next w:val="Normal"/>
    <w:basedOn w:val="Normal"/>
    <w:pPr>
      <w:spacing w:before="0" w:after="150" w:line="250" w:lineRule="auto"/>
      <w:widowControl/>
      <w:keepLines/>
    </w:pPr>
    <w:rPr>
      <w:sz w:val="24"/>
      <w:szCs w:val="24"/>
      <w:color w:val="316485"/>
      <w:b/>
    </w:rPr>
  </w:style>
  <w:style w:type="paragraph" w:styleId="Heading1">
    <w:name w:val="Heading1"/>
    <w:next w:val="Normal"/>
    <w:basedOn w:val="Normal"/>
    <w:pPr>
      <w:spacing w:before="0" w:after="120" w:line="250" w:lineRule="auto"/>
      <w:widowControl/>
      <w:keepLines/>
      <w:keepNext/>
      <w:outlineLvl w:val="0"/>
    </w:pPr>
    <w:rPr>
      <w:sz w:val="27"/>
      <w:szCs w:val="27"/>
      <w:color w:val="173B5A"/>
      <w:b/>
    </w:rPr>
  </w:style>
  <w:style w:type="paragraph" w:styleId="Heading2">
    <w:name w:val="Heading2"/>
    <w:next w:val="Normal"/>
    <w:basedOn w:val="Normal"/>
    <w:pPr>
      <w:spacing w:before="90" w:after="70" w:line="250" w:lineRule="auto"/>
      <w:widowControl/>
      <w:keepLines/>
      <w:keepNext/>
      <w:outlineLvl w:val="1"/>
    </w:pPr>
    <w:rPr>
      <w:sz w:val="23"/>
      <w:szCs w:val="23"/>
      <w:color w:val="173B5A"/>
      <w:b/>
    </w:rPr>
  </w:style>
  <w:style w:type="paragraph" w:styleId="Question">
    <w:name w:val="Question"/>
    <w:next w:val="Normal"/>
    <w:basedOn w:val="Normal"/>
    <w:pPr>
      <w:spacing w:before="45" w:after="40" w:line="250" w:lineRule="auto"/>
      <w:widowControl/>
      <w:keepLines/>
    </w:pPr>
    <w:rPr>
      <w:sz w:val="21"/>
      <w:szCs w:val="21"/>
      <w:color w:val="173B5A"/>
      <w:b/>
    </w:rPr>
  </w:style>
  <w:style w:type="paragraph" w:styleId="Option">
    <w:name w:val="Option"/>
    <w:next w:val="Normal"/>
    <w:basedOn w:val="Normal"/>
    <w:pPr>
      <w:spacing w:before="0" w:after="10" w:line="235" w:lineRule="auto"/>
      <w:widowControl/>
      <w:keepLines/>
    </w:pPr>
    <w:rPr>
      <w:sz w:val="20"/>
      <w:szCs w:val="20"/>
      <w:color w:val="203040"/>
    </w:rPr>
  </w:style>
  <w:style w:type="paragraph" w:styleId="Common">
    <w:name w:val="Common"/>
    <w:next w:val="Normal"/>
    <w:basedOn w:val="Normal"/>
    <w:pPr>
      <w:spacing w:before="0" w:after="30" w:line="230" w:lineRule="auto"/>
      <w:widowControl/>
      <w:keepLines/>
    </w:pPr>
    <w:rPr>
      <w:sz w:val="18"/>
      <w:szCs w:val="18"/>
      <w:color w:val="526477"/>
    </w:rPr>
  </w:style>
  <w:style w:type="paragraph" w:styleId="Answer">
    <w:name w:val="Answer"/>
    <w:next w:val="Normal"/>
    <w:basedOn w:val="Normal"/>
    <w:pPr>
      <w:spacing w:before="0" w:after="35" w:line="245" w:lineRule="auto"/>
      <w:widowControl/>
      <w:keepLines/>
    </w:pPr>
    <w:rPr>
      <w:sz w:val="19"/>
      <w:szCs w:val="19"/>
      <w:color w:val="203040"/>
    </w:rPr>
  </w:style>
  <w:style w:type="paragraph" w:styleId="Note">
    <w:name w:val="Note"/>
    <w:next w:val="Normal"/>
    <w:basedOn w:val="Normal"/>
    <w:pPr>
      <w:spacing w:before="0" w:after="100" w:line="255" w:lineRule="auto"/>
      <w:widowControl/>
      <w:keepLines/>
    </w:pPr>
    <w:rPr>
      <w:sz w:val="18"/>
      <w:szCs w:val="18"/>
      <w:color w:val="526477"/>
    </w:rPr>
  </w:style>
  <w:style w:type="paragraph" w:styleId="Reference">
    <w:name w:val="Reference"/>
    <w:next w:val="Normal"/>
    <w:basedOn w:val="Normal"/>
    <w:pPr>
      <w:spacing w:before="0" w:after="35" w:line="255" w:lineRule="auto"/>
      <w:widowControl/>
      <w:keepLines/>
    </w:pPr>
    <w:rPr>
      <w:sz w:val="19"/>
      <w:szCs w:val="19"/>
      <w:color w:val="526477"/>
    </w:rPr>
  </w:style>
  <w:style w:type="paragraph" w:styleId="PageNote">
    <w:name w:val="PageNote"/>
    <w:next w:val="Normal"/>
    <w:basedOn w:val="Normal"/>
    <w:pPr>
      <w:spacing w:before="0" w:after="65" w:line="220" w:lineRule="auto"/>
      <w:widowControl/>
      <w:keepLines/>
    </w:pPr>
    <w:rPr>
      <w:sz w:val="17"/>
      <w:szCs w:val="17"/>
      <w:color w:val="526477"/>
    </w:rPr>
  </w:style>
  <w:style w:type="paragraph" w:styleId="TableText">
    <w:name w:val="TableText"/>
    <w:next w:val="Normal"/>
    <w:basedOn w:val="Normal"/>
    <w:pPr>
      <w:spacing w:before="0" w:after="15" w:line="255" w:lineRule="auto"/>
      <w:widowControl/>
      <w:keepLines/>
    </w:pPr>
    <w:rPr>
      <w:sz w:val="19"/>
      <w:szCs w:val="19"/>
      <w:color w:val="203040"/>
    </w:rPr>
  </w:style>
  <w:style w:type="paragraph" w:styleId="Spacer">
    <w:name w:val="Spacer"/>
    <w:next w:val="Normal"/>
    <w:basedOn w:val="Normal"/>
    <w:pPr>
      <w:spacing w:before="0" w:after="45" w:line="80" w:lineRule="auto"/>
      <w:widowControl/>
      <w:keepLines/>
    </w:pPr>
    <w:rPr>
      <w:sz w:val="2"/>
      <w:szCs w:val="2"/>
      <w:color w:val="203040"/>
    </w:rPr>
  </w:style>
  <w:style w:type="paragraph" w:styleId="Header">
    <w:name w:val="Head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  <w:style w:type="paragraph" w:styleId="Footer">
    <w:name w:val="Footer"/>
    <w:next w:val="Normal"/>
    <w:basedOn w:val="Normal"/>
    <w:pPr>
      <w:spacing w:before="0" w:after="0" w:line="250" w:lineRule="auto"/>
      <w:widowControl/>
      <w:keepLines/>
    </w:pPr>
    <w:rPr>
      <w:sz w:val="16"/>
      <w:szCs w:val="16"/>
      <w:color w:val="526477"/>
    </w:rPr>
  </w:style>
</w:styles>
</file>

<file path=word/_rels/document.xml.rels><?xml version='1.0' encoding='utf-8'?>
<Relationships xmlns="http://schemas.openxmlformats.org/package/2006/relationships"><Relationship Id="rIdStyles" Type="http://schemas.openxmlformats.org/officeDocument/2006/relationships/styles" Target="styles.xml" /><Relationship Id="rIdSettings" Type="http://schemas.openxmlformats.org/officeDocument/2006/relationships/settings" Target="settings.xml" /><Relationship Id="rIdHeader" Type="http://schemas.openxmlformats.org/officeDocument/2006/relationships/header" Target="header1.xml" /><Relationship Id="rIdFooter" Type="http://schemas.openxmlformats.org/officeDocument/2006/relationships/footer" Target="footer1.xml" /></Relationships>
</file>

<file path=docProps/app.xml><?xml version="1.0" encoding="utf-8"?>
<ns0:Properties xmlns:ns0="http://schemas.openxmlformats.org/officeDocument/2006/extended-properties">
  <ns0:Application>Microsoft Office Word</ns0:Application>
  <ns0:Pages>4</ns0:Pages>
  <ns0:Company>TW</ns0:Company>
  <ns0:AppVersion>16.0000</ns0:AppVersion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Allianz Facility 結算日規則摘要及同仁覆核問卷</dc:title>
  <dc:subject>已確認規則摘要；6題同仁覆核；保費逾期自動顯示；收付人工登錄；理賠15天到帳及每7天追蹤</dc:subject>
  <dc:creator>TW Reinsurance Department</dc:creator>
  <ns0:lastModifiedBy>TW Reinsurance Department</ns0:lastModifiedBy>
  <ns2:created xsi:type="dcterms:W3CDTF">2026-10-19T01:53:49Z</ns2:created>
  <ns2:modified xsi:type="dcterms:W3CDTF">2026-10-19T01:53:49Z</ns2:modified>
</ns0:coreProperties>
</file>