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Reinsurance Department System</w:t>
      </w:r>
    </w:p>
    <w:p>
      <w:pPr>
        <w:pStyle w:val="Title"/>
      </w:pPr>
      <w:r>
        <w:t xml:space="preserve">MDM 主檔管理說明</w:t>
      </w:r>
    </w:p>
    <w:p>
      <w:pPr>
        <w:pStyle w:val="Subtitle"/>
      </w:pPr>
      <w:r>
        <w:t xml:space="preserve">目前 VM 完整說明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00"/>
        <w:gridCol w:w="7100"/>
      </w:tblGrid>
      <w:tr>
        <w:trPr>
          <w:cantSplit/>
          <w:tblHeader/>
        </w:trPr>
        <w:tc>
          <w:tcPr>
            <w:tcW w:w="1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文件資訊</w:t>
            </w:r>
          </w:p>
        </w:tc>
        <w:tc>
          <w:tcPr>
            <w:tcW w:w="7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內容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版本日期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2026-10-21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現況核對時間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2026-10-21 09:26:35（台灣時間）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公告核對期間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2026-10-13 17:30 至本次現況核對時間；文件內容為完整現況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資料來源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VM 實際資料庫中繼資料、執行中容器、部署原始碼及設定。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適用系統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http://ri-dev.tw-insure.com（公司 VM 正式系統）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文件範圍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包含畫面、後端規則、儲存結構、權限及維護事項。內容只說明目前部署現況。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閱讀方式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欄位及型態以資料庫為準；API 名稱使用 camelCase，SQL 欄位使用 snake_case。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te"/>
      </w:pPr>
      <w:r>
        <w:t xml:space="preserve">文件不含帳號密碼、金鑰、SMTP 憑證或實際案件資料。</w:t>
      </w:r>
    </w:p>
    <w:p>
      <w:r>
        <w:br w:type="page"/>
      </w:r>
    </w:p>
    <w:p>
      <w:pPr>
        <w:pStyle w:val="Heading1"/>
      </w:pPr>
      <w:bookmarkStart w:id="1" w:name="contents"/>
      <w:r>
        <w:t xml:space="preserve">目錄</w:t>
      </w:r>
      <w:bookmarkEnd w:id="1"/>
    </w:p>
    <w:p>
      <w:pPr>
        <w:pStyle w:val="TOC1"/>
      </w:pPr>
      <w:hyperlink w:anchor="sec1">
        <w:r>
          <w:rPr>
            <w:color w:val="245C80"/>
          </w:rPr>
          <w:t xml:space="preserve">1. 架構總覽</w:t>
        </w:r>
      </w:hyperlink>
    </w:p>
    <w:p>
      <w:pPr>
        <w:pStyle w:val="TOC1"/>
      </w:pPr>
      <w:hyperlink w:anchor="sec2">
        <w:r>
          <w:rPr>
            <w:color w:val="245C80"/>
          </w:rPr>
          <w:t xml:space="preserve">2. 主檔種類</w:t>
        </w:r>
      </w:hyperlink>
    </w:p>
    <w:p>
      <w:pPr>
        <w:pStyle w:val="TOC1"/>
      </w:pPr>
      <w:hyperlink w:anchor="sec3">
        <w:r>
          <w:rPr>
            <w:color w:val="245C80"/>
          </w:rPr>
          <w:t xml:space="preserve">3. 各主檔的欄位與規則</w:t>
        </w:r>
      </w:hyperlink>
    </w:p>
    <w:p>
      <w:pPr>
        <w:pStyle w:val="TOC1"/>
      </w:pPr>
      <w:hyperlink w:anchor="sec4">
        <w:r>
          <w:rPr>
            <w:color w:val="245C80"/>
          </w:rPr>
          <w:t xml:space="preserve">4. 生命週期與操作</w:t>
        </w:r>
      </w:hyperlink>
    </w:p>
    <w:p>
      <w:pPr>
        <w:pStyle w:val="TOC1"/>
      </w:pPr>
      <w:hyperlink w:anchor="sec5">
        <w:r>
          <w:rPr>
            <w:color w:val="245C80"/>
          </w:rPr>
          <w:t xml:space="preserve">5. 權限</w:t>
        </w:r>
      </w:hyperlink>
    </w:p>
    <w:p>
      <w:pPr>
        <w:pStyle w:val="TOC1"/>
      </w:pPr>
      <w:hyperlink w:anchor="sec6">
        <w:r>
          <w:rPr>
            <w:color w:val="245C80"/>
          </w:rPr>
          <w:t xml:space="preserve">6. 現況與維護</w:t>
        </w:r>
      </w:hyperlink>
    </w:p>
    <w:p>
      <w:pPr>
        <w:pStyle w:val="TOC1"/>
      </w:pPr>
      <w:hyperlink w:anchor="sec7">
        <w:r>
          <w:rPr>
            <w:color w:val="245C80"/>
          </w:rPr>
          <w:t xml:space="preserve">7. API 與範例</w:t>
        </w:r>
      </w:hyperlink>
    </w:p>
    <w:p>
      <w:pPr>
        <w:pStyle w:val="TOC1"/>
      </w:pPr>
      <w:hyperlink w:anchor="sec8">
        <w:r>
          <w:rPr>
            <w:color w:val="245C80"/>
          </w:rPr>
          <w:t xml:space="preserve">8. 核對來源</w:t>
        </w:r>
      </w:hyperlink>
    </w:p>
    <w:p>
      <w:pPr>
        <w:pStyle w:val="Note"/>
      </w:pPr>
      <w:r>
        <w:t xml:space="preserve">點選章節名稱可跳至本文。資料表欄位、索引與約束另列於各表下方。</w:t>
      </w:r>
    </w:p>
    <w:p>
      <w:r>
        <w:br w:type="page"/>
      </w:r>
    </w:p>
    <w:p>
      <w:pPr>
        <w:pStyle w:val="Heading1"/>
      </w:pPr>
      <w:bookmarkStart w:id="2" w:name="sec1"/>
      <w:r>
        <w:t xml:space="preserve">1. 架構總覽</w:t>
      </w:r>
      <w:bookmarkEnd w:id="2"/>
    </w:p>
    <w:p>
      <w:pPr>
        <w:pStyle w:val="Normal"/>
      </w:pPr>
      <w:r>
        <w:t xml:space="preserve">主檔是案件、文件、業績與會計作業共用的標準資料。系統以 MySQL 逐筆保存，不以一份共用 JSON 檔作為主檔來源。六種業務主檔共用 ri_master_records；Lloyd’s 共用評等另存 ri_market_rating_profiles，人員及匯率亦有獨立資料表。</w:t>
      </w:r>
    </w:p>
    <w:p>
      <w:pPr>
        <w:pStyle w:val="Bullet"/>
      </w:pPr>
      <w:r>
        <w:t xml:space="preserve">• 每筆可修改主檔都有 row_version；編輯需提交讀取時的版本，衝突回 409，不覆蓋另一位同事的變更。</w:t>
      </w:r>
    </w:p>
    <w:p>
      <w:pPr>
        <w:pStyle w:val="Bullet"/>
      </w:pPr>
      <w:r>
        <w:t xml:space="preserve">• 主檔及人員以停用／重新啟用維護，不提供實體刪除；停用後保留歷史案件引用。</w:t>
      </w:r>
    </w:p>
    <w:p>
      <w:pPr>
        <w:pStyle w:val="Bullet"/>
      </w:pPr>
      <w:r>
        <w:t xml:space="preserve">• SQL 欄位、JSON payload、API 驗證是不同層次。JSON 內 Class／Personnel 等 ID 並非 SQL 外鍵，需由程式檢查。</w:t>
      </w:r>
    </w:p>
    <w:p>
      <w:pPr>
        <w:pStyle w:val="Bullet"/>
      </w:pPr>
      <w:r>
        <w:t xml:space="preserve">• 案件保留主檔引用與當時名稱快照；改名不自動改寫既有案件。</w:t>
      </w:r>
    </w:p>
    <w:p>
      <w:pPr>
        <w:pStyle w:val="Bullet"/>
      </w:pPr>
      <w:r>
        <w:t xml:space="preserve">• 操作服務仍呼叫 Audit／Snapshot，但目前 Audit 暫停，Snapshot 正常。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00"/>
        <w:gridCol w:w="6700"/>
      </w:tblGrid>
      <w:tr>
        <w:trPr>
          <w:cantSplit/>
          <w:tblHeader/>
        </w:trPr>
        <w:tc>
          <w:tcPr>
            <w:tcW w:w="2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項目</w:t>
            </w:r>
          </w:p>
        </w:tc>
        <w:tc>
          <w:tcPr>
            <w:tcW w:w="6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目前部署狀態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系統定位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公司 VM 為正式系統與唯一規格；Alpha 搬遷已完成。網址 http://ri-dev.tw-insure.com。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稽核事件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AUDIT_LOG_ENABLED=true；AUDIT_LOG_PAUSED=true。Audit 暫停寫入，重新啟用不補寫暫停期間事件；Entity Snapshot 持續寫入。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SMTP／忘記密碼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EMAIL_ENABLED=false，忘記密碼入口隱藏；財務提醒有獨立開關，現行已要求啟用但 SMTP 未配置，PAYMENT_REMINDER_EMAIL_ENABLED=false。提醒保留紀錄及預覽，不實際寄送。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文件產生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僅 Word (.docx)；舊 PDF API 回 410，正式 Compose 已移除 Gotenberg。離線預覽不等於正式 PDF 功能。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連線／備份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目前 HTTP，HTTPS 與排程備份尚未配置；需另備份 MySQL、文件 volume 及指南映像。</w:t>
            </w:r>
          </w:p>
        </w:tc>
      </w:tr>
      <w:tr>
        <w:trPr>
          <w:cantSplit/>
        </w:trPr>
        <w:tc>
          <w:tcPr>
            <w:tcW w:w="2300" w:type="dxa"/>
            <w:shd w:fill="F1F5F8"/>
            <w:vAlign w:val="top"/>
          </w:tcPr>
          <w:p>
            <w:pPr>
              <w:pStyle w:val="TableText"/>
            </w:pPr>
            <w:r>
              <w:t xml:space="preserve">閒置登入</w:t>
            </w:r>
          </w:p>
        </w:tc>
        <w:tc>
          <w:tcPr>
            <w:tcW w:w="6700" w:type="dxa"/>
            <w:shd w:fill="F1F5F8"/>
            <w:vAlign w:val="top"/>
          </w:tcPr>
          <w:p>
            <w:pPr>
              <w:pStyle w:val="TableText"/>
            </w:pPr>
            <w:r>
              <w:t xml:space="preserve">三小時未操作登出，提前五分鐘提示 Continue using；一般 API 讀取不延長期限，未存內容不自動保存。</w:t>
            </w:r>
          </w:p>
        </w:tc>
      </w:tr>
      <w:tr>
        <w:trPr>
          <w:cantSplit/>
        </w:trPr>
        <w:tc>
          <w:tcPr>
            <w:tcW w:w="2300" w:type="dxa"/>
            <w:shd w:fill="FFFFFF"/>
            <w:vAlign w:val="top"/>
          </w:tcPr>
          <w:p>
            <w:pPr>
              <w:pStyle w:val="TableText"/>
            </w:pPr>
            <w:r>
              <w:t xml:space="preserve">參考文件</w:t>
            </w:r>
          </w:p>
        </w:tc>
        <w:tc>
          <w:tcPr>
            <w:tcW w:w="6700" w:type="dxa"/>
            <w:shd w:fill="FFFFFF"/>
            <w:vAlign w:val="top"/>
          </w:tcPr>
          <w:p>
            <w:pPr>
              <w:pStyle w:val="TableText"/>
            </w:pPr>
            <w:r>
              <w:t xml:space="preserve">System Reference Data 僅 System Administrator 可見；System Guides 的 MDM／Schema 本版日期 2026-10-21。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3" w:name="sec2"/>
      <w:r>
        <w:t xml:space="preserve">2. 主檔種類</w:t>
      </w:r>
      <w:bookmarkEnd w:id="3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700"/>
        <w:gridCol w:w="2950"/>
        <w:gridCol w:w="4350"/>
      </w:tblGrid>
      <w:tr>
        <w:trPr>
          <w:cantSplit/>
          <w:tblHeader/>
        </w:trPr>
        <w:tc>
          <w:tcPr>
            <w:tcW w:w="1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名稱</w:t>
            </w:r>
          </w:p>
        </w:tc>
        <w:tc>
          <w:tcPr>
            <w:tcW w:w="29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儲存位置／種類</w:t>
            </w:r>
          </w:p>
        </w:tc>
        <w:tc>
          <w:tcPr>
            <w:tcW w:w="43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Account Executive</w:t>
            </w:r>
          </w:p>
        </w:tc>
        <w:tc>
          <w:tcPr>
            <w:tcW w:w="295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 / ae</w:t>
            </w:r>
          </w:p>
        </w:tc>
        <w:tc>
          <w:tcPr>
            <w:tcW w:w="4350" w:type="dxa"/>
            <w:shd w:fill="FFFFFF"/>
            <w:vAlign w:val="top"/>
          </w:tcPr>
          <w:p>
            <w:pPr>
              <w:pStyle w:val="TableText"/>
            </w:pPr>
            <w:r>
              <w:t xml:space="preserve">案件業務經辦名稱；人員聯絡與登入另由 Personnel 管理。</w:t>
            </w:r>
          </w:p>
        </w:tc>
      </w:tr>
      <w:tr>
        <w:trPr>
          <w:cantSplit/>
        </w:trPr>
        <w:tc>
          <w:tcPr>
            <w:tcW w:w="1700" w:type="dxa"/>
            <w:shd w:fill="F1F5F8"/>
            <w:vAlign w:val="top"/>
          </w:tcPr>
          <w:p>
            <w:pPr>
              <w:pStyle w:val="TableText"/>
            </w:pPr>
            <w:r>
              <w:t xml:space="preserve">Reinsurer</w:t>
            </w:r>
          </w:p>
        </w:tc>
        <w:tc>
          <w:tcPr>
            <w:tcW w:w="295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ri_master_records / reinsurer</w:t>
            </w:r>
          </w:p>
        </w:tc>
        <w:tc>
          <w:tcPr>
            <w:tcW w:w="4350" w:type="dxa"/>
            <w:shd w:fill="F1F5F8"/>
            <w:vAlign w:val="top"/>
          </w:tcPr>
          <w:p>
            <w:pPr>
              <w:pStyle w:val="TableText"/>
            </w:pPr>
            <w:r>
              <w:t xml:space="preserve">再保人、簡稱、固定條款與評等。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Reinsured</w:t>
            </w:r>
          </w:p>
        </w:tc>
        <w:tc>
          <w:tcPr>
            <w:tcW w:w="295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 / reinsured</w:t>
            </w:r>
          </w:p>
        </w:tc>
        <w:tc>
          <w:tcPr>
            <w:tcW w:w="4350" w:type="dxa"/>
            <w:shd w:fill="FFFFFF"/>
            <w:vAlign w:val="top"/>
          </w:tcPr>
          <w:p>
            <w:pPr>
              <w:pStyle w:val="TableText"/>
            </w:pPr>
            <w:r>
              <w:t xml:space="preserve">原保險人名稱、簡稱及地址。</w:t>
            </w:r>
          </w:p>
        </w:tc>
      </w:tr>
      <w:tr>
        <w:trPr>
          <w:cantSplit/>
        </w:trPr>
        <w:tc>
          <w:tcPr>
            <w:tcW w:w="1700" w:type="dxa"/>
            <w:shd w:fill="F1F5F8"/>
            <w:vAlign w:val="top"/>
          </w:tcPr>
          <w:p>
            <w:pPr>
              <w:pStyle w:val="TableText"/>
            </w:pPr>
            <w:r>
              <w:t xml:space="preserve">Class</w:t>
            </w:r>
          </w:p>
        </w:tc>
        <w:tc>
          <w:tcPr>
            <w:tcW w:w="295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ri_master_records / class</w:t>
            </w:r>
          </w:p>
        </w:tc>
        <w:tc>
          <w:tcPr>
            <w:tcW w:w="4350" w:type="dxa"/>
            <w:shd w:fill="F1F5F8"/>
            <w:vAlign w:val="top"/>
          </w:tcPr>
          <w:p>
            <w:pPr>
              <w:pStyle w:val="TableText"/>
            </w:pPr>
            <w:r>
              <w:t xml:space="preserve">險種名稱、代碼及險種固定條款。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Foreign RI Broker</w:t>
            </w:r>
          </w:p>
        </w:tc>
        <w:tc>
          <w:tcPr>
            <w:tcW w:w="295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 / foreign_broker</w:t>
            </w:r>
          </w:p>
        </w:tc>
        <w:tc>
          <w:tcPr>
            <w:tcW w:w="4350" w:type="dxa"/>
            <w:shd w:fill="FFFFFF"/>
            <w:vAlign w:val="top"/>
          </w:tcPr>
          <w:p>
            <w:pPr>
              <w:pStyle w:val="TableText"/>
            </w:pPr>
            <w:r>
              <w:t xml:space="preserve">海外再保經紀人名稱及簡稱。</w:t>
            </w:r>
          </w:p>
        </w:tc>
      </w:tr>
      <w:tr>
        <w:trPr>
          <w:cantSplit/>
        </w:trPr>
        <w:tc>
          <w:tcPr>
            <w:tcW w:w="1700" w:type="dxa"/>
            <w:shd w:fill="F1F5F8"/>
            <w:vAlign w:val="top"/>
          </w:tcPr>
          <w:p>
            <w:pPr>
              <w:pStyle w:val="TableText"/>
            </w:pPr>
            <w:r>
              <w:t xml:space="preserve">Clause</w:t>
            </w:r>
          </w:p>
        </w:tc>
        <w:tc>
          <w:tcPr>
            <w:tcW w:w="295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ri_master_records / clause</w:t>
            </w:r>
          </w:p>
        </w:tc>
        <w:tc>
          <w:tcPr>
            <w:tcW w:w="4350" w:type="dxa"/>
            <w:shd w:fill="F1F5F8"/>
            <w:vAlign w:val="top"/>
          </w:tcPr>
          <w:p>
            <w:pPr>
              <w:pStyle w:val="TableText"/>
            </w:pPr>
            <w:r>
              <w:t xml:space="preserve">條款代碼及全名；兩條系統通用條款由程式管理。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</w:t>
            </w:r>
          </w:p>
        </w:tc>
        <w:tc>
          <w:tcPr>
            <w:tcW w:w="295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</w:t>
            </w:r>
          </w:p>
        </w:tc>
        <w:tc>
          <w:tcPr>
            <w:tcW w:w="4350" w:type="dxa"/>
            <w:shd w:fill="FFFFFF"/>
            <w:vAlign w:val="top"/>
          </w:tcPr>
          <w:p>
            <w:pPr>
              <w:pStyle w:val="TableText"/>
            </w:pPr>
            <w:r>
              <w:t xml:space="preserve">人員、部門、角色、主管、分績及帳號綁定。</w:t>
            </w:r>
          </w:p>
        </w:tc>
      </w:tr>
      <w:tr>
        <w:trPr>
          <w:cantSplit/>
        </w:trPr>
        <w:tc>
          <w:tcPr>
            <w:tcW w:w="1700" w:type="dxa"/>
            <w:shd w:fill="F1F5F8"/>
            <w:vAlign w:val="top"/>
          </w:tcPr>
          <w:p>
            <w:pPr>
              <w:pStyle w:val="TableText"/>
            </w:pPr>
            <w:r>
              <w:t xml:space="preserve">FX Rates</w:t>
            </w:r>
          </w:p>
        </w:tc>
        <w:tc>
          <w:tcPr>
            <w:tcW w:w="2950" w:type="dxa"/>
            <w:shd w:fill="F1F5F8"/>
            <w:vAlign w:val="top"/>
          </w:tcPr>
          <w:p>
            <w:pPr>
              <w:pStyle w:val="TableText"/>
            </w:pPr>
            <w:r>
              <w:t xml:space="preserve">ri_fx_rates</w:t>
            </w:r>
          </w:p>
        </w:tc>
        <w:tc>
          <w:tcPr>
            <w:tcW w:w="4350" w:type="dxa"/>
            <w:shd w:fill="F1F5F8"/>
            <w:vAlign w:val="top"/>
          </w:tcPr>
          <w:p>
            <w:pPr>
              <w:pStyle w:val="TableText"/>
            </w:pPr>
            <w:r>
              <w:t xml:space="preserve">每月六種外幣兌 TWD 匯率。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Dashboard Targets</w:t>
            </w:r>
          </w:p>
        </w:tc>
        <w:tc>
          <w:tcPr>
            <w:tcW w:w="295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</w:t>
            </w:r>
          </w:p>
        </w:tc>
        <w:tc>
          <w:tcPr>
            <w:tcW w:w="4350" w:type="dxa"/>
            <w:shd w:fill="FFFFFF"/>
            <w:vAlign w:val="top"/>
          </w:tcPr>
          <w:p>
            <w:pPr>
              <w:pStyle w:val="TableText"/>
            </w:pPr>
            <w:r>
              <w:t xml:space="preserve">年度／月度目標；屬另立設定資料，附於第 3.9 節。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4" w:name="sec3"/>
      <w:r>
        <w:t xml:space="preserve">3. 各主檔的欄位與規則</w:t>
      </w:r>
      <w:bookmarkEnd w:id="4"/>
    </w:p>
    <w:p>
      <w:pPr>
        <w:pStyle w:val="Heading2"/>
      </w:pPr>
      <w:bookmarkStart w:id="5" w:name="heading_5"/>
      <w:r>
        <w:t xml:space="preserve">3.1 六種業務主檔的共用欄位（ri_master_records）</w:t>
      </w:r>
      <w:bookmarkEnd w:id="5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實體種類；主檔為六種固定值，稽核與匯入則用文字識別。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varchar(80)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業務代碼；主檔 API 轉大寫，空白代碼存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名稱；各表唯一性範圍依其 UNIQUE 約束。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display_order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0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排序欄位，預設 0；目前 API 列表按種類、啟用狀態、名稱、ID 排序。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payload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{}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業務 JSON 內容；型態、子欄位及後端規則另見資料字典。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entity_type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ae = AE；reinsurer = Reinsurer；reinsured = Reinsured；class = Class；foreign_broker = Foreign RI Broker；clause = Clause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ri_master_r_entity__e81e05_idx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is_active)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ri_master_records_type_code_unique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(entity_type, code)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ri_master_records_type_name_unique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(entity_type, name)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名稱必填，去首尾空白後最多 240 字；代碼最多 80 字，轉大寫，只有 Clause 要求代碼必填。長文字在多數主檔輸入處會截斷，不能假設全數回報超長錯誤。</w:t>
      </w:r>
    </w:p>
    <w:p>
      <w:pPr>
        <w:pStyle w:val="Bullet"/>
      </w:pPr>
      <w:r>
        <w:t xml:space="preserve">• 種類不允許改變。同種類 name 及非空 code 各自唯一，包含停用列；名稱重複回 duplicate_name，代碼重複回 duplicate_code。</w:t>
      </w:r>
    </w:p>
    <w:p>
      <w:pPr>
        <w:pStyle w:val="Bullet"/>
      </w:pPr>
      <w:r>
        <w:t xml:space="preserve">• MySQL utf8mb4_0900_ai_ci 比對不分大小寫及重音；資料庫最終唯一約束可能比案件名稱精確解析更嚴格。</w:t>
      </w:r>
    </w:p>
    <w:p>
      <w:pPr>
        <w:pStyle w:val="Bullet"/>
      </w:pPr>
      <w:r>
        <w:t xml:space="preserve">• payload 接受 JSON 物件或可解析成物件的 JSON 字串；NULL、陣列、NaN、Infinity 拒絕。PUT 未傳 payload 保留原值，傳入則依種類重新整理並丟棄未定義鍵。</w:t>
      </w:r>
    </w:p>
    <w:p>
      <w:pPr>
        <w:pStyle w:val="Bullet"/>
      </w:pPr>
      <w:r>
        <w:t xml:space="preserve">• GET 包含啟用及停用列；counts 只計啟用列。POST 建立為啟用、版本 1；display_order 雖有 SQL 欄位，但目前 POST／PUT 不提供自由設定。</w:t>
      </w:r>
    </w:p>
    <w:p>
      <w:pPr>
        <w:pStyle w:val="Heading2"/>
      </w:pPr>
      <w:bookmarkStart w:id="6" w:name="heading_6"/>
      <w:r>
        <w:t xml:space="preserve">3.2 Account Executive（AE）</w:t>
      </w:r>
      <w:bookmarkEnd w:id="6"/>
    </w:p>
    <w:p>
      <w:pPr>
        <w:pStyle w:val="Normal"/>
      </w:pPr>
      <w:r>
        <w:t xml:space="preserve">entityType=ae。畫面顯示 Account Executive；API 與 SQL 識別 ae 不變。名稱用於案件 Account Executive 選項；code 為可選代碼，payload 正常整理為 {}。不在 AE 主檔保存帳號、密碼、部門、Email 或主管資料，這些由 Personnel 管理。AE 名稱與登入人員名稱並沒有 SQL 一對一約束。</w:t>
      </w:r>
    </w:p>
    <w:p>
      <w:pPr>
        <w:pStyle w:val="Heading2"/>
      </w:pPr>
      <w:bookmarkStart w:id="7" w:name="heading_7"/>
      <w:r>
        <w:t xml:space="preserve">3.3 Reinsurer（再保人）</w:t>
      </w:r>
      <w:bookmarkEnd w:id="7"/>
    </w:p>
    <w:p>
      <w:pPr>
        <w:pStyle w:val="Normal"/>
      </w:pPr>
      <w:r>
        <w:t xml:space="preserve">entityType=reinsurer。除共用欄位外，payload 固定整理為 abbreviation、fixedClauses、ratings；再保人可以透過 Foreign RI Broker 結算，但結算選擇存於案件的 reinsurers[].foreignBroker。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100"/>
        <w:gridCol w:w="2100"/>
        <w:gridCol w:w="3800"/>
      </w:tblGrid>
      <w:tr>
        <w:trPr>
          <w:cantSplit/>
          <w:tblHeader/>
        </w:trPr>
        <w:tc>
          <w:tcPr>
            <w:tcW w:w="3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JSON 路徑</w:t>
            </w:r>
          </w:p>
        </w:tc>
        <w:tc>
          <w:tcPr>
            <w:tcW w:w="2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型態／限制</w:t>
            </w:r>
          </w:p>
        </w:tc>
        <w:tc>
          <w:tcPr>
            <w:tcW w:w="3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說明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abbreviation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≤80</w:t>
            </w:r>
          </w:p>
        </w:tc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再保人簡稱。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fixedClauses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陣列 ≤100</w:t>
            </w:r>
          </w:p>
        </w:tc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每列含 code、title，可選 classIds。不能重複條款代碼。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fixedClauses[].code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≤80</w:t>
            </w:r>
          </w:p>
        </w:tc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去空白、轉大寫、內部空白改底線；必填。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fixedClauses[].title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≤300</w:t>
            </w:r>
          </w:p>
        </w:tc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條款全名，必填。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fixedClauses[].classIds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正整數 ID 陣列 ≤100</w:t>
            </w:r>
          </w:p>
        </w:tc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省略或 NULL = All classes；提供時不得為空，去重後排序，所有 ID 必須是既有 Class。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ratings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陣列 ≤50</w:t>
            </w:r>
          </w:p>
        </w:tc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人工維護評等；每列必須為物件。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ratings[].agency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≤120</w:t>
            </w:r>
          </w:p>
        </w:tc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評等機構，必填。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ratings[].grade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≤80</w:t>
            </w:r>
          </w:p>
        </w:tc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評等，必填。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ratings[].outlook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≤80</w:t>
            </w:r>
          </w:p>
        </w:tc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展望。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ratings[].ratingType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≤120</w:t>
            </w:r>
          </w:p>
        </w:tc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評等種類。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ratings[].asOfDate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≤40</w:t>
            </w:r>
          </w:p>
        </w:tc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評等日期文字；目前未驗證日期格式。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ratings[].legalEntity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≤240</w:t>
            </w:r>
          </w:p>
        </w:tc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受評法律實體。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ratings[].sourceUrl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≤1000</w:t>
            </w:r>
          </w:p>
        </w:tc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資料來源文字；未限制 URL 格式。</w:t>
            </w:r>
          </w:p>
        </w:tc>
      </w:tr>
      <w:tr>
        <w:trPr>
          <w:cantSplit/>
        </w:trPr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ratings[].checkedAt</w:t>
            </w:r>
          </w:p>
        </w:tc>
        <w:tc>
          <w:tcPr>
            <w:tcW w:w="21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≤80</w:t>
            </w:r>
          </w:p>
        </w:tc>
        <w:tc>
          <w:tcPr>
            <w:tcW w:w="3800" w:type="dxa"/>
            <w:shd w:fill="F1F5F8"/>
            <w:vAlign w:val="top"/>
          </w:tcPr>
          <w:p>
            <w:pPr>
              <w:pStyle w:val="TableText"/>
            </w:pPr>
            <w:r>
              <w:t xml:space="preserve">查核時間文字。</w:t>
            </w:r>
          </w:p>
        </w:tc>
      </w:tr>
      <w:tr>
        <w:trPr>
          <w:cantSplit/>
        </w:trPr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ratings[].status</w:t>
            </w:r>
          </w:p>
        </w:tc>
        <w:tc>
          <w:tcPr>
            <w:tcW w:w="21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≤80</w:t>
            </w:r>
          </w:p>
        </w:tc>
        <w:tc>
          <w:tcPr>
            <w:tcW w:w="3800" w:type="dxa"/>
            <w:shd w:fill="FFFFFF"/>
            <w:vAlign w:val="top"/>
          </w:tcPr>
          <w:p>
            <w:pPr>
              <w:pStyle w:val="TableText"/>
            </w:pPr>
            <w:r>
              <w:t xml:space="preserve">評等狀態文字；非固定 enum。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classIds 的存在檢查涵蓋停用 Class，並非只接受啟用列；是否顯示選項由畫面另行過濾。</w:t>
      </w:r>
    </w:p>
    <w:p>
      <w:pPr>
        <w:pStyle w:val="Bullet"/>
      </w:pPr>
      <w:r>
        <w:t xml:space="preserve">• 固定條款內嵌 code/title，不是對 Clause 表的 FK；Clause 改名不批次覆寫既有 JSON；案件畫面與新產生 Word 的 Title 另按目前 MDM 解析。</w:t>
      </w:r>
    </w:p>
    <w:p>
      <w:pPr>
        <w:pStyle w:val="Bullet"/>
      </w:pPr>
      <w:r>
        <w:t xml:space="preserve">• LMA3333、INTERMEDIARY 為通用條款，不得放入再保人或 Class 的固定條款。</w:t>
      </w:r>
    </w:p>
    <w:p>
      <w:pPr>
        <w:pStyle w:val="Bullet"/>
      </w:pPr>
      <w:r>
        <w:t xml:space="preserve">• 普通再保人評等由維護人員確認；Lloyd’s 成員強制共用市場評等，不允許成員自行覆寫。系統不自動向外部網站擷取評等。</w:t>
      </w:r>
    </w:p>
    <w:p>
      <w:pPr>
        <w:pStyle w:val="Heading3"/>
      </w:pPr>
      <w:bookmarkStart w:id="8" w:name="heading_8"/>
      <w:r>
        <w:t xml:space="preserve">AUW 案件規則（程式規則，非新增主檔欄位）</w:t>
      </w:r>
      <w:bookmarkEnd w:id="8"/>
    </w:p>
    <w:p>
      <w:pPr>
        <w:pStyle w:val="Normal"/>
      </w:pPr>
      <w:r>
        <w:t xml:space="preserve">目標再保人名稱為 Lloyd's Underwriter Syndicate No. 0609 AUW (Facility)。辨識會合併連續空白並忽略大小寫，不依任意簡稱或代碼判定。</w:t>
      </w:r>
    </w:p>
    <w:p>
      <w:pPr>
        <w:pStyle w:val="Bullet"/>
      </w:pPr>
      <w:r>
        <w:t xml:space="preserve">• 選擇 AUW 時 Deductions 預設 10%，可由使用者修改；Tax 固定 0%；Foreign RI Broker 固定 Howden Specialty Limited；Payment terms 固定 120 天，分期再保人覆寫亦不可改成其他天數。</w:t>
      </w:r>
    </w:p>
    <w:p>
      <w:pPr>
        <w:pStyle w:val="Bullet"/>
      </w:pPr>
      <w:r>
        <w:t xml:space="preserve">• AUW 草稿存檔即須填 TW Ref. (for AUW)，含 AUW 的續保／批單建立前也需新編號。手填值單行、最多 160 個 UTF-16 單位，保留前導零與標點。</w:t>
      </w:r>
    </w:p>
    <w:p>
      <w:pPr>
        <w:pStyle w:val="Bullet"/>
      </w:pPr>
      <w:r>
        <w:t xml:space="preserve">• 全為 AUW 的案件 Announce 以手填編號作主 TW Ref，不消耗自動流水號；混合再保人案件保留自動主編號與額外 AUW 編號，兩者相同時顯示去重。</w:t>
      </w:r>
    </w:p>
    <w:p>
      <w:pPr>
        <w:pStyle w:val="Bullet"/>
      </w:pPr>
      <w:r>
        <w:t xml:space="preserve">• 編號不可與其他案件的主編號、AUW 編號或歷史編號重複，封存／回收案件仍占用編號；純 AUW 主編號 Announce 後鎖定。</w:t>
      </w:r>
    </w:p>
    <w:p>
      <w:pPr>
        <w:pStyle w:val="Bullet"/>
      </w:pPr>
      <w:r>
        <w:t xml:space="preserve">• AUW 實際付款日為適用基準日所在月的月底加 120 日，不做週末或假日順延；Accounting 日為提前 10 日的台灣時間 12:00。批單基準取實際 Announce 日與批單生效日較晚者。</w:t>
      </w:r>
    </w:p>
    <w:p>
      <w:pPr>
        <w:pStyle w:val="Bullet"/>
      </w:pPr>
      <w:r>
        <w:t xml:space="preserve">• 其他再保人不套用 AUW 固定條件。這些規則不由 MDM 畫面自由改寫，需變更後端及對應前端規則。</w:t>
      </w:r>
    </w:p>
    <w:p>
      <w:pPr>
        <w:pStyle w:val="Heading2"/>
      </w:pPr>
      <w:bookmarkStart w:id="9" w:name="heading_9"/>
      <w:r>
        <w:t xml:space="preserve">3.3.1 Swiss Facility Property</w:t>
      </w:r>
      <w:bookmarkEnd w:id="9"/>
    </w:p>
    <w:p>
      <w:pPr>
        <w:pStyle w:val="Normal"/>
      </w:pPr>
      <w:r>
        <w:t xml:space="preserve">適用 Class=Property 且 Schedule of Security 含 Swiss Re Asia Pte. Ltd., Hong Kong Branch (Facility)。名稱合併連續空白並忽略大小寫；不是可自由調整的 MDM 參數。</w:t>
      </w:r>
    </w:p>
    <w:p>
      <w:pPr>
        <w:pStyle w:val="Bullet"/>
      </w:pPr>
      <w:r>
        <w:t xml:space="preserve">• Cedant 與 Swiss 天數固定 90，Cedant 提醒／Accounting 日為基準加 75 日；批單基準取實際公告日與生效日較晚者。Swiss 結算日 2/14、5/14、8/14、11/14，前月月底為截日，未收齊或確認較晚時按規則延後。</w:t>
      </w:r>
    </w:p>
    <w:p>
      <w:pPr>
        <w:pStyle w:val="Bullet"/>
      </w:pPr>
      <w:r>
        <w:t xml:space="preserve">• 已公告但未 Production close 的項目仍在單一清單標示 Awaiting Production close；正式交易產生後透過 cashParts 對照，不重複列帳。</w:t>
      </w:r>
    </w:p>
    <w:p>
      <w:pPr>
        <w:pStyle w:val="Bullet"/>
      </w:pPr>
      <w:r>
        <w:t xml:space="preserve">• 收款與結清分開。須逐筆結清已產生的 Cedant T1；系統只在整期對應交易全部確認後彙總 Swiss 收妥證據，不再提供獨立 Confirm collected 取代逐筆結清。</w:t>
      </w:r>
    </w:p>
    <w:p>
      <w:pPr>
        <w:pStyle w:val="Bullet"/>
      </w:pPr>
      <w:r>
        <w:t xml:space="preserve">• Swiss 正向應付須 Cedant 整期結清；對帳單期別有變動時先人工修訂並確認 reference。退費不得混合正負保費，須收齊並逐筆確認全部再保人退款後才退給 Cedant。</w:t>
      </w:r>
    </w:p>
    <w:p>
      <w:pPr>
        <w:pStyle w:val="Bullet"/>
      </w:pPr>
      <w:r>
        <w:t xml:space="preserve">• Offset with original 限同一原保單及直接退費批單、同幣別、同相對人及同 Swiss 結算期，抵銷完整退費且不得超原保費餘額；Cedant 抵銷亦須滿足再保退款條件。</w:t>
      </w:r>
    </w:p>
    <w:p>
      <w:pPr>
        <w:pStyle w:val="Bullet"/>
      </w:pPr>
      <w:r>
        <w:t xml:space="preserve">• 現行銀行費／短收在系統外處理，舊 Fee / shortfall 動作拒絕；舊 nonCash、offset、對帳單及確認歷史保留。所有內容在 Case JSON，沒有 Swiss 專用 SQL 表。</w:t>
      </w:r>
    </w:p>
    <w:p>
      <w:pPr>
        <w:pStyle w:val="Heading2"/>
      </w:pPr>
      <w:bookmarkStart w:id="10" w:name="heading_10"/>
      <w:r>
        <w:t xml:space="preserve">3.3.2 Lloyd’s Market 共用評等</w:t>
      </w:r>
      <w:bookmarkEnd w:id="10"/>
    </w:p>
    <w:p>
      <w:pPr>
        <w:pStyle w:val="Normal"/>
      </w:pPr>
      <w:r>
        <w:t xml:space="preserve">Reinsurers 頁面的 Lloyd’s Market 群組置頂且可展開／收合。名稱符合 Lloyd’s Underwriter Syndicate No. 前綴的成員使用同一 Lloyd’s of London 評等，含停用及未來新增成員；個別成員不能覆寫。普通再保人維持各自評等。</w:t>
      </w:r>
    </w:p>
    <w:p>
      <w:pPr>
        <w:pStyle w:val="Normal"/>
      </w:pPr>
      <w:r>
        <w:t xml:space="preserve">市場 Edit 需要 mdm.write；可修改 Rating agency、Grade、Outlook、Rating type、As-of date、Status。至少一筆、最多 50 筆，agency 與 grade 必填；手動儲存清空 checkedAt，不聲稱重新查核官方來源。畫面不顯示官方連結及 Checked 日期。</w:t>
      </w:r>
    </w:p>
    <w:p>
      <w:pPr>
        <w:pStyle w:val="Normal"/>
      </w:pPr>
      <w:r>
        <w:t xml:space="preserve">GET /api/master-data/lloyds-ratings 在尚無資料列時回預設四組評等及 rowVersion=0，不建立資料。首次 PUT 建版本 1，其後以 select_for_update 檢查版本並遞增；衝突 409。只寫一筆共用 profile 與 Snapshot，不批次改寫成員或案件。預設不是即時外部評等查詢。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market_code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市場識別主鍵，現行服務只使用 lloyds；varchar(40)。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ratings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json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[]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共用評等 JSON 陣列，1–50 筆；API 驗證 agency／grade；不是 SQL 子資料表或外鍵。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(market_code)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1" w:name="heading_11"/>
      <w:r>
        <w:t xml:space="preserve">3.3.3 Facility 與一般案件的會計規則</w:t>
      </w:r>
      <w:bookmarkEnd w:id="11"/>
    </w:p>
    <w:p>
      <w:pPr>
        <w:pStyle w:val="Normal"/>
      </w:pPr>
      <w:r>
        <w:t xml:space="preserve">下列為後端程式管理規則，並非 MDM 可自由設定。四類指一般再保人、AUW Facility、Allianz Hong Kong Facility、Great American Singapore Facility 且 Class=Property；其他 Facility／PWS／Swiss 的既有特殊規則另行判斷。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50"/>
        <w:gridCol w:w="6650"/>
      </w:tblGrid>
      <w:tr>
        <w:trPr>
          <w:cantSplit/>
          <w:tblHeader/>
        </w:trPr>
        <w:tc>
          <w:tcPr>
            <w:tcW w:w="23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範圍</w:t>
            </w:r>
          </w:p>
        </w:tc>
        <w:tc>
          <w:tcPr>
            <w:tcW w:w="66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現行規則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全部案件結清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現金餘額歸零只是 pending_confirmation，須會計逐筆 Confirm settlement，填對帳參考或原因。時間採實際操作時間，不能回填。T1/T2 全部人工結清後才可確認 T3；確認 T3 不產生現金，並最終鎖定相關 T1/T2/T3。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四類保費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每次登錄完整未清餘額，不新增部分收付；既有部分收付歷史保留。AUW／Allianz／Great American 付款前，整期 Cedant 所有再保人分攤須全額實收且逐筆結清；一般案件不額外套此收款順序。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四類退費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先全額實收所有再保人退款並逐筆結清，再一次退清該批單所有 Cedant 退款交易；可提前退，不必等結算日。一般／AUW RI 退款不可抵銷原保費；Allianz／Great American 禁止原有保費／退費抵銷。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AUW 日期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基準月底加 120 日到期，提前 10 日提醒；批單以實際公告台灣日期與生效日較晚者為基準。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Allianz 日期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Allianz Global Corporate &amp; Specialty SE, Hong Kong Branch (Facility)：基準月底加 90 日到期，月底加 80 日提醒。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Great American 日期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Great American Insurance Company, Singapore Branch (Facility) 且 Property：基準季末加 90 日到期、加 80 日提醒；逐案逐期登錄，理賠按各筆請款分開；外部參考號可重用，不自動合併或串接外部會計。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基準來源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原單／續保取生效日，分期取各期 paymentBaseDate，保費批單取生效日與實際 Announce 台灣日期較晚者；不做假日順延。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四類理賠期限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依該義務建立的伺服器 createdAt 台灣日期加 15 日到期；前 7 日、當日及其後每 7 日提醒。全額收款停止該筆提醒，不等結清；部分收到不改原期限。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理賠現金上限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可部分收付，但同 claimId／paymentId 義務的累計付出不可超過已登錄收款；不能用其他理賠義務挪用。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保護及逾期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已付款時不得取消前置收款或其結清來破壞收妥條件。保費應付款即使餘額歸零，未人工確認仍可能逾期；原期限不重算。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既有更正限制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曾結清交易的金額不可再編輯；未結清更正須原因及 paymentEditHistory。T3 最終鎖定後不得取消相關結清；Great American 正向再保付款完成後不得取消，銀行退回在外部處理。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會計由單一 SoA / Transactions 清單操作，Swiss 輔助動作位於 More；分頁 50／100／200／500，預設 100。更新中可保留前次清單，待最新資料載入才啟用操作。專用會計服務寫入案件 JSON，沒有新增收付款 SQL 表。</w:t>
      </w:r>
    </w:p>
    <w:p>
      <w:pPr>
        <w:pStyle w:val="Heading2"/>
      </w:pPr>
      <w:bookmarkStart w:id="12" w:name="heading_12"/>
      <w:r>
        <w:t xml:space="preserve">3.4 Reinsured（原保險人）</w:t>
      </w:r>
      <w:bookmarkEnd w:id="12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500"/>
        <w:gridCol w:w="1800"/>
        <w:gridCol w:w="4700"/>
      </w:tblGrid>
      <w:tr>
        <w:trPr>
          <w:cantSplit/>
          <w:tblHeader/>
        </w:trPr>
        <w:tc>
          <w:tcPr>
            <w:tcW w:w="2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JSON 路徑</w:t>
            </w:r>
          </w:p>
        </w:tc>
        <w:tc>
          <w:tcPr>
            <w:tcW w:w="1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限制</w:t>
            </w:r>
          </w:p>
        </w:tc>
        <w:tc>
          <w:tcPr>
            <w:tcW w:w="4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2500" w:type="dxa"/>
            <w:shd w:fill="FFFFFF"/>
            <w:vAlign w:val="top"/>
          </w:tcPr>
          <w:p>
            <w:pPr>
              <w:pStyle w:val="TableText"/>
            </w:pPr>
            <w:r>
              <w:t xml:space="preserve">abbreviation</w:t>
            </w:r>
          </w:p>
        </w:tc>
        <w:tc>
          <w:tcPr>
            <w:tcW w:w="1800" w:type="dxa"/>
            <w:shd w:fill="FFFFFF"/>
            <w:vAlign w:val="top"/>
          </w:tcPr>
          <w:p>
            <w:pPr>
              <w:pStyle w:val="TableText"/>
            </w:pPr>
            <w:r>
              <w:t xml:space="preserve">文字 ≤80</w:t>
            </w:r>
          </w:p>
        </w:tc>
        <w:tc>
          <w:tcPr>
            <w:tcW w:w="4700" w:type="dxa"/>
            <w:shd w:fill="FFFFFF"/>
            <w:vAlign w:val="top"/>
          </w:tcPr>
          <w:p>
            <w:pPr>
              <w:pStyle w:val="TableText"/>
            </w:pPr>
            <w:r>
              <w:t xml:space="preserve">原保險人簡稱。</w:t>
            </w:r>
          </w:p>
        </w:tc>
      </w:tr>
      <w:tr>
        <w:trPr>
          <w:cantSplit/>
        </w:trPr>
        <w:tc>
          <w:tcPr>
            <w:tcW w:w="2500" w:type="dxa"/>
            <w:shd w:fill="F1F5F8"/>
            <w:vAlign w:val="top"/>
          </w:tcPr>
          <w:p>
            <w:pPr>
              <w:pStyle w:val="TableText"/>
            </w:pPr>
            <w:r>
              <w:t xml:space="preserve">address</w:t>
            </w:r>
          </w:p>
        </w:tc>
        <w:tc>
          <w:tcPr>
            <w:tcW w:w="1800" w:type="dxa"/>
            <w:shd w:fill="F1F5F8"/>
            <w:vAlign w:val="top"/>
          </w:tcPr>
          <w:p>
            <w:pPr>
              <w:pStyle w:val="TableText"/>
            </w:pPr>
            <w:r>
              <w:t xml:space="preserve">文字 ≤1000</w:t>
            </w:r>
          </w:p>
        </w:tc>
        <w:tc>
          <w:tcPr>
            <w:tcW w:w="4700" w:type="dxa"/>
            <w:shd w:fill="F1F5F8"/>
            <w:vAlign w:val="top"/>
          </w:tcPr>
          <w:p>
            <w:pPr>
              <w:pStyle w:val="TableText"/>
            </w:pPr>
            <w:r>
              <w:t xml:space="preserve">原保險人地址。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entityType=reinsured。code 為可選代碼；payload 只保留 abbreviation/address。案件的 Reinsured 名稱及對應 FK／名稱快照並存；既有案件不會因主檔地址或名稱修改而全部回寫。</w:t>
      </w:r>
    </w:p>
    <w:p>
      <w:pPr>
        <w:pStyle w:val="Heading2"/>
      </w:pPr>
      <w:bookmarkStart w:id="13" w:name="heading_13"/>
      <w:r>
        <w:t xml:space="preserve">3.5 Class（險種）</w:t>
      </w:r>
      <w:bookmarkEnd w:id="13"/>
    </w:p>
    <w:p>
      <w:pPr>
        <w:pStyle w:val="Normal"/>
      </w:pPr>
      <w:r>
        <w:t xml:space="preserve">entityType=class。code 最多 80 字，不限制為兩碼；名稱仍須同種類唯一。payload 可含 fixedClauses，每筆為 code/title，最多 100 筆；不帶 classIds，因為固定條款已屬於本 Class。無條款時 payload 為 {}。</w:t>
      </w:r>
    </w:p>
    <w:p>
      <w:pPr>
        <w:pStyle w:val="Normal"/>
      </w:pPr>
      <w:r>
        <w:t xml:space="preserve">案件條款整理由通用條款、Class 固定條款、適用於該 Class 的再保人固定條款及手動條款組成。已選 Code 保留，Title 依當前 Clause 主檔 name、適用 Class／Reinsurer 固定條款、Case 自訂 Title 的順序解析；一般儲存保存當次 Title，讀取及產生 Word 不批次改寫 Case。不得把通用條款另建為手動條款。</w:t>
      </w:r>
    </w:p>
    <w:p>
      <w:pPr>
        <w:pStyle w:val="Heading2"/>
      </w:pPr>
      <w:bookmarkStart w:id="14" w:name="heading_14"/>
      <w:r>
        <w:t xml:space="preserve">3.6 Foreign RI Broker 與 Clause（條款）</w:t>
      </w:r>
      <w:bookmarkEnd w:id="14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種類</w:t>
            </w:r>
          </w:p>
        </w:tc>
        <w:tc>
          <w:tcPr>
            <w:tcW w:w="68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欄位與規則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foreign_broker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名稱必填；可選 code；payload 只保留 abbreviation（≤80）。案件結算對象以 foreignBroker 名稱文字保存，不是 SQL FK。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clause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code 必填、轉大寫（≤80）；name 為條款全名（≤240）；payload 正常為 {}。LMA3333／INTERMEDIARY 的建立、修改及停用均被保留代碼規則阻擋。</w:t>
            </w:r>
          </w:p>
        </w:tc>
      </w:tr>
      <w:tr>
        <w:trPr>
          <w:cantSplit/>
        </w:trPr>
        <w:tc>
          <w:tcPr>
            <w:tcW w:w="2200" w:type="dxa"/>
            <w:shd w:fill="FFFFFF"/>
            <w:vAlign w:val="top"/>
          </w:tcPr>
          <w:p>
            <w:pPr>
              <w:pStyle w:val="TableText"/>
            </w:pPr>
            <w:r>
              <w:t xml:space="preserve">通用 LMA3333</w:t>
            </w:r>
          </w:p>
        </w:tc>
        <w:tc>
          <w:tcPr>
            <w:tcW w:w="6800" w:type="dxa"/>
            <w:shd w:fill="FFFFFF"/>
            <w:vAlign w:val="top"/>
          </w:tcPr>
          <w:p>
            <w:pPr>
              <w:pStyle w:val="TableText"/>
            </w:pPr>
            <w:r>
              <w:t xml:space="preserve">程式管理名稱：LMA3333 Reinsurers Liability Clause。</w:t>
            </w:r>
          </w:p>
        </w:tc>
      </w:tr>
      <w:tr>
        <w:trPr>
          <w:cantSplit/>
        </w:trPr>
        <w:tc>
          <w:tcPr>
            <w:tcW w:w="2200" w:type="dxa"/>
            <w:shd w:fill="F1F5F8"/>
            <w:vAlign w:val="top"/>
          </w:tcPr>
          <w:p>
            <w:pPr>
              <w:pStyle w:val="TableText"/>
            </w:pPr>
            <w:r>
              <w:t xml:space="preserve">通用 INTERMEDIARY</w:t>
            </w:r>
          </w:p>
        </w:tc>
        <w:tc>
          <w:tcPr>
            <w:tcW w:w="6800" w:type="dxa"/>
            <w:shd w:fill="F1F5F8"/>
            <w:vAlign w:val="top"/>
          </w:tcPr>
          <w:p>
            <w:pPr>
              <w:pStyle w:val="TableText"/>
            </w:pPr>
            <w:r>
              <w:t xml:space="preserve">程式管理名稱：Intermediary Clause (TW Insurance Brokers Ltd.)。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15" w:name="heading_15"/>
      <w:r>
        <w:t xml:space="preserve">3.7 Personnel（人員，ri_personnel）</w:t>
      </w:r>
      <w:bookmarkEnd w:id="15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名稱；各表唯一性範圍依其 UNIQUE 約束。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email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Email；人員 API 轉小寫、去首尾空白，空值存 NULL。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department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八種部門，詳見 choices。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role_code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七種業務角色；不依 auth_group 授權。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is_split_eligible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是否可參與 Performance Split；API 預設會依部門／角色調整。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account_status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not_configured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not_configured／pending／active／disabled；與在職狀態分開。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supervisor_name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varchar(160)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主管名稱文字；目前沒有 supervisor_id FK。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supervisor_email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varchar(254)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解析主管時帶入其 Email；並非獨立輸入。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auth_user_id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Django auth_user.id 的文字識別；UNIQUE，但不是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account_invited_by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建立帳號者文字識別。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account_invited_at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建立／邀請帳號時間。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account_activated_at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帳號啟用時間。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account_disabled_by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varchar(120)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帳號停用者。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account_disabled_at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帳號停用時間。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must_change_password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首次登入／重設／重新啟用後強制改密碼旗標。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department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board_of_directors = Board of Directors；business_1 = Business 1；business_2 = Business 2；special_risk = Special Risk；reinsurance = Reinsurance；finance = Finance；admin = Admin；business_development = Business Development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role_code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president = President；sales = Sales；accounting = Accounting；accounting_manager = Accounting Manager；general_manager = General Manager；admin = Admin；viewer = Viewer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account_status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not_configured = Not configured；pending = Pending；active = Active；disabled = Disabled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auth_user_id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(auth_user_id)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ri_personnel_active_idx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(is_active, is_split_eligible)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ri_personnel_email_unique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(email)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ri_personnel_name_department_unique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(name, department)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ri_personnel_account_status_check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(`account_status` in (_utf8mb4\'not_configured\',_utf8mb4\'pending\',_utf8mb4\'active\',_utf8mb4\'disabled\'))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ri_personnel_department_check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(`department` in (_utf8mb4\'board_of_directors\',_utf8mb4\'business_1\',_utf8mb4\'business_2\',_utf8mb4\'special_risk\',_utf8mb4\'reinsurance\',_utf8mb4\'finance\',_utf8mb4\'admin\',_utf8mb4\'business_development\'))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ri_personnel_lifecycle_check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(((`deactivated_at` is null) and (`deactivated_by` is null) and (`is_active` = 0x01)) or ((`deactivated_at` is not null) and (`deactivated_by` is not null) and (`is_active` = 0x00)))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ri_personnel_role_check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(`role_code` in (_utf8mb4\'president\',_utf8mb4\'sales\',_utf8mb4\'accounting\',_utf8mb4\'accounting_manager\',_utf8mb4\'general_manager\',_utf8mb4\'admin\',_utf8mb4\'viewer\'))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3"/>
      </w:pPr>
      <w:bookmarkStart w:id="16" w:name="heading_16"/>
      <w:r>
        <w:t xml:space="preserve">部門及預設角色</w:t>
      </w:r>
      <w:bookmarkEnd w:id="16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700"/>
        <w:gridCol w:w="3200"/>
        <w:gridCol w:w="3100"/>
      </w:tblGrid>
      <w:tr>
        <w:trPr>
          <w:cantSplit/>
          <w:tblHeader/>
        </w:trPr>
        <w:tc>
          <w:tcPr>
            <w:tcW w:w="2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部門代碼</w:t>
            </w:r>
          </w:p>
        </w:tc>
        <w:tc>
          <w:tcPr>
            <w:tcW w:w="32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部門名稱</w:t>
            </w:r>
          </w:p>
        </w:tc>
        <w:tc>
          <w:tcPr>
            <w:tcW w:w="3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新增預設角色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board_of_directors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Board of Directors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president</w:t>
            </w:r>
          </w:p>
        </w:tc>
      </w:tr>
      <w:tr>
        <w:trPr>
          <w:cantSplit/>
        </w:trPr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business_1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Business 1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viewer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business_2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Business 2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viewer</w:t>
            </w:r>
          </w:p>
        </w:tc>
      </w:tr>
      <w:tr>
        <w:trPr>
          <w:cantSplit/>
        </w:trPr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special_risk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Special Risk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viewer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reinsurance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Reinsurance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sales</w:t>
            </w:r>
          </w:p>
        </w:tc>
      </w:tr>
      <w:tr>
        <w:trPr>
          <w:cantSplit/>
        </w:trPr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finance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Finance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accounting</w:t>
            </w:r>
          </w:p>
        </w:tc>
      </w:tr>
      <w:tr>
        <w:trPr>
          <w:cantSplit/>
        </w:trPr>
        <w:tc>
          <w:tcPr>
            <w:tcW w:w="2700" w:type="dxa"/>
            <w:shd w:fill="FFFFFF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  <w:tc>
          <w:tcPr>
            <w:tcW w:w="3200" w:type="dxa"/>
            <w:shd w:fill="FFFFFF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  <w:tc>
          <w:tcPr>
            <w:tcW w:w="3100" w:type="dxa"/>
            <w:shd w:fill="FFFFFF"/>
            <w:vAlign w:val="top"/>
          </w:tcPr>
          <w:p>
            <w:pPr>
              <w:pStyle w:val="TableText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w="2700" w:type="dxa"/>
            <w:shd w:fill="F1F5F8"/>
            <w:vAlign w:val="top"/>
          </w:tcPr>
          <w:p>
            <w:pPr>
              <w:pStyle w:val="TableText"/>
            </w:pPr>
            <w:r>
              <w:t xml:space="preserve">business_development</w:t>
            </w:r>
          </w:p>
        </w:tc>
        <w:tc>
          <w:tcPr>
            <w:tcW w:w="3200" w:type="dxa"/>
            <w:shd w:fill="F1F5F8"/>
            <w:vAlign w:val="top"/>
          </w:tcPr>
          <w:p>
            <w:pPr>
              <w:pStyle w:val="TableText"/>
            </w:pPr>
            <w:r>
              <w:t xml:space="preserve">Business Development</w:t>
            </w:r>
          </w:p>
        </w:tc>
        <w:tc>
          <w:tcPr>
            <w:tcW w:w="3100" w:type="dxa"/>
            <w:shd w:fill="F1F5F8"/>
            <w:vAlign w:val="top"/>
          </w:tcPr>
          <w:p>
            <w:pPr>
              <w:pStyle w:val="TableText"/>
            </w:pPr>
            <w:r>
              <w:t xml:space="preserve">viewer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人員姓名必填，≤160；同部門姓名唯一。Email 可留空，非空時≤254、轉小寫、格式驗證且全域唯一；NULL 可多筆。</w:t>
      </w:r>
    </w:p>
    <w:p>
      <w:pPr>
        <w:pStyle w:val="Bullet"/>
      </w:pPr>
      <w:r>
        <w:t xml:space="preserve">• 主管可為同部門在職人員、在職 General Manager 或 President，不可選自己；同名候選以同部門優先，再依 ID 解析。主管是名稱／Email 文字，不是 FK，也沒有歷史自動同步保證。</w:t>
      </w:r>
    </w:p>
    <w:p>
      <w:pPr>
        <w:pStyle w:val="Bullet"/>
      </w:pPr>
      <w:r>
        <w:t xml:space="preserve">• 新增時若未傳 isSplitEligible：Finance、Admin、Board of Directors 預設 false；Reinsurance 的 General Manager 也預設 false；其他依部門規則預設 true。ORM 直接建列的預設 true 不等於 API 的上述條件預設。</w:t>
      </w:r>
    </w:p>
    <w:p>
      <w:pPr>
        <w:pStyle w:val="Bullet"/>
      </w:pPr>
      <w:r>
        <w:t xml:space="preserve">• roleCode 可為七種角色；部門的預設角色不代表資料庫強制只能配該角色。主管建立下屬則額外固定一般職員角色，不允許提升權限。</w:t>
      </w:r>
    </w:p>
    <w:p>
      <w:pPr>
        <w:pStyle w:val="Bullet"/>
      </w:pPr>
      <w:r>
        <w:t xml:space="preserve">• is_active 表示在職／主檔啟用；account_status 表示登入帳號狀態，兩者分開；每次業務 API 都重新檢查，非在職或帳號未啟用即拒絕。</w:t>
      </w:r>
    </w:p>
    <w:p>
      <w:pPr>
        <w:pStyle w:val="Bullet"/>
      </w:pPr>
      <w:r>
        <w:t xml:space="preserve">• auth_user_id 是文字且 UNIQUE，非 SQL FK。正常流程綁定 auth_user 數字 ID，但直接維護 SQL 必須自己確保對應有效。</w:t>
      </w:r>
    </w:p>
    <w:p>
      <w:pPr>
        <w:pStyle w:val="Heading3"/>
      </w:pPr>
      <w:bookmarkStart w:id="17" w:name="heading_17"/>
      <w:r>
        <w:t xml:space="preserve">帳號生命週期及密碼</w:t>
      </w:r>
      <w:bookmarkEnd w:id="17"/>
    </w:p>
    <w:p>
      <w:pPr>
        <w:pStyle w:val="Bullet"/>
      </w:pPr>
      <w:r>
        <w:t xml:space="preserve">• 一般流程從 not_configured 建立帳號後直接 active；pending 為仍被結構接受的狀態，不表示目前有待接受邀請的寄信流程。</w:t>
      </w:r>
    </w:p>
    <w:p>
      <w:pPr>
        <w:pStyle w:val="Bullet"/>
      </w:pPr>
      <w:r>
        <w:t xml:space="preserve">• 帳號 3–150 字，首字英數，允許英數及 . _ @ + -，去空白並轉小寫。Username 不重複；停用帳號不釋出名稱。</w:t>
      </w:r>
    </w:p>
    <w:p>
      <w:pPr>
        <w:pStyle w:val="Bullet"/>
      </w:pPr>
      <w:r>
        <w:t xml:space="preserve">• 指定密碼須 8–128 字且含英文字母及數字；目前設定的驗證器為最短長度與字母／數字，不額外聲稱有常見密碼或相似度檢查。</w:t>
      </w:r>
    </w:p>
    <w:p>
      <w:pPr>
        <w:pStyle w:val="Bullet"/>
      </w:pPr>
      <w:r>
        <w:t xml:space="preserve">• 留空可由系統產生 20 字隨機初始密碼；只回傳產生密碼一次，指定密碼不回傳；資料庫、Audit、Snapshot 均不保存明文。</w:t>
      </w:r>
    </w:p>
    <w:p>
      <w:pPr>
        <w:pStyle w:val="Bullet"/>
      </w:pPr>
      <w:r>
        <w:t xml:space="preserve">• 建立、重設或重新啟用後必須變更密碼；must_change_password=true 時後端拒絕業務 API，即使繞過畫面亦無法使用。</w:t>
      </w:r>
    </w:p>
    <w:p>
      <w:pPr>
        <w:pStyle w:val="Bullet"/>
      </w:pPr>
      <w:r>
        <w:t xml:space="preserve">• 停用帳號會使其現有 session 失效；不能停用自己的帳號，也不能停用／降級最後一位在職且 active 的 Admin。admin_accounts 共用鎖保護同時操作。</w:t>
      </w:r>
    </w:p>
    <w:p>
      <w:pPr>
        <w:pStyle w:val="Bullet"/>
      </w:pPr>
      <w:r>
        <w:t xml:space="preserve">• 已有帳號的人員變更 Email 前需先停用帳號；帳號管理服務維護人員與登入資料的一致性。</w:t>
      </w:r>
    </w:p>
    <w:p>
      <w:pPr>
        <w:pStyle w:val="Bullet"/>
      </w:pPr>
      <w:r>
        <w:t xml:space="preserve">• 使用者自行忘記密碼功能已實作，token 時限 3600 秒並防重複使用；目前 EMAIL_ENABLED=false，入口隱藏且不寄出重設信。</w:t>
      </w:r>
    </w:p>
    <w:p>
      <w:pPr>
        <w:pStyle w:val="Heading2"/>
      </w:pPr>
      <w:bookmarkStart w:id="18" w:name="heading_18"/>
      <w:r>
        <w:t xml:space="preserve">3.8 FX Rates（匯率，ri_fx_rates）</w:t>
      </w:r>
      <w:bookmarkEnd w:id="18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year_month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YYYY-MM 月份；月份格式另由 API 驗證。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varchar(3)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三碼幣別；匯率主檔僅限 USD／EUR／JPY／GBP／HKD／MYR。案件仍保有自己的幣別。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rate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decimal(18,6)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一單位外幣兌 TWD；decimal(18,6)。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is_locked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False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關帳後鎖定；API 也檢查整個月份是否已關帳。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locked_by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鎖定者文字識別。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locked_at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鎖定時間。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lock_reason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鎖定原因。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ORM choices（是否強制須再看 CHECK／API）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currency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USD = USD；EUR = EUR；JPY = JPY；GBP = GBP；HKD = HKD；MYR = MYR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ri_fx_rates_month_currency_unique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(year_month, currency)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ri_fx_rates_month_idx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(year_month, currency)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Bullet"/>
      </w:pPr>
      <w:r>
        <w:t xml:space="preserve">• 維護幣別固定 USD、EUR、JPY、GBP、HKD、MYR，方向為一單位外幣兌 TWD；TWD 直接採 1，不需維護。沒有外部自動抓匯率功能。</w:t>
      </w:r>
    </w:p>
    <w:p>
      <w:pPr>
        <w:pStyle w:val="Bullet"/>
      </w:pPr>
      <w:r>
        <w:t xml:space="preserve">• POST 以一個 YYYY-MM 月份提交完整六筆，各幣別恰好一次；禁止重複、缺漏或其他幣別。</w:t>
      </w:r>
    </w:p>
    <w:p>
      <w:pPr>
        <w:pStyle w:val="Bullet"/>
      </w:pPr>
      <w:r>
        <w:t xml:space="preserve">• 原始 rate 必須為有限數字且 0&lt;rate≤1000，以 ROUND_HALF_UP 到六位小數後仍須大於 0；極小值捨入成 0 會拒絕。</w:t>
      </w:r>
    </w:p>
    <w:p>
      <w:pPr>
        <w:pStyle w:val="Bullet"/>
      </w:pPr>
      <w:r>
        <w:t xml:space="preserve">• 同月份／幣別 UNIQUE。既有列修改必須傳正確 rowVersion；整月保存採交易，部分錯誤不會只存部分幣別。</w:t>
      </w:r>
    </w:p>
    <w:p>
      <w:pPr>
        <w:pStyle w:val="Bullet"/>
      </w:pPr>
      <w:r>
        <w:t xml:space="preserve">• Production 關帳後整個月份禁止編輯，即使該月份某幣別列缺漏也不能補寫。檢查 closed 報表與 is_locked，月份互斥鎖避免與關帳競爭。</w:t>
      </w:r>
    </w:p>
    <w:p>
      <w:pPr>
        <w:pStyle w:val="Heading2"/>
      </w:pPr>
      <w:bookmarkStart w:id="19" w:name="heading_19"/>
      <w:r>
        <w:t xml:space="preserve">3.9 Dashboard Targets（附屬設定）</w:t>
      </w:r>
      <w:bookmarkEnd w:id="19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70"/>
        <w:gridCol w:w="1300"/>
        <w:gridCol w:w="750"/>
        <w:gridCol w:w="1530"/>
        <w:gridCol w:w="3450"/>
      </w:tblGrid>
      <w:tr>
        <w:trPr>
          <w:cantSplit/>
          <w:tblHeader/>
        </w:trPr>
        <w:tc>
          <w:tcPr>
            <w:tcW w:w="197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</w:t>
            </w:r>
          </w:p>
        </w:tc>
        <w:tc>
          <w:tcPr>
            <w:tcW w:w="1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SQL 型態</w:t>
            </w:r>
          </w:p>
        </w:tc>
        <w:tc>
          <w:tcPr>
            <w:tcW w:w="7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</w:t>
            </w:r>
          </w:p>
        </w:tc>
        <w:tc>
          <w:tcPr>
            <w:tcW w:w="153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預設／產生</w:t>
            </w:r>
          </w:p>
        </w:tc>
        <w:tc>
          <w:tcPr>
            <w:tcW w:w="34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id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自動流水號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內部數字主鍵；由資料庫自動流水號產生。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period_type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annual／monthly。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period_key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varchar(7)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annual 為 YYYY，monthly 為 YYYY-MM；期間不可修改。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amount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decimal(18,2)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金額；SQL decimal 或 JSON 數值的精度依各表／API 規則。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is_active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tinyint(1)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True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是否啟用；停用保留資料與識別，不可重複建立同名替代列。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row_version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  <w:br/>
              <w:t xml:space="preserve">ORM: 1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逐筆樂觀鎖版本；建立為 1，正常修改遞增，舊版本寫入回 409。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created_by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建立者識別，如 personnel:&lt;id&gt;、system、cli；文字欄位，不是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created_at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建立時間；由 ORM 寫入，不代表 SQL 有 CURRENT_TIMESTAMP 預設。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updated_by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最後修改者識別；文字欄位，不是 SQL 外鍵。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updated_at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不可空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最後修改時間；由 ORM 更新。</w:t>
            </w:r>
          </w:p>
        </w:tc>
      </w:tr>
      <w:tr>
        <w:trPr>
          <w:cantSplit/>
        </w:trPr>
        <w:tc>
          <w:tcPr>
            <w:tcW w:w="1970" w:type="dxa"/>
            <w:shd w:fill="FFFFFF"/>
            <w:vAlign w:val="top"/>
          </w:tcPr>
          <w:p>
            <w:pPr>
              <w:pStyle w:val="TableText"/>
            </w:pPr>
            <w:r>
              <w:t xml:space="preserve">deactivated_by</w:t>
            </w:r>
          </w:p>
        </w:tc>
        <w:tc>
          <w:tcPr>
            <w:tcW w:w="1300" w:type="dxa"/>
            <w:shd w:fill="FFFFFF"/>
            <w:vAlign w:val="top"/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50" w:type="dxa"/>
            <w:shd w:fill="FFFFFF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FFFFF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FFFFF"/>
            <w:vAlign w:val="top"/>
          </w:tcPr>
          <w:p>
            <w:pPr>
              <w:pStyle w:val="TableText"/>
            </w:pPr>
            <w:r>
              <w:t xml:space="preserve">停用操作者；重新啟用時清空。</w:t>
            </w:r>
          </w:p>
        </w:tc>
      </w:tr>
      <w:tr>
        <w:trPr>
          <w:cantSplit/>
        </w:trPr>
        <w:tc>
          <w:tcPr>
            <w:tcW w:w="1970" w:type="dxa"/>
            <w:shd w:fill="F1F5F8"/>
            <w:vAlign w:val="top"/>
          </w:tcPr>
          <w:p>
            <w:pPr>
              <w:pStyle w:val="TableText"/>
            </w:pPr>
            <w:r>
              <w:t xml:space="preserve">deactivated_at</w:t>
            </w:r>
          </w:p>
        </w:tc>
        <w:tc>
          <w:tcPr>
            <w:tcW w:w="1300" w:type="dxa"/>
            <w:shd w:fill="F1F5F8"/>
            <w:vAlign w:val="top"/>
          </w:tcPr>
          <w:p>
            <w:pPr>
              <w:pStyle w:val="TableText"/>
            </w:pPr>
            <w:r>
              <w:t xml:space="preserve">datetime(6)</w:t>
            </w:r>
          </w:p>
        </w:tc>
        <w:tc>
          <w:tcPr>
            <w:tcW w:w="750" w:type="dxa"/>
            <w:shd w:fill="F1F5F8"/>
            <w:vAlign w:val="top"/>
          </w:tcPr>
          <w:p>
            <w:pPr>
              <w:pStyle w:val="TableText"/>
            </w:pPr>
            <w:r>
              <w:t xml:space="preserve">可空</w:t>
            </w:r>
          </w:p>
        </w:tc>
        <w:tc>
          <w:tcPr>
            <w:tcW w:w="1530" w:type="dxa"/>
            <w:shd w:fill="F1F5F8"/>
            <w:vAlign w:val="top"/>
          </w:tcPr>
          <w:p>
            <w:pPr>
              <w:pStyle w:val="TableText"/>
            </w:pPr>
            <w:r>
              <w:t xml:space="preserve">SQL 無預設</w:t>
            </w:r>
          </w:p>
        </w:tc>
        <w:tc>
          <w:tcPr>
            <w:tcW w:w="3450" w:type="dxa"/>
            <w:shd w:fill="F1F5F8"/>
            <w:vAlign w:val="top"/>
          </w:tcPr>
          <w:p>
            <w:pPr>
              <w:pStyle w:val="TableText"/>
            </w:pPr>
            <w:r>
              <w:t xml:space="preserve">停用時間；重新啟用時清空。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1500"/>
        <w:gridCol w:w="39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索引／唯一約束名稱</w:t>
            </w:r>
          </w:p>
        </w:tc>
        <w:tc>
          <w:tcPr>
            <w:tcW w:w="15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類型</w:t>
            </w:r>
          </w:p>
        </w:tc>
        <w:tc>
          <w:tcPr>
            <w:tcW w:w="3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欄位順序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PRIMARY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PRIMARY KEY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(id)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ri_dash_targets_period_idx</w:t>
            </w:r>
          </w:p>
        </w:tc>
        <w:tc>
          <w:tcPr>
            <w:tcW w:w="1500" w:type="dxa"/>
            <w:shd w:fill="F1F5F8"/>
            <w:vAlign w:val="top"/>
          </w:tcPr>
          <w:p>
            <w:pPr>
              <w:pStyle w:val="TableText"/>
            </w:pPr>
            <w:r>
              <w:t xml:space="preserve">INDEX · BTREE</w:t>
            </w:r>
          </w:p>
        </w:tc>
        <w:tc>
          <w:tcPr>
            <w:tcW w:w="3900" w:type="dxa"/>
            <w:shd w:fill="F1F5F8"/>
            <w:vAlign w:val="top"/>
          </w:tcPr>
          <w:p>
            <w:pPr>
              <w:pStyle w:val="TableText"/>
            </w:pPr>
            <w:r>
              <w:t xml:space="preserve">(period_key, period_type)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ri_dashboard_targets_period_unique</w:t>
            </w:r>
          </w:p>
        </w:tc>
        <w:tc>
          <w:tcPr>
            <w:tcW w:w="1500" w:type="dxa"/>
            <w:shd w:fill="FFFFFF"/>
            <w:vAlign w:val="top"/>
          </w:tcPr>
          <w:p>
            <w:pPr>
              <w:pStyle w:val="TableText"/>
            </w:pPr>
            <w:r>
              <w:t xml:space="preserve">UNIQUE · BTREE</w:t>
            </w:r>
          </w:p>
        </w:tc>
        <w:tc>
          <w:tcPr>
            <w:tcW w:w="3900" w:type="dxa"/>
            <w:shd w:fill="FFFFFF"/>
            <w:vAlign w:val="top"/>
          </w:tcPr>
          <w:p>
            <w:pPr>
              <w:pStyle w:val="TableText"/>
            </w:pPr>
            <w:r>
              <w:t xml:space="preserve">(period_type, period_key)</w:t>
            </w:r>
          </w:p>
        </w:tc>
      </w:tr>
    </w:tbl>
    <w:p>
      <w:pPr>
        <w:pStyle w:val="TableSpacer"/>
      </w:pPr>
      <w:r>
        <w:t xml:space="preserve"/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 名稱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資料庫實際條件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ri_dashboard_targets_amount_check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(`amount` &gt;= 0)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ri_dashboard_targets_key_check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((regexp_like(`period_key`,_utf8mb4\'^[0-9]{4}$\',_utf8mb4\'c\') and (`period_type` = _utf8mb4\'annual\')) or (regexp_like(`period_key`,_utf8mb4\'^[0-9]{4}-(0[1-9]|1[0-2])$\',_utf8mb4\'c\') and (`period_type` = _utf8mb4\'monthly\')))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ri_dashboard_targets_lifecycle_check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(((`deactivated_at` is null) and (`deactivated_by` is null) and (`is_active` = 0x01)) or ((`deactivated_at` is not null) and (`deactivated_by` is not null) and (`is_active` = 0x00)))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ri_dashboard_targets_type_check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(`period_type` in (_utf8mb4\'annual\',_utf8mb4\'monthly\'))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periodType=annual 時 periodKey=YYYY；monthly 時 YYYY-MM。同期間 UNIQUE，停用列仍占用期間；新增重複回 409。金額為非負、最多 9,999,999,999,999,999，存到小數二位；期間建立後不可修改，僅金額與啟用狀態可調整。Admin、General Manager 可管理目標，President 不具有目標管理權。</w:t>
      </w:r>
    </w:p>
    <w:p>
      <w:pPr>
        <w:pStyle w:val="Heading1"/>
      </w:pPr>
      <w:bookmarkStart w:id="20" w:name="sec4"/>
      <w:r>
        <w:t xml:space="preserve">4. 生命週期與操作</w:t>
      </w:r>
      <w:bookmarkEnd w:id="20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00"/>
        <w:gridCol w:w="7100"/>
      </w:tblGrid>
      <w:tr>
        <w:trPr>
          <w:cantSplit/>
          <w:tblHeader/>
        </w:trPr>
        <w:tc>
          <w:tcPr>
            <w:tcW w:w="19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操作</w:t>
            </w:r>
          </w:p>
        </w:tc>
        <w:tc>
          <w:tcPr>
            <w:tcW w:w="7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服務規則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讀取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需要相應 read 權限，業務回應 Cache-Control: no-store。MDM 列表包含停用列，案件選項一般使用啟用列。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新增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驗證輸入、檢查重複、交易內建立版本 1；Snapshot 同交易寫入。並行唯一衝突由 SQL 兜底並轉 409。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修改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帶 id、rowVersion、完整必要欄位；鎖定列後比對版本，遞增版本。不以整包取代所有主檔。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停用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isActive=false；記錄 deactivated_by/at；保留引用與唯一性。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重新啟用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同一列設 isActive=true、清除停用資訊並遞增版本；不建立另一個同名 ID。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匯率鎖定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Production 關帳內一併鎖定使用的匯率。已關帳月份不可變更。</w:t>
            </w:r>
          </w:p>
        </w:tc>
      </w:tr>
      <w:tr>
        <w:trPr>
          <w:cantSplit/>
        </w:trPr>
        <w:tc>
          <w:tcPr>
            <w:tcW w:w="1900" w:type="dxa"/>
            <w:shd w:fill="FFFFFF"/>
            <w:vAlign w:val="top"/>
          </w:tcPr>
          <w:p>
            <w:pPr>
              <w:pStyle w:val="TableText"/>
            </w:pPr>
            <w:r>
              <w:t xml:space="preserve">名稱改動</w:t>
            </w:r>
          </w:p>
        </w:tc>
        <w:tc>
          <w:tcPr>
            <w:tcW w:w="7100" w:type="dxa"/>
            <w:shd w:fill="FFFFFF"/>
            <w:vAlign w:val="top"/>
          </w:tcPr>
          <w:p>
            <w:pPr>
              <w:pStyle w:val="TableText"/>
            </w:pPr>
            <w:r>
              <w:t xml:space="preserve">一般名稱快照及嵌入 JSON 不自動全域替換；條款 Title 為明確例外，畫面及新 Word 持續跟隨 MDM 最新文字，既有文件不變。</w:t>
            </w:r>
          </w:p>
        </w:tc>
      </w:tr>
      <w:tr>
        <w:trPr>
          <w:cantSplit/>
        </w:trPr>
        <w:tc>
          <w:tcPr>
            <w:tcW w:w="1900" w:type="dxa"/>
            <w:shd w:fill="F1F5F8"/>
            <w:vAlign w:val="top"/>
          </w:tcPr>
          <w:p>
            <w:pPr>
              <w:pStyle w:val="TableText"/>
            </w:pPr>
            <w:r>
              <w:t xml:space="preserve">資料匯入</w:t>
            </w:r>
          </w:p>
        </w:tc>
        <w:tc>
          <w:tcPr>
            <w:tcW w:w="7100" w:type="dxa"/>
            <w:shd w:fill="F1F5F8"/>
            <w:vAlign w:val="top"/>
          </w:tcPr>
          <w:p>
            <w:pPr>
              <w:pStyle w:val="TableText"/>
            </w:pPr>
            <w:r>
              <w:t xml:space="preserve">以維護程序執行來源／目標對照與控制總數；不同內容須核對，不可將一般 MDM API 視為任意合併匯入器。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21" w:name="sec5"/>
      <w:r>
        <w:t xml:space="preserve">5. 權限</w:t>
      </w:r>
      <w:bookmarkEnd w:id="21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700"/>
        <w:gridCol w:w="1100"/>
        <w:gridCol w:w="3000"/>
        <w:gridCol w:w="1050"/>
        <w:gridCol w:w="2150"/>
      </w:tblGrid>
      <w:tr>
        <w:trPr>
          <w:cantSplit/>
          <w:tblHeader/>
        </w:trPr>
        <w:tc>
          <w:tcPr>
            <w:tcW w:w="1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角色</w:t>
            </w:r>
          </w:p>
        </w:tc>
        <w:tc>
          <w:tcPr>
            <w:tcW w:w="11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六種 MDM</w:t>
            </w:r>
          </w:p>
        </w:tc>
        <w:tc>
          <w:tcPr>
            <w:tcW w:w="3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人員／帳號</w:t>
            </w:r>
          </w:p>
        </w:tc>
        <w:tc>
          <w:tcPr>
            <w:tcW w:w="10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匯率</w:t>
            </w:r>
          </w:p>
        </w:tc>
        <w:tc>
          <w:tcPr>
            <w:tcW w:w="21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Production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System Administrator</w:t>
            </w:r>
          </w:p>
        </w:tc>
        <w:tc>
          <w:tcPr>
            <w:tcW w:w="1100" w:type="dxa"/>
            <w:shd w:fill="FFFFFF"/>
            <w:vAlign w:val="top"/>
          </w:tcPr>
          <w:p>
            <w:pPr>
              <w:pStyle w:val="TableText"/>
            </w:pPr>
            <w:r>
              <w:t xml:space="preserve">讀／寫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全部人員與帳號管理</w:t>
            </w:r>
          </w:p>
        </w:tc>
        <w:tc>
          <w:tcPr>
            <w:tcW w:w="1050" w:type="dxa"/>
            <w:shd w:fill="FFFFFF"/>
            <w:vAlign w:val="top"/>
          </w:tcPr>
          <w:p>
            <w:pPr>
              <w:pStyle w:val="TableText"/>
            </w:pPr>
            <w:r>
              <w:t xml:space="preserve">讀／寫</w:t>
            </w:r>
          </w:p>
        </w:tc>
        <w:tc>
          <w:tcPr>
            <w:tcW w:w="2150" w:type="dxa"/>
            <w:shd w:fill="FFFFFF"/>
            <w:vAlign w:val="top"/>
          </w:tcPr>
          <w:p>
            <w:pPr>
              <w:pStyle w:val="TableText"/>
            </w:pPr>
            <w:r>
              <w:t xml:space="preserve">讀／產生／排除／關帳</w:t>
            </w:r>
          </w:p>
        </w:tc>
      </w:tr>
      <w:tr>
        <w:trPr>
          <w:cantSplit/>
        </w:trPr>
        <w:tc>
          <w:tcPr>
            <w:tcW w:w="1700" w:type="dxa"/>
            <w:shd w:fill="F1F5F8"/>
            <w:vAlign w:val="top"/>
          </w:tcPr>
          <w:p>
            <w:pPr>
              <w:pStyle w:val="TableText"/>
            </w:pPr>
            <w:r>
              <w:t xml:space="preserve">Reinsurance Staff</w:t>
            </w:r>
          </w:p>
        </w:tc>
        <w:tc>
          <w:tcPr>
            <w:tcW w:w="1100" w:type="dxa"/>
            <w:shd w:fill="F1F5F8"/>
            <w:vAlign w:val="top"/>
          </w:tcPr>
          <w:p>
            <w:pPr>
              <w:pStyle w:val="TableText"/>
            </w:pPr>
            <w:r>
              <w:t xml:space="preserve">讀／寫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一般無；主管另有下屬範圍</w:t>
            </w:r>
          </w:p>
        </w:tc>
        <w:tc>
          <w:tcPr>
            <w:tcW w:w="1050" w:type="dxa"/>
            <w:shd w:fill="F1F5F8"/>
            <w:vAlign w:val="top"/>
          </w:tcPr>
          <w:p>
            <w:pPr>
              <w:pStyle w:val="TableText"/>
            </w:pPr>
            <w:r>
              <w:t xml:space="preserve">讀</w:t>
            </w:r>
          </w:p>
        </w:tc>
        <w:tc>
          <w:tcPr>
            <w:tcW w:w="2150" w:type="dxa"/>
            <w:shd w:fill="F1F5F8"/>
            <w:vAlign w:val="top"/>
          </w:tcPr>
          <w:p>
            <w:pPr>
              <w:pStyle w:val="TableText"/>
            </w:pPr>
            <w:r>
              <w:t xml:space="preserve">既有報表唯讀／下載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General Manager</w:t>
            </w:r>
          </w:p>
        </w:tc>
        <w:tc>
          <w:tcPr>
            <w:tcW w:w="1100" w:type="dxa"/>
            <w:shd w:fill="FFFFFF"/>
            <w:vAlign w:val="top"/>
          </w:tcPr>
          <w:p>
            <w:pPr>
              <w:pStyle w:val="TableText"/>
            </w:pPr>
            <w:r>
              <w:t xml:space="preserve">讀／寫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全部人員唯讀；主管例外見下文</w:t>
            </w:r>
          </w:p>
        </w:tc>
        <w:tc>
          <w:tcPr>
            <w:tcW w:w="1050" w:type="dxa"/>
            <w:shd w:fill="FFFFFF"/>
            <w:vAlign w:val="top"/>
          </w:tcPr>
          <w:p>
            <w:pPr>
              <w:pStyle w:val="TableText"/>
            </w:pPr>
            <w:r>
              <w:t xml:space="preserve">讀</w:t>
            </w:r>
          </w:p>
        </w:tc>
        <w:tc>
          <w:tcPr>
            <w:tcW w:w="2150" w:type="dxa"/>
            <w:shd w:fill="FFFFFF"/>
            <w:vAlign w:val="top"/>
          </w:tcPr>
          <w:p>
            <w:pPr>
              <w:pStyle w:val="TableText"/>
            </w:pPr>
            <w:r>
              <w:t xml:space="preserve">唯讀／下載</w:t>
            </w:r>
          </w:p>
        </w:tc>
      </w:tr>
      <w:tr>
        <w:trPr>
          <w:cantSplit/>
        </w:trPr>
        <w:tc>
          <w:tcPr>
            <w:tcW w:w="1700" w:type="dxa"/>
            <w:shd w:fill="F1F5F8"/>
            <w:vAlign w:val="top"/>
          </w:tcPr>
          <w:p>
            <w:pPr>
              <w:pStyle w:val="TableText"/>
            </w:pPr>
            <w:r>
              <w:t xml:space="preserve">Finance Staff</w:t>
            </w:r>
          </w:p>
        </w:tc>
        <w:tc>
          <w:tcPr>
            <w:tcW w:w="1100" w:type="dxa"/>
            <w:shd w:fill="F1F5F8"/>
            <w:vAlign w:val="top"/>
          </w:tcPr>
          <w:p>
            <w:pPr>
              <w:pStyle w:val="TableText"/>
            </w:pPr>
            <w:r>
              <w:t xml:space="preserve">無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主管另有下屬範圍</w:t>
            </w:r>
          </w:p>
        </w:tc>
        <w:tc>
          <w:tcPr>
            <w:tcW w:w="1050" w:type="dxa"/>
            <w:shd w:fill="F1F5F8"/>
            <w:vAlign w:val="top"/>
          </w:tcPr>
          <w:p>
            <w:pPr>
              <w:pStyle w:val="TableText"/>
            </w:pPr>
            <w:r>
              <w:t xml:space="preserve">讀</w:t>
            </w:r>
          </w:p>
        </w:tc>
        <w:tc>
          <w:tcPr>
            <w:tcW w:w="2150" w:type="dxa"/>
            <w:shd w:fill="F1F5F8"/>
            <w:vAlign w:val="top"/>
          </w:tcPr>
          <w:p>
            <w:pPr>
              <w:pStyle w:val="TableText"/>
            </w:pPr>
            <w:r>
              <w:t xml:space="preserve">既有報表唯讀／下載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Finance Manager</w:t>
            </w:r>
          </w:p>
        </w:tc>
        <w:tc>
          <w:tcPr>
            <w:tcW w:w="1100" w:type="dxa"/>
            <w:shd w:fill="FFFFFF"/>
            <w:vAlign w:val="top"/>
          </w:tcPr>
          <w:p>
            <w:pPr>
              <w:pStyle w:val="TableText"/>
            </w:pPr>
            <w:r>
              <w:t xml:space="preserve">無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主管另有下屬範圍</w:t>
            </w:r>
          </w:p>
        </w:tc>
        <w:tc>
          <w:tcPr>
            <w:tcW w:w="1050" w:type="dxa"/>
            <w:shd w:fill="FFFFFF"/>
            <w:vAlign w:val="top"/>
          </w:tcPr>
          <w:p>
            <w:pPr>
              <w:pStyle w:val="TableText"/>
            </w:pPr>
            <w:r>
              <w:t xml:space="preserve">讀／寫</w:t>
            </w:r>
          </w:p>
        </w:tc>
        <w:tc>
          <w:tcPr>
            <w:tcW w:w="2150" w:type="dxa"/>
            <w:shd w:fill="FFFFFF"/>
            <w:vAlign w:val="top"/>
          </w:tcPr>
          <w:p>
            <w:pPr>
              <w:pStyle w:val="TableText"/>
            </w:pPr>
            <w:r>
              <w:t xml:space="preserve">讀／產生／排除／關帳</w:t>
            </w:r>
          </w:p>
        </w:tc>
      </w:tr>
      <w:tr>
        <w:trPr>
          <w:cantSplit/>
        </w:trPr>
        <w:tc>
          <w:tcPr>
            <w:tcW w:w="1700" w:type="dxa"/>
            <w:shd w:fill="F1F5F8"/>
            <w:vAlign w:val="top"/>
          </w:tcPr>
          <w:p>
            <w:pPr>
              <w:pStyle w:val="TableText"/>
            </w:pPr>
            <w:r>
              <w:t xml:space="preserve">Case Viewer</w:t>
            </w:r>
          </w:p>
        </w:tc>
        <w:tc>
          <w:tcPr>
            <w:tcW w:w="1100" w:type="dxa"/>
            <w:shd w:fill="F1F5F8"/>
            <w:vAlign w:val="top"/>
          </w:tcPr>
          <w:p>
            <w:pPr>
              <w:pStyle w:val="TableText"/>
            </w:pPr>
            <w:r>
              <w:t xml:space="preserve">無</w:t>
            </w:r>
          </w:p>
        </w:tc>
        <w:tc>
          <w:tcPr>
            <w:tcW w:w="3000" w:type="dxa"/>
            <w:shd w:fill="F1F5F8"/>
            <w:vAlign w:val="top"/>
          </w:tcPr>
          <w:p>
            <w:pPr>
              <w:pStyle w:val="TableText"/>
            </w:pPr>
            <w:r>
              <w:t xml:space="preserve">主管另有下屬範圍</w:t>
            </w:r>
          </w:p>
        </w:tc>
        <w:tc>
          <w:tcPr>
            <w:tcW w:w="1050" w:type="dxa"/>
            <w:shd w:fill="F1F5F8"/>
            <w:vAlign w:val="top"/>
          </w:tcPr>
          <w:p>
            <w:pPr>
              <w:pStyle w:val="TableText"/>
            </w:pPr>
            <w:r>
              <w:t xml:space="preserve">無</w:t>
            </w:r>
          </w:p>
        </w:tc>
        <w:tc>
          <w:tcPr>
            <w:tcW w:w="2150" w:type="dxa"/>
            <w:shd w:fill="F1F5F8"/>
            <w:vAlign w:val="top"/>
          </w:tcPr>
          <w:p>
            <w:pPr>
              <w:pStyle w:val="TableText"/>
            </w:pPr>
            <w:r>
              <w:t xml:space="preserve">無</w:t>
            </w:r>
          </w:p>
        </w:tc>
      </w:tr>
      <w:tr>
        <w:trPr>
          <w:cantSplit/>
        </w:trPr>
        <w:tc>
          <w:tcPr>
            <w:tcW w:w="1700" w:type="dxa"/>
            <w:shd w:fill="FFFFFF"/>
            <w:vAlign w:val="top"/>
          </w:tcPr>
          <w:p>
            <w:pPr>
              <w:pStyle w:val="TableText"/>
            </w:pPr>
            <w:r>
              <w:t xml:space="preserve">President</w:t>
            </w:r>
          </w:p>
        </w:tc>
        <w:tc>
          <w:tcPr>
            <w:tcW w:w="1100" w:type="dxa"/>
            <w:shd w:fill="FFFFFF"/>
            <w:vAlign w:val="top"/>
          </w:tcPr>
          <w:p>
            <w:pPr>
              <w:pStyle w:val="TableText"/>
            </w:pPr>
            <w:r>
              <w:t xml:space="preserve">讀</w:t>
            </w:r>
          </w:p>
        </w:tc>
        <w:tc>
          <w:tcPr>
            <w:tcW w:w="3000" w:type="dxa"/>
            <w:shd w:fill="FFFFFF"/>
            <w:vAlign w:val="top"/>
          </w:tcPr>
          <w:p>
            <w:pPr>
              <w:pStyle w:val="TableText"/>
            </w:pPr>
            <w:r>
              <w:t xml:space="preserve">全部人員唯讀；不能建立人員或帳號</w:t>
            </w:r>
          </w:p>
        </w:tc>
        <w:tc>
          <w:tcPr>
            <w:tcW w:w="1050" w:type="dxa"/>
            <w:shd w:fill="FFFFFF"/>
            <w:vAlign w:val="top"/>
          </w:tcPr>
          <w:p>
            <w:pPr>
              <w:pStyle w:val="TableText"/>
            </w:pPr>
            <w:r>
              <w:t xml:space="preserve">讀</w:t>
            </w:r>
          </w:p>
        </w:tc>
        <w:tc>
          <w:tcPr>
            <w:tcW w:w="2150" w:type="dxa"/>
            <w:shd w:fill="FFFFFF"/>
            <w:vAlign w:val="top"/>
          </w:tcPr>
          <w:p>
            <w:pPr>
              <w:pStyle w:val="TableText"/>
            </w:pPr>
            <w:r>
              <w:t xml:space="preserve">唯讀／下載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rmal"/>
      </w:pPr>
      <w:r>
        <w:t xml:space="preserve">Supervisor 不是第八種固定角色，而是既有人員被指定為主管後的動態權限。可讀本人及同部門直接下屬，新增同部門一般職員，並替符合範圍且尚無帳號的在職直接下屬建立帳號；不能編輯既有人員、升級角色、跨部門或替自己建帳號。</w:t>
      </w:r>
    </w:p>
    <w:p>
      <w:pPr>
        <w:pStyle w:val="Normal"/>
      </w:pPr>
      <w:r>
        <w:t xml:space="preserve">主管建立下屬角色：Reinsurance=sales，Finance=accounting，其他部門=viewer；建立帳號保留人員已儲存 Email。President 即使被指定為主管，也不取得這些新增權限。General Manager／President 的既有全人員讀取權限仍按角色判斷。</w:t>
      </w:r>
    </w:p>
    <w:p>
      <w:pPr>
        <w:pStyle w:val="Normal"/>
      </w:pPr>
      <w:r>
        <w:t xml:space="preserve">Finance Staff／Manager 及 President 可以讀所有案件，但沒有文件存取權；Reinsurance Staff、General Manager 可讀 Accounting 帳本，不能記收付或沖銷。Audit 與 Draft 回收桶只供 Admin。業務角色判斷由後端再次執行。</w:t>
      </w:r>
    </w:p>
    <w:p>
      <w:pPr>
        <w:pStyle w:val="Heading1"/>
      </w:pPr>
      <w:bookmarkStart w:id="22" w:name="sec6"/>
      <w:r>
        <w:t xml:space="preserve">6. 現況與維護</w:t>
      </w:r>
      <w:bookmarkEnd w:id="22"/>
    </w:p>
    <w:p>
      <w:pPr>
        <w:pStyle w:val="Bullet"/>
      </w:pPr>
      <w:r>
        <w:t xml:space="preserve">• 停用前確認是否正在被新案件使用；既有引用可保留，但停用選項不應用來新建案件。</w:t>
      </w:r>
    </w:p>
    <w:p>
      <w:pPr>
        <w:pStyle w:val="Bullet"/>
      </w:pPr>
      <w:r>
        <w:t xml:space="preserve">• 修改 Class 代碼、Reinsurer 名稱或固定條款前確認對案件快照、文件及結算對象的影響；尤其 AUW 規則依完整名稱辨識。</w:t>
      </w:r>
    </w:p>
    <w:p>
      <w:pPr>
        <w:pStyle w:val="Bullet"/>
      </w:pPr>
      <w:r>
        <w:t xml:space="preserve">• 評等為人工維護，可留空；不應把空評等解讀成系統已完成評等審查。</w:t>
      </w:r>
    </w:p>
    <w:p>
      <w:pPr>
        <w:pStyle w:val="Bullet"/>
      </w:pPr>
      <w:r>
        <w:t xml:space="preserve">• 匯率一月六筆完整維護，在 Production 關帳前確認；已關帳資料透過正式更正流程處理，勿直接繞過鎖定。</w:t>
      </w:r>
    </w:p>
    <w:p>
      <w:pPr>
        <w:pStyle w:val="Bullet"/>
      </w:pPr>
      <w:r>
        <w:t xml:space="preserve">• 人員離職先停用帳號及人員；人員停用與帳號停用兩個狀態都需核對。</w:t>
      </w:r>
    </w:p>
    <w:p>
      <w:pPr>
        <w:pStyle w:val="Bullet"/>
      </w:pPr>
      <w:r>
        <w:t xml:space="preserve">• 版本快照及 Audit 表不提供一般 UPDATE／DELETE；Audit 暫停期間只能依 Snapshot 和其他業務紀錄追溯，不能聲稱有完整事件紀錄。</w:t>
      </w:r>
    </w:p>
    <w:p>
      <w:pPr>
        <w:pStyle w:val="Bullet"/>
      </w:pPr>
      <w:r>
        <w:t xml:space="preserve">• 備份須同時包含 MySQL 與文件 volume，並另保留部署／設定資訊；SMTP、HTTPS、排程備份仍未啟用。</w:t>
      </w:r>
    </w:p>
    <w:p>
      <w:pPr>
        <w:pStyle w:val="Heading2"/>
      </w:pPr>
      <w:bookmarkStart w:id="23" w:name="heading_23"/>
      <w:r>
        <w:t xml:space="preserve">6.1 System Reference Data 與指南維護</w:t>
      </w:r>
      <w:bookmarkEnd w:id="23"/>
    </w:p>
    <w:p>
      <w:pPr>
        <w:pStyle w:val="Normal"/>
      </w:pPr>
      <w:r>
        <w:t xml:space="preserve">System Reference Data 主分頁及 /api/system-reference 需要 accounts.manage，現行僅 System Administrator 可用。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350"/>
        <w:gridCol w:w="6650"/>
      </w:tblGrid>
      <w:tr>
        <w:trPr>
          <w:cantSplit/>
          <w:tblHeader/>
        </w:trPr>
        <w:tc>
          <w:tcPr>
            <w:tcW w:w="23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類別</w:t>
            </w:r>
          </w:p>
        </w:tc>
        <w:tc>
          <w:tcPr>
            <w:tcW w:w="665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儲存與維護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System Guides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MDM_Master_Data_Management.docx、Schema_Database_Structure.docx、Swiss／AUW／Allianz／Great American 指南。內部本體在 backend/ri_system/reference_documents，隨後端映像版本發布；MDM／Schema 本版 2026-10-21。其他指南各有獨立日期，其摘要或問卷不可取代後續已確認程式規則。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Document Templates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DOCX、DOTX、XLSX、XLTX、PPTX、PDF，非空且≤10 MiB，驗證格式。同名重傳建新 UUID，不覆寫。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volume 內容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system-reference/&lt;UUID&gt;.bin 為上傳本體；&lt;UUID&gt;.json 保存 filename、content_type、byte_size、sha256、uploaded_at/by 等；無專用 SQL 表。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指南 metadata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manual-mdm.json／manual-schema.json 等保存 filename、release_date、updated_at/by 及生命週期覆寫；本體仍從映像 reference_documents 讀取，不能只改顯示日期而不更新檔案。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生命週期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Rename 保留副檔名，名稱 1–160 字且無斜線／控制字元；Delete 記錄 deleted_at/by 後移至 Recycle Bin，無法下載；Restore 清除停用資訊；不實體刪除內容。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鎖定／容錯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各 key 檔案鎖與原子 metadata 寫入保護 Rename／Delete／Restore；單一損壞模板 metadata 略過並提示，不令整份列表失敗。</w:t>
            </w:r>
          </w:p>
        </w:tc>
      </w:tr>
      <w:tr>
        <w:trPr>
          <w:cantSplit/>
        </w:trPr>
        <w:tc>
          <w:tcPr>
            <w:tcW w:w="2350" w:type="dxa"/>
            <w:shd w:fill="FFFFFF"/>
            <w:vAlign w:val="top"/>
          </w:tcPr>
          <w:p>
            <w:pPr>
              <w:pStyle w:val="TableText"/>
            </w:pPr>
            <w:r>
              <w:t xml:space="preserve">API</w:t>
            </w:r>
          </w:p>
        </w:tc>
        <w:tc>
          <w:tcPr>
            <w:tcW w:w="6650" w:type="dxa"/>
            <w:shd w:fill="FFFFFF"/>
            <w:vAlign w:val="top"/>
          </w:tcPr>
          <w:p>
            <w:pPr>
              <w:pStyle w:val="TableText"/>
            </w:pPr>
            <w:r>
              <w:t xml:space="preserve">GET 列 manuals/files/trash，?manual=&lt;id&gt; 或 ?fileId=&lt;UUID&gt; 下載；POST multipart 上傳模板；PATCH action=rename/restore；DELETE 移至回收桶。指南 id 以 MANUALS 定義為準。</w:t>
            </w:r>
          </w:p>
        </w:tc>
      </w:tr>
      <w:tr>
        <w:trPr>
          <w:cantSplit/>
        </w:trPr>
        <w:tc>
          <w:tcPr>
            <w:tcW w:w="2350" w:type="dxa"/>
            <w:shd w:fill="F1F5F8"/>
            <w:vAlign w:val="top"/>
          </w:tcPr>
          <w:p>
            <w:pPr>
              <w:pStyle w:val="TableText"/>
            </w:pPr>
            <w:r>
              <w:t xml:space="preserve">備份</w:t>
            </w:r>
          </w:p>
        </w:tc>
        <w:tc>
          <w:tcPr>
            <w:tcW w:w="6650" w:type="dxa"/>
            <w:shd w:fill="F1F5F8"/>
            <w:vAlign w:val="top"/>
          </w:tcPr>
          <w:p>
            <w:pPr>
              <w:pStyle w:val="TableText"/>
            </w:pPr>
            <w:r>
              <w:t xml:space="preserve">必須保存 MySQL、文件 volume、部署映像及設定；單備 MySQL 無法還原模板及指南。更新指南須核對列表日期、Content-Disposition 與實際下載 SHA-256。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24" w:name="sec7"/>
      <w:r>
        <w:t xml:space="preserve">7. API 與範例</w:t>
      </w:r>
      <w:bookmarkEnd w:id="24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rPr>
          <w:cantSplit/>
          <w:tblHeader/>
        </w:trPr>
        <w:tc>
          <w:tcPr>
            <w:tcW w:w="3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API</w:t>
            </w:r>
          </w:p>
        </w:tc>
        <w:tc>
          <w:tcPr>
            <w:tcW w:w="5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方法／用途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/api/master-data/lloyds-ratings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GET／PUT 市場共用評等；首次 rowVersion=0，之後依最新版本儲存。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/api/master-data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GET 列表（可 entityType 過濾）；POST 新增；PUT 編輯／停用／啟用。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/api/personnel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GET 列表及可操作範圍；POST 建立；PUT 修改／停用／啟用。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/api/personnel-options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GET 案件負責人／分績候選；需要 cases.write。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/api/personnel-accounts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POST 建立帳號；管理员或符合資格的直接主管。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/api/personnel-accounts/disable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POST 停用帳號，Admin。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/api/personnel-accounts/enable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POST 重新啟用帳號，Admin。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/api/personnel-accounts/reset-password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POST 重設初始密碼，Admin。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/api/fx-rates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GET 列表；POST 整月六筆。</w:t>
            </w:r>
          </w:p>
        </w:tc>
      </w:tr>
      <w:tr>
        <w:trPr>
          <w:cantSplit/>
        </w:trPr>
        <w:tc>
          <w:tcPr>
            <w:tcW w:w="3400" w:type="dxa"/>
            <w:shd w:fill="F1F5F8"/>
            <w:vAlign w:val="top"/>
          </w:tcPr>
          <w:p>
            <w:pPr>
              <w:pStyle w:val="TableText"/>
            </w:pPr>
            <w:r>
              <w:t xml:space="preserve">/api/dashboard-targets</w:t>
            </w:r>
          </w:p>
        </w:tc>
        <w:tc>
          <w:tcPr>
            <w:tcW w:w="5600" w:type="dxa"/>
            <w:shd w:fill="F1F5F8"/>
            <w:vAlign w:val="top"/>
          </w:tcPr>
          <w:p>
            <w:pPr>
              <w:pStyle w:val="TableText"/>
            </w:pPr>
            <w:r>
              <w:t xml:space="preserve">GET／POST／PUT 目標維護。</w:t>
            </w:r>
          </w:p>
        </w:tc>
      </w:tr>
      <w:tr>
        <w:trPr>
          <w:cantSplit/>
        </w:trPr>
        <w:tc>
          <w:tcPr>
            <w:tcW w:w="3400" w:type="dxa"/>
            <w:shd w:fill="FFFFFF"/>
            <w:vAlign w:val="top"/>
          </w:tcPr>
          <w:p>
            <w:pPr>
              <w:pStyle w:val="TableText"/>
            </w:pPr>
            <w:r>
              <w:t xml:space="preserve">/api/system-reference</w:t>
            </w:r>
          </w:p>
        </w:tc>
        <w:tc>
          <w:tcPr>
            <w:tcW w:w="5600" w:type="dxa"/>
            <w:shd w:fill="FFFFFF"/>
            <w:vAlign w:val="top"/>
          </w:tcPr>
          <w:p>
            <w:pPr>
              <w:pStyle w:val="TableText"/>
            </w:pPr>
            <w:r>
              <w:t xml:space="preserve">GET／POST／PATCH／DELETE 指南、模板及回收桶；僅 Admin。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5" w:name="heading_25"/>
      <w:r>
        <w:t xml:space="preserve">Reinsurer 新增請求示例</w:t>
      </w:r>
      <w:bookmarkEnd w:id="25"/>
    </w:p>
    <w:p>
      <w:pPr>
        <w:pStyle w:val="Normal"/>
      </w:pPr>
      <w:r>
        <w:t xml:space="preserve">以下為結構示例，不代表 VM 內有這些記錄。實際 Class ID 必須存在；登入後請求仍需 session 與 CSRF。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"entityType": "reinsurer",</w:t>
      </w:r>
    </w:p>
    <w:p>
      <w:pPr>
        <w:pStyle w:val="Code"/>
      </w:pPr>
      <w:r>
        <w:t xml:space="preserve">  "code": "RI-DEMO",</w:t>
      </w:r>
    </w:p>
    <w:p>
      <w:pPr>
        <w:pStyle w:val="Code"/>
      </w:pPr>
      <w:r>
        <w:t xml:space="preserve">  "name": "Example Reinsurer",</w:t>
      </w:r>
    </w:p>
    <w:p>
      <w:pPr>
        <w:pStyle w:val="Code"/>
      </w:pPr>
      <w:r>
        <w:t xml:space="preserve">  "payload": {</w:t>
      </w:r>
    </w:p>
    <w:p>
      <w:pPr>
        <w:pStyle w:val="Code"/>
      </w:pPr>
      <w:r>
        <w:t xml:space="preserve">    "abbreviation": "EXAMPLE",</w:t>
      </w:r>
    </w:p>
    <w:p>
      <w:pPr>
        <w:pStyle w:val="Code"/>
      </w:pPr>
      <w:r>
        <w:t xml:space="preserve">    "fixedClauses": [</w:t>
      </w:r>
    </w:p>
    <w:p>
      <w:pPr>
        <w:pStyle w:val="Code"/>
      </w:pPr>
      <w:r>
        <w:t xml:space="preserve">      {</w:t>
      </w:r>
    </w:p>
    <w:p>
      <w:pPr>
        <w:pStyle w:val="Code"/>
      </w:pPr>
      <w:r>
        <w:t xml:space="preserve">        "code": "NMA_DEMO",</w:t>
      </w:r>
    </w:p>
    <w:p>
      <w:pPr>
        <w:pStyle w:val="Code"/>
      </w:pPr>
      <w:r>
        <w:t xml:space="preserve">        "title": "Example fixed clause"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],</w:t>
      </w:r>
    </w:p>
    <w:p>
      <w:pPr>
        <w:pStyle w:val="Code"/>
      </w:pPr>
      <w:r>
        <w:t xml:space="preserve">    "ratings": [</w:t>
      </w:r>
    </w:p>
    <w:p>
      <w:pPr>
        <w:pStyle w:val="Code"/>
      </w:pPr>
      <w:r>
        <w:t xml:space="preserve">      {</w:t>
      </w:r>
    </w:p>
    <w:p>
      <w:pPr>
        <w:pStyle w:val="Code"/>
      </w:pPr>
      <w:r>
        <w:t xml:space="preserve">        "agency": "Example agency",</w:t>
      </w:r>
    </w:p>
    <w:p>
      <w:pPr>
        <w:pStyle w:val="Code"/>
      </w:pPr>
      <w:r>
        <w:t xml:space="preserve">        "grade": "A",</w:t>
      </w:r>
    </w:p>
    <w:p>
      <w:pPr>
        <w:pStyle w:val="Code"/>
      </w:pPr>
      <w:r>
        <w:t xml:space="preserve">        "asOfDate": "2026-10-01",</w:t>
      </w:r>
    </w:p>
    <w:p>
      <w:pPr>
        <w:pStyle w:val="Code"/>
      </w:pPr>
      <w:r>
        <w:t xml:space="preserve">        "sourceUrl": "https://example.com"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bookmarkStart w:id="26" w:name="heading_26"/>
      <w:r>
        <w:t xml:space="preserve">主檔編輯／停用示例</w:t>
      </w:r>
      <w:bookmarkEnd w:id="26"/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"id": 123,</w:t>
      </w:r>
    </w:p>
    <w:p>
      <w:pPr>
        <w:pStyle w:val="Code"/>
      </w:pPr>
      <w:r>
        <w:t xml:space="preserve">  "rowVersion": 4,</w:t>
      </w:r>
    </w:p>
    <w:p>
      <w:pPr>
        <w:pStyle w:val="Code"/>
      </w:pPr>
      <w:r>
        <w:t xml:space="preserve">  "code": "RI-DEMO",</w:t>
      </w:r>
    </w:p>
    <w:p>
      <w:pPr>
        <w:pStyle w:val="Code"/>
      </w:pPr>
      <w:r>
        <w:t xml:space="preserve">  "name": "Example Reinsurer",</w:t>
      </w:r>
    </w:p>
    <w:p>
      <w:pPr>
        <w:pStyle w:val="Code"/>
      </w:pPr>
      <w:r>
        <w:t xml:space="preserve">  "isActive": false</w:t>
      </w:r>
    </w:p>
    <w:p>
      <w:pPr>
        <w:pStyle w:val="Code"/>
      </w:pPr>
      <w:r>
        <w:t xml:space="preserve">}</w:t>
      </w:r>
    </w:p>
    <w:p>
      <w:pPr>
        <w:pStyle w:val="Normal"/>
      </w:pPr>
      <w:r>
        <w:t xml:space="preserve">此例未送 payload，保留既有內容；id／rowVersion 僅為示例。PUT 仍需 code/name；不能只送 isActive。</w:t>
      </w:r>
    </w:p>
    <w:p>
      <w:pPr>
        <w:pStyle w:val="Heading2"/>
      </w:pPr>
      <w:bookmarkStart w:id="27" w:name="heading_27"/>
      <w:r>
        <w:t xml:space="preserve">主要錯誤與處理</w:t>
      </w:r>
      <w:bookmarkEnd w:id="27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5400"/>
      </w:tblGrid>
      <w:tr>
        <w:trPr>
          <w:cantSplit/>
          <w:tblHeader/>
        </w:trPr>
        <w:tc>
          <w:tcPr>
            <w:tcW w:w="36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HTTP／情境</w:t>
            </w:r>
          </w:p>
        </w:tc>
        <w:tc>
          <w:tcPr>
            <w:tcW w:w="54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處理方式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400 invalid_entity_type／name_required／code_required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確認種類及必要欄位。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400 invalid_fixed_clauses／reserved_code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檢查 payload 結構、Class ID、重複及通用條款。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409 duplicate_name／duplicate_code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讀取包含停用的主檔，修改或重新啟用原列。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409 version_conflict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重新載入最新版本後再編輯。</w:t>
            </w:r>
          </w:p>
        </w:tc>
      </w:tr>
      <w:tr>
        <w:trPr>
          <w:cantSplit/>
        </w:trPr>
        <w:tc>
          <w:tcPr>
            <w:tcW w:w="3600" w:type="dxa"/>
            <w:shd w:fill="FFFFFF"/>
            <w:vAlign w:val="top"/>
          </w:tcPr>
          <w:p>
            <w:pPr>
              <w:pStyle w:val="TableText"/>
            </w:pPr>
            <w:r>
              <w:t xml:space="preserve">409 month_locked／last_active_admin</w:t>
            </w:r>
          </w:p>
        </w:tc>
        <w:tc>
          <w:tcPr>
            <w:tcW w:w="5400" w:type="dxa"/>
            <w:shd w:fill="FFFFFF"/>
            <w:vAlign w:val="top"/>
          </w:tcPr>
          <w:p>
            <w:pPr>
              <w:pStyle w:val="TableText"/>
            </w:pPr>
            <w:r>
              <w:t xml:space="preserve">依月份關帳／最後管理員規則處理，不可繞過限制。</w:t>
            </w:r>
          </w:p>
        </w:tc>
      </w:tr>
      <w:tr>
        <w:trPr>
          <w:cantSplit/>
        </w:trPr>
        <w:tc>
          <w:tcPr>
            <w:tcW w:w="3600" w:type="dxa"/>
            <w:shd w:fill="F1F5F8"/>
            <w:vAlign w:val="top"/>
          </w:tcPr>
          <w:p>
            <w:pPr>
              <w:pStyle w:val="TableText"/>
            </w:pPr>
            <w:r>
              <w:t xml:space="preserve">401／403</w:t>
            </w:r>
          </w:p>
        </w:tc>
        <w:tc>
          <w:tcPr>
            <w:tcW w:w="5400" w:type="dxa"/>
            <w:shd w:fill="F1F5F8"/>
            <w:vAlign w:val="top"/>
          </w:tcPr>
          <w:p>
            <w:pPr>
              <w:pStyle w:val="TableText"/>
            </w:pPr>
            <w:r>
              <w:t xml:space="preserve">確認登入、在職、帳號狀態、必改密碼及角色／主管範圍。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1"/>
      </w:pPr>
      <w:bookmarkStart w:id="28" w:name="sec8"/>
      <w:r>
        <w:t xml:space="preserve">8. 核對來源</w:t>
      </w:r>
      <w:bookmarkEnd w:id="28"/>
    </w:p>
    <w:p>
      <w:pPr>
        <w:pStyle w:val="Normal"/>
      </w:pPr>
      <w:r>
        <w:t xml:space="preserve">核對時間：2026-10-21 09:26:35（台灣時間）。以下識別對應本次製作時執行中的 VM，之後部署若變動須重新核對。</w:t>
      </w:r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000"/>
        <w:gridCol w:w="7000"/>
      </w:tblGrid>
      <w:tr>
        <w:trPr>
          <w:cantSplit/>
          <w:tblHeader/>
        </w:trPr>
        <w:tc>
          <w:tcPr>
            <w:tcW w:w="2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項目</w:t>
            </w:r>
          </w:p>
        </w:tc>
        <w:tc>
          <w:tcPr>
            <w:tcW w:w="70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核對來源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SQL 結構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MySQL information_schema：TABLES、COLUMNS、STATISTICS、TABLE_CONSTRAINTS、KEY_COLUMN_USAGE、REFERENTIAL_CONSTRAINTS、CHECK_CONSTRAINTS、TRIGGERS。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授權與版本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執行時帳號 SHOW GRANTS、django_migrations；只擷取結構與設定，未匯出業務資料。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程式位置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/opt/ri-system/backend、/opt/ri-system/frontend；執行容器 ri-backend、ri-nginx。</w:t>
            </w:r>
          </w:p>
        </w:tc>
      </w:tr>
      <w:tr>
        <w:trPr>
          <w:cantSplit/>
        </w:trPr>
        <w:tc>
          <w:tcPr>
            <w:tcW w:w="2000" w:type="dxa"/>
            <w:shd w:fill="F1F5F8"/>
            <w:vAlign w:val="top"/>
          </w:tcPr>
          <w:p>
            <w:pPr>
              <w:pStyle w:val="TableText"/>
            </w:pPr>
            <w:r>
              <w:t xml:space="preserve">原始碼一致性</w:t>
            </w:r>
          </w:p>
        </w:tc>
        <w:tc>
          <w:tcPr>
            <w:tcW w:w="7000" w:type="dxa"/>
            <w:shd w:fill="F1F5F8"/>
            <w:vAlign w:val="top"/>
          </w:tcPr>
          <w:p>
            <w:pPr>
              <w:pStyle w:val="TableText"/>
            </w:pPr>
            <w:r>
              <w:t xml:space="preserve">本次核對 258 個容器 Python 檔案 SHA-256，均與核對來源一致。</w:t>
            </w:r>
          </w:p>
        </w:tc>
      </w:tr>
      <w:tr>
        <w:trPr>
          <w:cantSplit/>
        </w:trPr>
        <w:tc>
          <w:tcPr>
            <w:tcW w:w="2000" w:type="dxa"/>
            <w:shd w:fill="FFFFFF"/>
            <w:vAlign w:val="top"/>
          </w:tcPr>
          <w:p>
            <w:pPr>
              <w:pStyle w:val="TableText"/>
            </w:pPr>
            <w:r>
              <w:t xml:space="preserve">設定來源</w:t>
            </w:r>
          </w:p>
        </w:tc>
        <w:tc>
          <w:tcPr>
            <w:tcW w:w="7000" w:type="dxa"/>
            <w:shd w:fill="FFFFFF"/>
            <w:vAlign w:val="top"/>
          </w:tcPr>
          <w:p>
            <w:pPr>
              <w:pStyle w:val="TableText"/>
            </w:pPr>
            <w:r>
              <w:t xml:space="preserve">/opt/ri-system/compose.yaml 及容器中 Django settings；不列出機密值。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Heading2"/>
      </w:pPr>
      <w:bookmarkStart w:id="29" w:name="heading_29"/>
      <w:r>
        <w:t xml:space="preserve">部署映像識別</w:t>
      </w:r>
      <w:bookmarkEnd w:id="29"/>
    </w:p>
    <w:p>
      <w:pPr>
        <w:pStyle w:val="Code"/>
      </w:pPr>
      <w:r>
        <w:t xml:space="preserve">/ri-nginx sha256:0ff9808117c77b5c2d03da4a9eaf2a7c2a65fdc5528754d218bac59196f9099c 2026-10-20T07:15:25.929032392Z</w:t>
      </w:r>
    </w:p>
    <w:p>
      <w:pPr>
        <w:pStyle w:val="Code"/>
      </w:pPr>
      <w:r>
        <w:t xml:space="preserve">/ri-backend sha256:eaad38d0a34bd0e12649fcc740f39276ffbd24156eaef378d6d04d607080bc37 2026-10-20T07:15:25.362259954Z</w:t>
      </w:r>
    </w:p>
    <w:p>
      <w:pPr>
        <w:pStyle w:val="Heading2"/>
      </w:pPr>
      <w:bookmarkStart w:id="30" w:name="heading_30"/>
      <w:r>
        <w:t xml:space="preserve">主要規則來源</w:t>
      </w:r>
      <w:bookmarkEnd w:id="30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300"/>
        <w:gridCol w:w="5700"/>
      </w:tblGrid>
      <w:tr>
        <w:trPr>
          <w:cantSplit/>
          <w:tblHeader/>
        </w:trPr>
        <w:tc>
          <w:tcPr>
            <w:tcW w:w="3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部署相對路徑</w:t>
            </w:r>
          </w:p>
        </w:tc>
        <w:tc>
          <w:tcPr>
            <w:tcW w:w="5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ri_system/reference_views.py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8e2cabe3f6f28d29c3eb6fe5bb7d64c2823789d4ccb53867a20eb801fc05af20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ri_system/session_idle.py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de33f18365f1a5d7cb1ae1c1e7d2f717dd186d8a44892cdbcfc9fbd4d08a3b98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cases/calc/swiss_facility.py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32e9e0ff6a1e76376e51f3b036b9f49bc28d47217b00e4360978294c840ccce4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cases/swiss_accounting.py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5dda2f4872c417ad789d3d66a02784a0e78464b3a2348bb5d2b6a2df0aa7bd79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cases/sum_insured.py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514e2ee8f307ce67fe8ff2d0a12faf21aed69cdafa459ed8df51019a37007342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masterdata/models.py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c1c96398a82f3e3bfb352e6ba3c5e69d77e26467e5330a8bc1380a7a13270da1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masterdata/views.py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e0f532338ae63f106548684f4d9e77ddd04780bb8458aae994bfe6c6f81823aa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personnel/models.py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39de2f14f1f81f9973e35d2fc4ef7148ec12f1d8a7e3f88f132bd6b6f8d8d16f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personnel/views.py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a0b201423c85656ce98ef338abbe1cbe205a4af8ff19f2bffe7a94087b3ecd2b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personnel/accounts.py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2fe13a0d34e17c3b73f32f8b45d9b0276e7e8b9e5d6b8b0b035e53835b69c529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personnel/supervision.py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1409c6f5af8d7e2e6e6eadbd38c15b0abf07dfac501e24aec5a0360dec758b20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ri_system/authz.py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8aa8afb72a05a9aecd5ad2567322f2c8ee921ccde3a23b0b338a957d86a105ce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fxrates/views.py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49f140f730b2ac7f2dba1c74ec7aa1c042fa0043df74525b17c4bbe046bfe37f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cases/draft.py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f9771a4f09077e35961dd35e06fc25c13950657b2717f669fe99c90d0e0e3386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cases/workflow_views.py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aa57cb8e7d17e5ab65a81483558032f434099bc06d6ab616d9a285035b013065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cases/manual_reference.py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db28fa4b983e45f96e897e2b68c4aacda0e14e134fe5a34325da64bc31128074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cases/calc/payment_terms.py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04c94f230f4452b58d69117969ed64694ad0d5bc2a6039383ec815c89c1ea0e7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cases/endorsement_terms.py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7b453515ad35443602144f63e811e72eb28008e3fa0350278b6b05adaec75732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cases/renewal_premiums.py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5a2aa4cca8042a3e4c3123c58e1809e5ffa4753dd449d6cc026959deb6606fb5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cases/transaction_payments.py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5fd9f11a25538e7d85b264e21a342089a6997adc21deec26f0550f54f07c7510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cases/cash_ledger.py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beabf33c155a3aae3de4b7607b7c3e734aced25c8164b564185abc1c099cfa6d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cases/document_generation_views.py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d1671d4b0a4c04ff097219006a14a1df3c4b80b51296ef894d182b9b1aa1ad8f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production/views.py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ec4131202508466c83c2b41e1d8fc2cb0692be883c242215294076dc0de92971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production/calc.py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7094076698ed4cb8f0b4d2ed1f58f1e50c3e957ad80a96dbf9e9f3201f2ff223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coordination/services.py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29faf1b4f09c6928933e873088c7964faeb3bff5904c27a50be7feb99454dec1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audit/services.py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35568f7ab3336a19f5b72f93ecdaf8507e0b4fa49815ae1e5e2d2ac732fb5be4</w:t>
            </w:r>
          </w:p>
        </w:tc>
      </w:tr>
    </w:tbl>
    <w:p>
      <w:pPr>
        <w:pStyle w:val="TableSpacer"/>
      </w:pPr>
      <w:r>
        <w:t xml:space="preserve"/>
      </w:r>
    </w:p>
    <w:p>
      <w:pPr>
        <w:pStyle w:val="Note"/>
      </w:pPr>
      <w:r>
        <w:t xml:space="preserve">核對以製作前的執行版本為準；本次發布僅更新兩份說明文件及其發行日期，不改變業務規則。</w:t>
      </w:r>
    </w:p>
    <w:p>
      <w:pPr>
        <w:pStyle w:val="Heading2"/>
      </w:pPr>
      <w:bookmarkStart w:id="31" w:name="heading_31"/>
      <w:r>
        <w:t xml:space="preserve">目前專用規則來源</w:t>
      </w:r>
      <w:bookmarkEnd w:id="31"/>
    </w:p>
    <w:tbl>
      <w:tblPr>
        <w:tblW w:w="9000" w:type="dxa"/>
        <w:tblLayout w:type="fixed"/>
        <w:tblBorders>
          <w:top w:val="single" w:sz="4" w:color="B7C7D3"/>
          <w:left w:val="single" w:sz="4" w:color="B7C7D3"/>
          <w:bottom w:val="single" w:sz="4" w:color="B7C7D3"/>
          <w:right w:val="single" w:sz="4" w:color="B7C7D3"/>
          <w:insideH w:val="single" w:sz="4" w:color="B7C7D3"/>
          <w:insideV w:val="single" w:sz="4" w:color="B7C7D3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300"/>
        <w:gridCol w:w="5700"/>
      </w:tblGrid>
      <w:tr>
        <w:trPr>
          <w:cantSplit/>
          <w:tblHeader/>
        </w:trPr>
        <w:tc>
          <w:tcPr>
            <w:tcW w:w="33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相對路徑</w:t>
            </w:r>
          </w:p>
        </w:tc>
        <w:tc>
          <w:tcPr>
            <w:tcW w:w="5700" w:type="dxa"/>
            <w:shd w:fill="245C80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masterdata/market_views.py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2933fa4e48cc8fc3c4cf3cf5e4f573d432dbe2afa4aa0fdc81e9c21e0af63fe3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masterdata/lloyds_market.py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8b6157c082b4e5118016209e81bed944577cf9e57b2a7502dfed17056dc9ac9d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cases/facility_accounting.py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b2e2966c6baad177709f6a932b62961b7d8e11e3cdf80d1762da1a5bb7d3eecd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cases/payment_policy.py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687d91ff53bb00d584b5eea6084c0317393aa911cbb0d5ec83489be98c97ee04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cases/allianz_accounting.py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c748f780594dead262c2ae45ae357b14bfc3642317c49a9bc646146f3160edec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cases/great_american_accounting.py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11278f6191dea987745247a9547d884615f06e7afe3514ce317cea48479f35b1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cases/accounting_rules.py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76cb04f697e1b90dbe2a33fdcf2efc6b632b76c9194accd013a340d1d92d6288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cases/reference_views.py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a9f9669131e969721846fbc60589cd23956b32ad598cd7188a2ca3c65ca2ffb6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cases/premium_rounding.py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c3fc5e1481be8903cc490304c7709f829107c939cdca54391997f2c51f45bb44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cases/calc/premium_money.py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37e342192824ef124033491d017a9e73b0e8e26d9493ec98560d5be81d0cd4b9</w:t>
            </w:r>
          </w:p>
        </w:tc>
      </w:tr>
      <w:tr>
        <w:trPr>
          <w:cantSplit/>
        </w:trPr>
        <w:tc>
          <w:tcPr>
            <w:tcW w:w="3300" w:type="dxa"/>
            <w:shd w:fill="FFFFFF"/>
            <w:vAlign w:val="top"/>
          </w:tcPr>
          <w:p>
            <w:pPr>
              <w:pStyle w:val="TableText"/>
            </w:pPr>
            <w:r>
              <w:t xml:space="preserve">cases/cgl_information.py</w:t>
            </w:r>
          </w:p>
        </w:tc>
        <w:tc>
          <w:tcPr>
            <w:tcW w:w="5700" w:type="dxa"/>
            <w:shd w:fill="FFFFFF"/>
            <w:vAlign w:val="top"/>
          </w:tcPr>
          <w:p>
            <w:pPr>
              <w:pStyle w:val="TableText"/>
            </w:pPr>
            <w:r>
              <w:t xml:space="preserve">adcc7cc3bf47a49ddb60d0e8a2d58a2a4dd2b26e25d85711ed613fd669a3b861</w:t>
            </w:r>
          </w:p>
        </w:tc>
      </w:tr>
      <w:tr>
        <w:trPr>
          <w:cantSplit/>
        </w:trPr>
        <w:tc>
          <w:tcPr>
            <w:tcW w:w="3300" w:type="dxa"/>
            <w:shd w:fill="F1F5F8"/>
            <w:vAlign w:val="top"/>
          </w:tcPr>
          <w:p>
            <w:pPr>
              <w:pStyle w:val="TableText"/>
            </w:pPr>
            <w:r>
              <w:t xml:space="preserve">cases/cgl_risk_details.py</w:t>
            </w:r>
          </w:p>
        </w:tc>
        <w:tc>
          <w:tcPr>
            <w:tcW w:w="5700" w:type="dxa"/>
            <w:shd w:fill="F1F5F8"/>
            <w:vAlign w:val="top"/>
          </w:tcPr>
          <w:p>
            <w:pPr>
              <w:pStyle w:val="TableText"/>
            </w:pPr>
            <w:r>
              <w:t xml:space="preserve">8414d7dab0b06f0feb9bd59d30011e2a82555202d1ea53cf58c6bf53a2dd1d26</w:t>
            </w:r>
          </w:p>
        </w:tc>
      </w:tr>
    </w:tbl>
    <w:p>
      <w:pPr>
        <w:pStyle w:val="TableSpacer"/>
      </w:pPr>
      <w:r>
        <w:t xml:space="preserve"/>
      </w:r>
    </w:p>
    <w:sectPr>
      <w:headerReference w:type="default" r:id="rIdHeader"/>
      <w:footerReference w:type="default" r:id="rIdFooter"/>
      <w:pgSz w:w="11906" w:h="16838"/>
      <w:pgMar w:top="1134" w:right="1453" w:bottom="1134" w:left="1453" w:header="567" w:footer="567"/>
      <w:cols w:space="708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</w:rPr>
      <w:t xml:space="preserve">2026-10-21  ·  第 </w:t>
    </w:r>
    <w:fldSimple w:instr="PAGE">
      <w:r>
        <w:rPr>
          <w:sz w:val="16"/>
        </w:rPr>
        <w:t xml:space="preserve">1</w:t>
      </w:r>
    </w:fldSimple>
    <w:r>
      <w:rPr>
        <w:sz w:val="16"/>
      </w:rPr>
      <w:t xml:space="preserve"> 頁／共 </w:t>
    </w:r>
    <w:fldSimple w:instr="NUMPAGES">
      <w:r>
        <w:rPr>
          <w:sz w:val="16"/>
        </w:rPr>
        <w:t xml:space="preserve">1</w:t>
      </w:r>
    </w:fldSimple>
    <w:r>
      <w:rPr>
        <w:sz w:val="16"/>
      </w:rPr>
      <w:t xml:space="preserve"> 頁</w:t>
    </w:r>
  </w:p>
</w:ftr>
</file>

<file path=word/header1.xml><?xml version="1.0" encoding="utf-8"?>
<w:hdr xmlns:w="http://schemas.openxmlformats.org/wordprocessingml/2006/main">
  <w:p>
    <w:pPr>
      <w:spacing w:after="80"/>
      <w:pBdr>
        <w:bottom w:val="single" w:sz="4" w:color="B7C7D3"/>
      </w:pBdr>
    </w:pPr>
    <w:r>
      <w:rPr>
        <w:sz w:val="16"/>
        <w:color w:val="536674"/>
      </w:rPr>
      <w:t xml:space="preserve">Reinsurance Department System  |  MDM 主檔管理</w:t>
    </w:r>
  </w:p>
</w:hdr>
</file>

<file path=word/settings.xml><?xml version="1.0" encoding="utf-8"?>
<w:settings xmlns:w="http://schemas.openxmlformats.org/wordprocessingml/2006/main">
  <w:defaultTabStop w:val="420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Microsoft JhengHei"/>
        <w:sz w:val="21"/>
        <w:szCs w:val="21"/>
        <w:lang w:val="en-US" w:eastAsia="zh-TW"/>
      </w:rPr>
    </w:rPrDefault>
    <w:pPrDefault>
      <w:pPr>
        <w:spacing w:after="90" w:line="300" w:lineRule="auto"/>
      </w:pPr>
    </w:pPrDefault>
  </w:docDefaults>
  <w:style w:type="paragraph" w:styleId="Normal" w:default="1">
    <w:name w:val="正文"/>
    <w:pPr>
      <w:spacing w:before="0" w:after="90" w:line="300" w:lineRule="auto"/>
      <w:widowControl/>
    </w:pPr>
    <w:rPr>
      <w:sz w:val="21"/>
      <w:szCs w:val="21"/>
      <w:color w:val="202B33"/>
    </w:rPr>
  </w:style>
  <w:style w:type="paragraph" w:styleId="Title">
    <w:name w:val="文件標題"/>
    <w:basedOn w:val="Normal"/>
    <w:pPr>
      <w:spacing w:before="200" w:after="250" w:line="300" w:lineRule="auto"/>
      <w:widowControl/>
    </w:pPr>
    <w:rPr>
      <w:sz w:val="40"/>
      <w:szCs w:val="40"/>
      <w:b/>
      <w:color w:val="245C80"/>
    </w:rPr>
  </w:style>
  <w:style w:type="paragraph" w:styleId="Subtitle">
    <w:name w:val="副標題"/>
    <w:basedOn w:val="Normal"/>
    <w:pPr>
      <w:spacing w:before="100" w:after="160" w:line="300" w:lineRule="auto"/>
      <w:widowControl/>
    </w:pPr>
    <w:rPr>
      <w:sz w:val="24"/>
      <w:szCs w:val="24"/>
      <w:color w:val="536674"/>
    </w:rPr>
  </w:style>
  <w:style w:type="paragraph" w:styleId="Heading1">
    <w:name w:val="標題 1"/>
    <w:basedOn w:val="Normal"/>
    <w:pPr>
      <w:keepNext/>
      <w:outlineLvl w:val="0"/>
      <w:spacing w:before="280" w:after="150" w:line="300" w:lineRule="auto"/>
      <w:widowControl/>
    </w:pPr>
    <w:rPr>
      <w:sz w:val="30"/>
      <w:szCs w:val="30"/>
      <w:b/>
      <w:color w:val="245C80"/>
    </w:rPr>
  </w:style>
  <w:style w:type="paragraph" w:styleId="Heading2">
    <w:name w:val="標題 2"/>
    <w:basedOn w:val="Normal"/>
    <w:pPr>
      <w:keepNext/>
      <w:outlineLvl w:val="1"/>
      <w:spacing w:before="200" w:after="110" w:line="300" w:lineRule="auto"/>
      <w:widowControl/>
    </w:pPr>
    <w:rPr>
      <w:sz w:val="25"/>
      <w:szCs w:val="25"/>
      <w:b/>
      <w:color w:val="245C80"/>
    </w:rPr>
  </w:style>
  <w:style w:type="paragraph" w:styleId="Heading3">
    <w:name w:val="標題 3"/>
    <w:basedOn w:val="Normal"/>
    <w:pPr>
      <w:keepNext/>
      <w:outlineLvl w:val="2"/>
      <w:spacing w:before="180" w:after="90" w:line="300" w:lineRule="auto"/>
      <w:widowControl/>
    </w:pPr>
    <w:rPr>
      <w:sz w:val="22"/>
      <w:szCs w:val="22"/>
      <w:b/>
      <w:color w:val="245C80"/>
    </w:rPr>
  </w:style>
  <w:style w:type="paragraph" w:styleId="TableText">
    <w:name w:val="表格文字"/>
    <w:basedOn w:val="Normal"/>
    <w:pPr>
      <w:spacing w:before="0" w:after="20" w:line="255" w:lineRule="auto"/>
      <w:widowControl/>
    </w:pPr>
    <w:rPr>
      <w:sz w:val="18"/>
      <w:szCs w:val="18"/>
      <w:color w:val="202B33"/>
    </w:rPr>
  </w:style>
  <w:style w:type="paragraph" w:styleId="TableSpacer">
    <w:name w:val="表後間距"/>
    <w:basedOn w:val="Normal"/>
    <w:pPr>
      <w:spacing w:before="0" w:after="20" w:line="300" w:lineRule="auto"/>
      <w:widowControl/>
    </w:pPr>
    <w:rPr>
      <w:sz w:val="6"/>
      <w:szCs w:val="6"/>
      <w:color w:val="202B33"/>
    </w:rPr>
  </w:style>
  <w:style w:type="paragraph" w:styleId="Note">
    <w:name w:val="附註"/>
    <w:basedOn w:val="Normal"/>
    <w:pPr>
      <w:spacing w:before="40" w:after="90" w:line="300" w:lineRule="auto"/>
      <w:widowControl/>
    </w:pPr>
    <w:rPr>
      <w:sz w:val="19"/>
      <w:szCs w:val="19"/>
      <w:color w:val="536674"/>
    </w:rPr>
  </w:style>
  <w:style w:type="paragraph" w:styleId="Bullet">
    <w:name w:val="項目"/>
    <w:basedOn w:val="Normal"/>
    <w:pPr>
      <w:ind w:left="250" w:hanging="250"/>
      <w:spacing w:before="0" w:after="70" w:line="300" w:lineRule="auto"/>
      <w:widowControl/>
    </w:pPr>
    <w:rPr>
      <w:sz w:val="21"/>
      <w:szCs w:val="21"/>
      <w:color w:val="202B33"/>
    </w:rPr>
  </w:style>
  <w:style w:type="paragraph" w:styleId="Code">
    <w:name w:val="程式與資料範例"/>
    <w:basedOn w:val="Normal"/>
    <w:pPr>
      <w:spacing w:before="0" w:after="10" w:line="255" w:lineRule="auto"/>
      <w:widowControl/>
    </w:pPr>
    <w:rPr>
      <w:rFonts w:ascii="Consolas" w:hAnsi="Consolas" w:eastAsia="Microsoft JhengHei"/>
      <w:sz w:val="17"/>
      <w:szCs w:val="17"/>
      <w:color w:val="202B33"/>
    </w:rPr>
  </w:style>
  <w:style w:type="paragraph" w:styleId="TOC1">
    <w:name w:val="目錄"/>
    <w:basedOn w:val="Normal"/>
    <w:pPr>
      <w:spacing w:before="50" w:after="100" w:line="300" w:lineRule="auto"/>
      <w:widowControl/>
    </w:pPr>
    <w:rPr>
      <w:sz w:val="23"/>
      <w:szCs w:val="23"/>
      <w:color w:val="245C80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MDM 主檔管理說明</dc:title>
  <dc:creator>Reinsurance Department System</dc:creator>
  <dc:description>目前 VM 完整說明；2026-10-21</dc:description>
  <dcterms:created xsi:type="dcterms:W3CDTF">2026-10-21T01:26:35.409838+00:00</dcterms:created>
</cp:coreProperties>
</file>