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4940" w:rsidRPr="004A6493" w:rsidRDefault="00510B14" w:rsidP="004A6493">
      <w:pP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Manuscript Number</w:t>
      </w:r>
      <w:r w:rsidR="00830903">
        <w:rPr>
          <w:rFonts w:ascii="Times New Roman" w:eastAsia="Times New Roman" w:hAnsi="Times New Roman" w:cs="Times New Roman"/>
          <w:b/>
          <w:sz w:val="24"/>
          <w:szCs w:val="24"/>
        </w:rPr>
        <w:t xml:space="preserve"> </w:t>
      </w:r>
      <w:r w:rsidR="00830903" w:rsidRPr="00830903">
        <w:rPr>
          <w:rFonts w:ascii="Times New Roman" w:eastAsia="Times New Roman" w:hAnsi="Times New Roman" w:cs="Times New Roman"/>
          <w:sz w:val="24"/>
          <w:szCs w:val="24"/>
          <w:lang w:val="en-US"/>
        </w:rPr>
        <w:t>EID-20-1099</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Summary Line:</w:t>
      </w:r>
      <w:r>
        <w:rPr>
          <w:rFonts w:ascii="Times New Roman" w:eastAsia="Times New Roman" w:hAnsi="Times New Roman" w:cs="Times New Roman"/>
          <w:sz w:val="24"/>
          <w:szCs w:val="24"/>
        </w:rPr>
        <w:t xml:space="preserve"> Social distancing is likely to have assisted in </w:t>
      </w:r>
      <w:r w:rsidR="002D3516">
        <w:rPr>
          <w:rFonts w:ascii="Times New Roman" w:eastAsia="Times New Roman" w:hAnsi="Times New Roman" w:cs="Times New Roman"/>
          <w:sz w:val="24"/>
          <w:szCs w:val="24"/>
        </w:rPr>
        <w:t>mitigating</w:t>
      </w:r>
      <w:r>
        <w:rPr>
          <w:rFonts w:ascii="Times New Roman" w:eastAsia="Times New Roman" w:hAnsi="Times New Roman" w:cs="Times New Roman"/>
          <w:sz w:val="24"/>
          <w:szCs w:val="24"/>
        </w:rPr>
        <w:t xml:space="preserve"> the spread of COVID-19 in South Korea.</w:t>
      </w:r>
    </w:p>
    <w:p w:rsidR="006D4940" w:rsidRPr="008B0B1E" w:rsidRDefault="00510B14">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Running Title:</w:t>
      </w:r>
      <w:r>
        <w:rPr>
          <w:rFonts w:ascii="Times New Roman" w:eastAsia="Times New Roman" w:hAnsi="Times New Roman" w:cs="Times New Roman"/>
          <w:sz w:val="24"/>
          <w:szCs w:val="24"/>
        </w:rPr>
        <w:t xml:space="preserve"> Social distancing and COVID-19, South Korea</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coronavirus disease, COVID-19, SARS-CoV-2, South Korea, social distancing</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Potential roles of social distancing in mitigating the spread of coronavirus disease 2019 (COVID-19) in South Korea</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Authors: </w:t>
      </w:r>
      <w:r>
        <w:rPr>
          <w:rFonts w:ascii="Times New Roman" w:eastAsia="Times New Roman" w:hAnsi="Times New Roman" w:cs="Times New Roman"/>
          <w:sz w:val="24"/>
          <w:szCs w:val="24"/>
        </w:rPr>
        <w:t>Sang Woo Park,</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Kaiyuan Sun,</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Cécile </w:t>
      </w:r>
      <w:proofErr w:type="spellStart"/>
      <w:r>
        <w:rPr>
          <w:rFonts w:ascii="Times New Roman" w:eastAsia="Times New Roman" w:hAnsi="Times New Roman" w:cs="Times New Roman"/>
          <w:sz w:val="24"/>
          <w:szCs w:val="24"/>
        </w:rPr>
        <w:t>Viboud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Bryan T</w:t>
      </w:r>
      <w:r>
        <w:rPr>
          <w:rFonts w:ascii="Times New Roman" w:eastAsia="Times New Roman" w:hAnsi="Times New Roman" w:cs="Times New Roman"/>
          <w:sz w:val="24"/>
          <w:szCs w:val="24"/>
        </w:rPr>
        <w:t>. Grenfell,</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Jonathan </w:t>
      </w:r>
      <w:proofErr w:type="spellStart"/>
      <w:r>
        <w:rPr>
          <w:rFonts w:ascii="Times New Roman" w:eastAsia="Times New Roman" w:hAnsi="Times New Roman" w:cs="Times New Roman"/>
          <w:sz w:val="24"/>
          <w:szCs w:val="24"/>
        </w:rPr>
        <w:t>Dushoff</w:t>
      </w:r>
      <w:proofErr w:type="spellEnd"/>
    </w:p>
    <w:p w:rsidR="006D4940" w:rsidRDefault="00510B1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Affiliations:</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Princeton University, Princeton, New Jersey, USA (SW. Park, BT. Grenfell)</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Institutes of Health, Bethesda, Maryland, USA (K. Sun, C. </w:t>
      </w:r>
      <w:proofErr w:type="spellStart"/>
      <w:r>
        <w:rPr>
          <w:rFonts w:ascii="Times New Roman" w:eastAsia="Times New Roman" w:hAnsi="Times New Roman" w:cs="Times New Roman"/>
          <w:sz w:val="24"/>
          <w:szCs w:val="24"/>
        </w:rPr>
        <w:t>Viboud</w:t>
      </w:r>
      <w:proofErr w:type="spellEnd"/>
      <w:r>
        <w:rPr>
          <w:rFonts w:ascii="Times New Roman" w:eastAsia="Times New Roman" w:hAnsi="Times New Roman" w:cs="Times New Roman"/>
          <w:sz w:val="24"/>
          <w:szCs w:val="24"/>
        </w:rPr>
        <w:t>, BT. Grenfell)</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McMaster University, Hamilton, Ontario, Canada (J.</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Dushoff</w:t>
      </w:r>
      <w:proofErr w:type="spellEnd"/>
      <w:r>
        <w:rPr>
          <w:rFonts w:ascii="Times New Roman" w:eastAsia="Times New Roman" w:hAnsi="Times New Roman" w:cs="Times New Roman"/>
          <w:sz w:val="24"/>
          <w:szCs w:val="24"/>
        </w:rPr>
        <w:t>)</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Funding statement:</w:t>
      </w:r>
      <w:r>
        <w:rPr>
          <w:rFonts w:ascii="Times New Roman" w:eastAsia="Times New Roman" w:hAnsi="Times New Roman" w:cs="Times New Roman"/>
          <w:sz w:val="24"/>
          <w:szCs w:val="24"/>
        </w:rPr>
        <w:t xml:space="preserve"> JD was supported from the Canadian Institutes of Health Research. The funders had no role in study design, data collection and analysis, decision to publish, or preparation of the manuscript.</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Conflicts of interest: </w:t>
      </w:r>
      <w:r>
        <w:rPr>
          <w:rFonts w:ascii="Times New Roman" w:eastAsia="Times New Roman" w:hAnsi="Times New Roman" w:cs="Times New Roman"/>
          <w:sz w:val="24"/>
          <w:szCs w:val="24"/>
        </w:rPr>
        <w:t>None</w:t>
      </w:r>
    </w:p>
    <w:p w:rsidR="006D4940" w:rsidRDefault="00510B1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w:t>
      </w:r>
      <w:r>
        <w:rPr>
          <w:rFonts w:ascii="Times New Roman" w:eastAsia="Times New Roman" w:hAnsi="Times New Roman" w:cs="Times New Roman"/>
          <w:b/>
          <w:sz w:val="24"/>
          <w:szCs w:val="24"/>
        </w:rPr>
        <w:t>t — 41 words (limit: 50 words)</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COVID-19 outbreak in South Korea reached its peak at the end of February. We report here on the likely roles of social distancing in reducing transmission in South Korea. Our analysis suggests that transmission may still </w:t>
      </w:r>
      <w:r>
        <w:rPr>
          <w:rFonts w:ascii="Times New Roman" w:eastAsia="Times New Roman" w:hAnsi="Times New Roman" w:cs="Times New Roman"/>
          <w:sz w:val="24"/>
          <w:szCs w:val="24"/>
        </w:rPr>
        <w:t>be persisting in some regions.</w:t>
      </w:r>
      <w:r>
        <w:rPr>
          <w:rFonts w:ascii="Times New Roman" w:eastAsia="Times New Roman" w:hAnsi="Times New Roman" w:cs="Times New Roman"/>
          <w:sz w:val="24"/>
          <w:szCs w:val="24"/>
        </w:rPr>
        <w:t xml:space="preserve"> </w:t>
      </w:r>
    </w:p>
    <w:p w:rsidR="006D4940" w:rsidRDefault="00510B1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 1</w:t>
      </w:r>
      <w:r w:rsidR="00D055F0">
        <w:rPr>
          <w:rFonts w:ascii="Times New Roman" w:eastAsia="Times New Roman" w:hAnsi="Times New Roman" w:cs="Times New Roman"/>
          <w:b/>
          <w:sz w:val="24"/>
          <w:szCs w:val="24"/>
        </w:rPr>
        <w:t xml:space="preserve">297 </w:t>
      </w:r>
      <w:r>
        <w:rPr>
          <w:rFonts w:ascii="Times New Roman" w:eastAsia="Times New Roman" w:hAnsi="Times New Roman" w:cs="Times New Roman"/>
          <w:b/>
          <w:sz w:val="24"/>
          <w:szCs w:val="24"/>
        </w:rPr>
        <w:t>words (limit: 1200 words)</w:t>
      </w:r>
    </w:p>
    <w:p w:rsidR="006D4940" w:rsidRDefault="00510B14">
      <w:pPr>
        <w:spacing w:line="480" w:lineRule="auto"/>
        <w:ind w:firstLine="580"/>
        <w:rPr>
          <w:rFonts w:ascii="Times New Roman" w:eastAsia="Times New Roman" w:hAnsi="Times New Roman" w:cs="Times New Roman"/>
          <w:sz w:val="24"/>
          <w:szCs w:val="24"/>
        </w:rPr>
      </w:pPr>
      <w:r>
        <w:rPr>
          <w:rFonts w:ascii="Times New Roman" w:eastAsia="Times New Roman" w:hAnsi="Times New Roman" w:cs="Times New Roman"/>
          <w:sz w:val="24"/>
          <w:szCs w:val="24"/>
        </w:rPr>
        <w:t>Since its first appearance in Wuhan, China, in December 2019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coronavirus disease (COVID-19) has spread internationally, including to South Korea. The first COVID-19 case in South K</w:t>
      </w:r>
      <w:r>
        <w:rPr>
          <w:rFonts w:ascii="Times New Roman" w:eastAsia="Times New Roman" w:hAnsi="Times New Roman" w:cs="Times New Roman"/>
          <w:sz w:val="24"/>
          <w:szCs w:val="24"/>
        </w:rPr>
        <w:t>orea was confirmed on January 20, 2020, from a traveling resident of Wuhan, China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In February, the disease spread rapidly within a church community in the city of Daegu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The chains of transmission that began from this cluster distinguish the epide</w:t>
      </w:r>
      <w:r>
        <w:rPr>
          <w:rFonts w:ascii="Times New Roman" w:eastAsia="Times New Roman" w:hAnsi="Times New Roman" w:cs="Times New Roman"/>
          <w:sz w:val="24"/>
          <w:szCs w:val="24"/>
        </w:rPr>
        <w:t>mic in South Korea from that in any other countries: As of March 24, 2020, 9,037 cases were confirmed, of which 56% were related to the church and 27% were in their 20s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South Korea’s intensive testing using novel contact tracing techniques allowed rap</w:t>
      </w:r>
      <w:r>
        <w:rPr>
          <w:rFonts w:ascii="Times New Roman" w:eastAsia="Times New Roman" w:hAnsi="Times New Roman" w:cs="Times New Roman"/>
          <w:sz w:val="24"/>
          <w:szCs w:val="24"/>
        </w:rPr>
        <w:t>id identification and isolation cases and reduction of onward transmission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 Here, we describe potential roles of social distancing in mitigating the spread of COVID-19 in South Korea by using metro traffic data to compare epidemics in two major citie</w:t>
      </w:r>
      <w:r>
        <w:rPr>
          <w:rFonts w:ascii="Times New Roman" w:eastAsia="Times New Roman" w:hAnsi="Times New Roman" w:cs="Times New Roman"/>
          <w:sz w:val="24"/>
          <w:szCs w:val="24"/>
        </w:rPr>
        <w:t>s.</w:t>
      </w:r>
    </w:p>
    <w:p w:rsidR="006D4940" w:rsidRDefault="00510B14">
      <w:pPr>
        <w:spacing w:line="480" w:lineRule="auto"/>
        <w:ind w:lef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Study</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analyzed epidemiological data describing the COVID-19 outbreak in South Korea between January 20–March 16, 2020. Daily number of reported cases in each geographic region was transcribed from press releases by the Korea Centers for Disease C</w:t>
      </w:r>
      <w:r>
        <w:rPr>
          <w:rFonts w:ascii="Times New Roman" w:eastAsia="Times New Roman" w:hAnsi="Times New Roman" w:cs="Times New Roman"/>
          <w:sz w:val="24"/>
          <w:szCs w:val="24"/>
        </w:rPr>
        <w:t>ontrol and Prevention (KCDC)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xml:space="preserve">). Partial line lists were translated and transcribed from press releases by the KCDC and various municipal governments. All data and code are stored in a publicly available GitHub repository: </w:t>
      </w:r>
      <w:hyperlink r:id="rId5" w:history="1">
        <w:r w:rsidR="002F1871" w:rsidRPr="003A4DA5">
          <w:rPr>
            <w:rStyle w:val="Hyperlink"/>
            <w:rFonts w:ascii="Times New Roman" w:eastAsia="Times New Roman" w:hAnsi="Times New Roman" w:cs="Times New Roman"/>
            <w:sz w:val="24"/>
            <w:szCs w:val="24"/>
          </w:rPr>
          <w:t>https://github.com/parksw3/Korea-analysis</w:t>
        </w:r>
      </w:hyperlink>
      <w:r>
        <w:rPr>
          <w:rFonts w:ascii="Times New Roman" w:eastAsia="Times New Roman" w:hAnsi="Times New Roman" w:cs="Times New Roman"/>
          <w:sz w:val="24"/>
          <w:szCs w:val="24"/>
        </w:rPr>
        <w:t>.</w:t>
      </w:r>
    </w:p>
    <w:p w:rsidR="006D4940" w:rsidRDefault="00510B14">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We compared epidemiological dynamics of COVID-19 from two cities in which the largest number of COVID-19 cases have been reported: Daegu and Seoul. Between January 20– March 16, 2020, 6,083 cases from Daegu and 248 cases from Seoul were reported by the KCD</w:t>
      </w:r>
      <w:r>
        <w:rPr>
          <w:rFonts w:ascii="Times New Roman" w:eastAsia="Times New Roman" w:hAnsi="Times New Roman" w:cs="Times New Roman"/>
          <w:sz w:val="24"/>
          <w:szCs w:val="24"/>
        </w:rPr>
        <w:t>C. The epidemic in Daegu is characterized by a single, large peak followed by a gradual decrease (Fig. 1A), whereas the epidemic in Seoul consists of several small outbreaks (Fig. 1B).</w:t>
      </w:r>
    </w:p>
    <w:p w:rsidR="006D4940" w:rsidRDefault="00510B14">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Daily metro traffic in Daegu and Seoul between 2017–2020 was obtained f</w:t>
      </w:r>
      <w:r>
        <w:rPr>
          <w:rFonts w:ascii="Times New Roman" w:eastAsia="Times New Roman" w:hAnsi="Times New Roman" w:cs="Times New Roman"/>
          <w:sz w:val="24"/>
          <w:szCs w:val="24"/>
        </w:rPr>
        <w:t>rom data.go.kr</w:t>
      </w:r>
      <w:r>
        <w:rPr>
          <w:rFonts w:ascii="Times New Roman" w:eastAsia="Times New Roman" w:hAnsi="Times New Roman" w:cs="Times New Roman"/>
          <w:sz w:val="24"/>
          <w:szCs w:val="24"/>
        </w:rPr>
        <w:t xml:space="preserve"> and data.seoul.go.kr</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respectively. We extracted the total number of individuals who accessed the subway or monorail (using Seoul lines 1–9, and Daegu lines 1–3; Fig. 1). Soon after the first </w:t>
      </w:r>
      <w:r>
        <w:rPr>
          <w:rFonts w:ascii="Times New Roman" w:eastAsia="Times New Roman" w:hAnsi="Times New Roman" w:cs="Times New Roman"/>
          <w:sz w:val="24"/>
          <w:szCs w:val="24"/>
        </w:rPr>
        <w:lastRenderedPageBreak/>
        <w:t>church-related case was confirmed in Daegu on Feb</w:t>
      </w:r>
      <w:r>
        <w:rPr>
          <w:rFonts w:ascii="Times New Roman" w:eastAsia="Times New Roman" w:hAnsi="Times New Roman" w:cs="Times New Roman"/>
          <w:sz w:val="24"/>
          <w:szCs w:val="24"/>
        </w:rPr>
        <w:t xml:space="preserve"> 18, 2020, the daily traffic volume decreased by about 80% and 50% in Daegu and Seoul, respectively.</w:t>
      </w:r>
    </w:p>
    <w:p w:rsidR="006D4940" w:rsidRDefault="00510B14">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quantify the spread of COVID-19, we reconstructed the time series of incidence proxy,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and estimated the instantaneous reproduction number</w:t>
      </w:r>
      <w:r>
        <w:rPr>
          <w:rFonts w:ascii="Times New Roman" w:eastAsia="Times New Roman" w:hAnsi="Times New Roman" w:cs="Times New Roman"/>
          <w:sz w:val="24"/>
          <w:szCs w:val="24"/>
        </w:rPr>
        <w:t xml:space="preserve">,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Pr>
          <w:rFonts w:ascii="Times New Roman" w:eastAsia="Times New Roman" w:hAnsi="Times New Roman" w:cs="Times New Roman"/>
          <w:sz w:val="24"/>
          <w:szCs w:val="24"/>
        </w:rPr>
        <w:t xml:space="preserve">, which is defined as the average number of secondary cases caused by an average individual, given conditions at time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We first adjusted the daily number of reported cases to account for changes in testing criteria, which occurred 4 times between J</w:t>
      </w:r>
      <w:r>
        <w:rPr>
          <w:rFonts w:ascii="Times New Roman" w:eastAsia="Times New Roman" w:hAnsi="Times New Roman" w:cs="Times New Roman"/>
          <w:sz w:val="24"/>
          <w:szCs w:val="24"/>
        </w:rPr>
        <w:t xml:space="preserve">anuary 20–March 16, 2020 (Appendix). Then, we sampled infection onset dates using inferred onset-to-confirmation delay distributions from the partial line list (Appendix Figure 1) and previously estimated incubation period distribution (Table 1). </w:t>
      </w:r>
      <w:r w:rsidR="007969CF">
        <w:rPr>
          <w:rFonts w:ascii="Times New Roman" w:eastAsia="Times New Roman" w:hAnsi="Times New Roman" w:cs="Times New Roman"/>
          <w:sz w:val="24"/>
          <w:szCs w:val="24"/>
        </w:rPr>
        <w:t xml:space="preserve">The time series of </w:t>
      </w:r>
      <w:r w:rsidR="00F727FB">
        <w:rPr>
          <w:rFonts w:ascii="Times New Roman" w:eastAsia="Times New Roman" w:hAnsi="Times New Roman" w:cs="Times New Roman"/>
          <w:sz w:val="24"/>
          <w:szCs w:val="24"/>
        </w:rPr>
        <w:t xml:space="preserve">number of infected individuals </w:t>
      </w:r>
      <w:r w:rsidR="000F4BC9">
        <w:rPr>
          <w:rFonts w:ascii="Times New Roman" w:eastAsia="Times New Roman" w:hAnsi="Times New Roman" w:cs="Times New Roman"/>
          <w:sz w:val="24"/>
          <w:szCs w:val="24"/>
        </w:rPr>
        <w:t xml:space="preserve">on day </w:t>
      </w:r>
      <m:oMath>
        <m:r>
          <w:rPr>
            <w:rFonts w:ascii="Cambria Math" w:eastAsia="Times New Roman" w:hAnsi="Cambria Math" w:cs="Times New Roman"/>
            <w:sz w:val="24"/>
            <w:szCs w:val="24"/>
          </w:rPr>
          <m:t>t</m:t>
        </m:r>
      </m:oMath>
      <w:r w:rsidR="008E0FC0">
        <w:rPr>
          <w:rFonts w:ascii="Times New Roman" w:eastAsia="Times New Roman" w:hAnsi="Times New Roman" w:cs="Times New Roman"/>
          <w:sz w:val="24"/>
          <w:szCs w:val="24"/>
        </w:rPr>
        <w:t xml:space="preserve">, </w:t>
      </w:r>
      <w:r w:rsidR="0088709C">
        <w:rPr>
          <w:rFonts w:ascii="Times New Roman" w:eastAsia="Times New Roman" w:hAnsi="Times New Roman" w:cs="Times New Roman"/>
          <w:sz w:val="24"/>
          <w:szCs w:val="24"/>
        </w:rPr>
        <w:t xml:space="preserve">adjusted by </w:t>
      </w:r>
      <w:r w:rsidR="00873939">
        <w:rPr>
          <w:rFonts w:ascii="Times New Roman" w:eastAsia="Times New Roman" w:hAnsi="Times New Roman" w:cs="Times New Roman"/>
          <w:sz w:val="24"/>
          <w:szCs w:val="24"/>
        </w:rPr>
        <w:t xml:space="preserve">testing criteria and </w:t>
      </w:r>
      <w:r w:rsidR="00425904">
        <w:rPr>
          <w:rFonts w:ascii="Times New Roman" w:eastAsia="Times New Roman" w:hAnsi="Times New Roman" w:cs="Times New Roman"/>
          <w:sz w:val="24"/>
          <w:szCs w:val="24"/>
        </w:rPr>
        <w:t xml:space="preserve">right-censoring bias, </w:t>
      </w:r>
      <w:r w:rsidR="00E94E52">
        <w:rPr>
          <w:rFonts w:ascii="Times New Roman" w:eastAsia="Times New Roman" w:hAnsi="Times New Roman" w:cs="Times New Roman"/>
          <w:sz w:val="24"/>
          <w:szCs w:val="24"/>
        </w:rPr>
        <w:t>corresponds to</w:t>
      </w:r>
      <w:r w:rsidR="00B20976">
        <w:rPr>
          <w:rFonts w:ascii="Times New Roman" w:eastAsia="Times New Roman" w:hAnsi="Times New Roman" w:cs="Times New Roman"/>
          <w:sz w:val="24"/>
          <w:szCs w:val="24"/>
        </w:rPr>
        <w:t xml:space="preserve"> </w:t>
      </w:r>
      <w:r w:rsidR="00B20976">
        <w:rPr>
          <w:rFonts w:ascii="Times New Roman" w:eastAsia="Times New Roman" w:hAnsi="Times New Roman" w:cs="Times New Roman"/>
          <w:sz w:val="24"/>
          <w:szCs w:val="24"/>
        </w:rPr>
        <w:t>the reconstructed</w:t>
      </w:r>
      <w:r w:rsidR="00E94E52">
        <w:rPr>
          <w:rFonts w:ascii="Times New Roman" w:eastAsia="Times New Roman" w:hAnsi="Times New Roman" w:cs="Times New Roman"/>
          <w:sz w:val="24"/>
          <w:szCs w:val="24"/>
        </w:rPr>
        <w:t xml:space="preserve"> incidence proxy</w:t>
      </w:r>
      <w:r w:rsidR="00EE3E47">
        <w:rPr>
          <w:rFonts w:ascii="Times New Roman" w:eastAsia="Times New Roman" w:hAnsi="Times New Roman" w:cs="Times New Roman"/>
          <w:sz w:val="24"/>
          <w:szCs w:val="24"/>
        </w:rPr>
        <w:t>,</w:t>
      </w:r>
      <w:r w:rsidR="00E94E52">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sidR="00E94E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Finally,</w:t>
      </w:r>
      <w:r>
        <w:rPr>
          <w:rFonts w:ascii="Times New Roman" w:eastAsia="Times New Roman" w:hAnsi="Times New Roman" w:cs="Times New Roman"/>
          <w:sz w:val="24"/>
          <w:szCs w:val="24"/>
        </w:rPr>
        <w:t xml:space="preserve"> we estimated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using the renewal equation with a 14-day sliding window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w:t>
      </w:r>
    </w:p>
    <w:p w:rsidR="00F87CF7" w:rsidRPr="00B23471" w:rsidRDefault="00F87CF7" w:rsidP="00F87CF7">
      <w:pPr>
        <w:spacing w:line="480" w:lineRule="auto"/>
        <w:rPr>
          <w:rFonts w:ascii="Times New Roman" w:hAnsi="Times New Roman"/>
          <w:sz w:val="24"/>
          <w:szCs w:val="24"/>
        </w:rPr>
      </w:pPr>
      <m:oMathPara>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num>
            <m:den>
              <m:nary>
                <m:naryPr>
                  <m:chr m:val="∑"/>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14</m:t>
                  </m:r>
                </m:sup>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t-k</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nary>
            </m:den>
          </m:f>
          <m:r>
            <w:rPr>
              <w:rFonts w:ascii="Cambria Math" w:hAnsi="Cambria Math"/>
              <w:sz w:val="24"/>
              <w:szCs w:val="24"/>
            </w:rPr>
            <m:t>,</m:t>
          </m:r>
        </m:oMath>
      </m:oMathPara>
    </w:p>
    <w:p w:rsidR="006D4940" w:rsidRDefault="00CC72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510B14">
        <w:rPr>
          <w:rFonts w:ascii="Times New Roman" w:eastAsia="Times New Roman" w:hAnsi="Times New Roman" w:cs="Times New Roman"/>
          <w:sz w:val="24"/>
          <w:szCs w:val="24"/>
        </w:rPr>
        <w:t>here</w:t>
      </w:r>
      <w:r w:rsidR="00D074A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oMath>
      <w:r w:rsidR="00510B14">
        <w:rPr>
          <w:rFonts w:ascii="Times New Roman" w:eastAsia="Times New Roman" w:hAnsi="Times New Roman" w:cs="Times New Roman"/>
          <w:i/>
          <w:sz w:val="40"/>
          <w:szCs w:val="40"/>
          <w:vertAlign w:val="subscript"/>
        </w:rPr>
        <w:t xml:space="preserve"> </w:t>
      </w:r>
      <w:r w:rsidR="00510B14">
        <w:rPr>
          <w:rFonts w:ascii="Times New Roman" w:eastAsia="Times New Roman" w:hAnsi="Times New Roman" w:cs="Times New Roman"/>
          <w:sz w:val="24"/>
          <w:szCs w:val="24"/>
        </w:rPr>
        <w:t>is the generation-interval distribution randomly drawn from a prior distrib</w:t>
      </w:r>
      <w:r w:rsidR="00510B14">
        <w:rPr>
          <w:rFonts w:ascii="Times New Roman" w:eastAsia="Times New Roman" w:hAnsi="Times New Roman" w:cs="Times New Roman"/>
          <w:sz w:val="24"/>
          <w:szCs w:val="24"/>
        </w:rPr>
        <w:t xml:space="preserve">ution (Table </w:t>
      </w:r>
      <w:proofErr w:type="gramStart"/>
      <w:r w:rsidR="00510B14">
        <w:rPr>
          <w:rFonts w:ascii="Times New Roman" w:eastAsia="Times New Roman" w:hAnsi="Times New Roman" w:cs="Times New Roman"/>
          <w:sz w:val="24"/>
          <w:szCs w:val="24"/>
        </w:rPr>
        <w:t>1).</w:t>
      </w:r>
      <w:proofErr w:type="gramEnd"/>
      <w:r w:rsidR="00510B14">
        <w:rPr>
          <w:rFonts w:ascii="Times New Roman" w:eastAsia="Times New Roman" w:hAnsi="Times New Roman" w:cs="Times New Roman"/>
          <w:sz w:val="24"/>
          <w:szCs w:val="24"/>
        </w:rPr>
        <w:t xml:space="preserve"> We weighted each sample of</w:t>
      </w:r>
      <w:r w:rsidR="00CF1706">
        <w:rPr>
          <w:rFonts w:ascii="Times New Roman" w:eastAsia="Times New Roman" w:hAnsi="Times New Roman" w:cs="Times New Roman"/>
          <w:sz w:val="24"/>
          <w:szCs w:val="24"/>
        </w:rPr>
        <w:t xml:space="preserve">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sidR="00510B14">
        <w:rPr>
          <w:rFonts w:ascii="Times New Roman" w:eastAsia="Times New Roman" w:hAnsi="Times New Roman" w:cs="Times New Roman"/>
          <w:sz w:val="24"/>
          <w:szCs w:val="24"/>
        </w:rPr>
        <w:t xml:space="preserve"> </w:t>
      </w:r>
      <w:r w:rsidR="00544400">
        <w:rPr>
          <w:rFonts w:ascii="Times New Roman" w:eastAsia="Times New Roman" w:hAnsi="Times New Roman" w:cs="Times New Roman"/>
          <w:sz w:val="24"/>
          <w:szCs w:val="24"/>
        </w:rPr>
        <w:t>using</w:t>
      </w:r>
      <w:r w:rsidR="00510B14">
        <w:rPr>
          <w:rFonts w:ascii="Times New Roman" w:eastAsia="Times New Roman" w:hAnsi="Times New Roman" w:cs="Times New Roman"/>
          <w:sz w:val="24"/>
          <w:szCs w:val="24"/>
        </w:rPr>
        <w:t xml:space="preserve"> a gamma probability distribution with a mean of 2.6 and a standard deviation of 2 to reflect prior knowledge (</w:t>
      </w:r>
      <w:r w:rsidR="00510B14">
        <w:rPr>
          <w:rFonts w:ascii="Times New Roman" w:eastAsia="Times New Roman" w:hAnsi="Times New Roman" w:cs="Times New Roman"/>
          <w:i/>
          <w:sz w:val="24"/>
          <w:szCs w:val="24"/>
        </w:rPr>
        <w:t>17</w:t>
      </w:r>
      <w:r w:rsidR="00510B14">
        <w:rPr>
          <w:rFonts w:ascii="Times New Roman" w:eastAsia="Times New Roman" w:hAnsi="Times New Roman" w:cs="Times New Roman"/>
          <w:sz w:val="24"/>
          <w:szCs w:val="24"/>
        </w:rPr>
        <w:t xml:space="preserve">) and took weighted quantiles to calculate the medians and associated 95% credible intervals. We </w:t>
      </w:r>
      <w:r w:rsidR="00510B14">
        <w:rPr>
          <w:rFonts w:ascii="Times New Roman" w:eastAsia="Times New Roman" w:hAnsi="Times New Roman" w:cs="Times New Roman"/>
          <w:sz w:val="24"/>
          <w:szCs w:val="24"/>
        </w:rPr>
        <w:t xml:space="preserve">estimated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sidR="00510B14">
        <w:rPr>
          <w:rFonts w:ascii="Times New Roman" w:eastAsia="Times New Roman" w:hAnsi="Times New Roman" w:cs="Times New Roman"/>
          <w:sz w:val="24"/>
          <w:szCs w:val="24"/>
        </w:rPr>
        <w:t xml:space="preserve"> between February 2, 2020 (14 days after the first confirmed case was imported) and March 10, 2020 (after this point the effects of censoring are too strong for reliable estimates).</w:t>
      </w:r>
      <w:r w:rsidR="00723BCD">
        <w:rPr>
          <w:rFonts w:ascii="Times New Roman" w:eastAsia="Times New Roman" w:hAnsi="Times New Roman" w:cs="Times New Roman"/>
          <w:sz w:val="24"/>
          <w:szCs w:val="24"/>
        </w:rPr>
        <w:t xml:space="preserve"> </w:t>
      </w:r>
      <w:r w:rsidR="00723BCD">
        <w:rPr>
          <w:rFonts w:ascii="Times New Roman" w:eastAsia="Times New Roman" w:hAnsi="Times New Roman" w:cs="Times New Roman"/>
          <w:sz w:val="24"/>
          <w:szCs w:val="24"/>
        </w:rPr>
        <w:t>Implementation details are provided in the Appendix.</w:t>
      </w:r>
      <w:r w:rsidR="00AE2108">
        <w:rPr>
          <w:rFonts w:ascii="Times New Roman" w:eastAsia="Times New Roman" w:hAnsi="Times New Roman" w:cs="Times New Roman"/>
          <w:sz w:val="24"/>
          <w:szCs w:val="24"/>
        </w:rPr>
        <w:t xml:space="preserve"> All analyses were performed using R </w:t>
      </w:r>
      <w:r w:rsidR="0049146C">
        <w:rPr>
          <w:rFonts w:ascii="Times New Roman" w:eastAsia="Times New Roman" w:hAnsi="Times New Roman" w:cs="Times New Roman"/>
          <w:sz w:val="24"/>
          <w:szCs w:val="24"/>
        </w:rPr>
        <w:t>version 3.6.1</w:t>
      </w:r>
      <w:r w:rsidR="004639BE">
        <w:rPr>
          <w:rFonts w:ascii="Times New Roman" w:eastAsia="Times New Roman" w:hAnsi="Times New Roman" w:cs="Times New Roman"/>
          <w:sz w:val="24"/>
          <w:szCs w:val="24"/>
        </w:rPr>
        <w:t xml:space="preserve"> (</w:t>
      </w:r>
      <w:hyperlink r:id="rId6" w:history="1">
        <w:r w:rsidR="00B836C6" w:rsidRPr="003A4DA5">
          <w:rPr>
            <w:rStyle w:val="Hyperlink"/>
            <w:rFonts w:ascii="Times New Roman" w:eastAsia="Times New Roman" w:hAnsi="Times New Roman" w:cs="Times New Roman"/>
            <w:sz w:val="24"/>
            <w:szCs w:val="24"/>
          </w:rPr>
          <w:t>https://www.r-project.org/</w:t>
        </w:r>
      </w:hyperlink>
      <w:r w:rsidR="004639BE">
        <w:rPr>
          <w:rFonts w:ascii="Times New Roman" w:eastAsia="Times New Roman" w:hAnsi="Times New Roman" w:cs="Times New Roman"/>
          <w:sz w:val="24"/>
          <w:szCs w:val="24"/>
        </w:rPr>
        <w:t>)</w:t>
      </w:r>
      <w:r w:rsidR="0049146C">
        <w:rPr>
          <w:rFonts w:ascii="Times New Roman" w:eastAsia="Times New Roman" w:hAnsi="Times New Roman" w:cs="Times New Roman"/>
          <w:sz w:val="24"/>
          <w:szCs w:val="24"/>
        </w:rPr>
        <w:t>.</w:t>
      </w:r>
      <w:r w:rsidR="00B836C6">
        <w:rPr>
          <w:rFonts w:ascii="Times New Roman" w:eastAsia="Times New Roman" w:hAnsi="Times New Roman" w:cs="Times New Roman"/>
          <w:sz w:val="24"/>
          <w:szCs w:val="24"/>
        </w:rPr>
        <w:t xml:space="preserve"> </w:t>
      </w:r>
    </w:p>
    <w:p w:rsidR="006D4940" w:rsidRDefault="00510B14">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Fig. 2 compares the reconstructed incidence</w:t>
      </w:r>
      <w:r w:rsidR="002A7EAA">
        <w:rPr>
          <w:rFonts w:ascii="Times New Roman" w:eastAsia="Times New Roman" w:hAnsi="Times New Roman" w:cs="Times New Roman"/>
          <w:sz w:val="24"/>
          <w:szCs w:val="24"/>
        </w:rPr>
        <w:t xml:space="preserve"> proxy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 xml:space="preserve">) and estimates of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Pr>
          <w:rFonts w:ascii="Times New Roman" w:eastAsia="Times New Roman" w:hAnsi="Times New Roman" w:cs="Times New Roman"/>
          <w:i/>
          <w:sz w:val="40"/>
          <w:szCs w:val="40"/>
          <w:vertAlign w:val="subscript"/>
        </w:rPr>
        <w:t xml:space="preserve"> </w:t>
      </w:r>
      <w:r>
        <w:rPr>
          <w:rFonts w:ascii="Times New Roman" w:eastAsia="Times New Roman" w:hAnsi="Times New Roman" w:cs="Times New Roman"/>
          <w:sz w:val="24"/>
          <w:szCs w:val="24"/>
        </w:rPr>
        <w:t xml:space="preserve">(C,D) in Daegu and Seoul. In Daegu, incidence peaked shortly after the first case was confirmed and then </w:t>
      </w:r>
      <w:r>
        <w:rPr>
          <w:rFonts w:ascii="Times New Roman" w:eastAsia="Times New Roman" w:hAnsi="Times New Roman" w:cs="Times New Roman"/>
          <w:sz w:val="24"/>
          <w:szCs w:val="24"/>
        </w:rPr>
        <w:lastRenderedPageBreak/>
        <w:t>decreased</w:t>
      </w:r>
      <w:r>
        <w:rPr>
          <w:rFonts w:ascii="Times New Roman" w:eastAsia="Times New Roman" w:hAnsi="Times New Roman" w:cs="Times New Roman"/>
          <w:sz w:val="24"/>
          <w:szCs w:val="24"/>
        </w:rPr>
        <w:t xml:space="preserve"> (Fig. 2A). Likewise, the estimates of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Pr>
          <w:rFonts w:ascii="Times New Roman" w:eastAsia="Times New Roman" w:hAnsi="Times New Roman" w:cs="Times New Roman"/>
          <w:sz w:val="24"/>
          <w:szCs w:val="24"/>
        </w:rPr>
        <w:t xml:space="preserve"> gradually decrease and eventually drop below 1 about a week after the reporting of its first case, coinciding with the decrease in the metro traffic volume (Fig. 2C). The initial decrease in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Pr>
          <w:rFonts w:ascii="Times New Roman" w:eastAsia="Times New Roman" w:hAnsi="Times New Roman" w:cs="Times New Roman"/>
          <w:sz w:val="24"/>
          <w:szCs w:val="24"/>
        </w:rPr>
        <w:t xml:space="preserve"> may reflect behavior cha</w:t>
      </w:r>
      <w:r>
        <w:rPr>
          <w:rFonts w:ascii="Times New Roman" w:eastAsia="Times New Roman" w:hAnsi="Times New Roman" w:cs="Times New Roman"/>
          <w:sz w:val="24"/>
          <w:szCs w:val="24"/>
        </w:rPr>
        <w:t>nge within the church; the first confirmed case in Daegu became symptomatic on February 7, 2020, and visited the church on February 9 and 16, 2020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xml:space="preserve">). Our estimates of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Pr>
          <w:rFonts w:ascii="Times New Roman" w:eastAsia="Times New Roman" w:hAnsi="Times New Roman" w:cs="Times New Roman"/>
          <w:sz w:val="24"/>
          <w:szCs w:val="24"/>
        </w:rPr>
        <w:t xml:space="preserve"> for Daegu are consistent with the estimates of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Pr>
          <w:rFonts w:ascii="Times New Roman" w:eastAsia="Times New Roman" w:hAnsi="Times New Roman" w:cs="Times New Roman"/>
          <w:i/>
          <w:sz w:val="40"/>
          <w:szCs w:val="40"/>
          <w:vertAlign w:val="subscript"/>
        </w:rPr>
        <w:t xml:space="preserve"> </w:t>
      </w:r>
      <w:r>
        <w:rPr>
          <w:rFonts w:ascii="Times New Roman" w:eastAsia="Times New Roman" w:hAnsi="Times New Roman" w:cs="Times New Roman"/>
          <w:sz w:val="24"/>
          <w:szCs w:val="24"/>
        </w:rPr>
        <w:t xml:space="preserve">for South Korea by Abbott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 — their estimates drop below 1 slightly later because they rely on number of symptomatic cases instead.</w:t>
      </w:r>
    </w:p>
    <w:p w:rsidR="006D4940" w:rsidRDefault="00510B14">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Seoul, estimates of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Pr>
          <w:rFonts w:ascii="Times New Roman" w:eastAsia="Times New Roman" w:hAnsi="Times New Roman" w:cs="Times New Roman"/>
          <w:i/>
          <w:sz w:val="40"/>
          <w:szCs w:val="40"/>
          <w:vertAlign w:val="subscript"/>
        </w:rPr>
        <w:t xml:space="preserve"> </w:t>
      </w:r>
      <w:r>
        <w:rPr>
          <w:rFonts w:ascii="Times New Roman" w:eastAsia="Times New Roman" w:hAnsi="Times New Roman" w:cs="Times New Roman"/>
          <w:sz w:val="24"/>
          <w:szCs w:val="24"/>
        </w:rPr>
        <w:t>decrease slightly but</w:t>
      </w:r>
      <w:r>
        <w:rPr>
          <w:rFonts w:ascii="Times New Roman" w:eastAsia="Times New Roman" w:hAnsi="Times New Roman" w:cs="Times New Roman"/>
          <w:sz w:val="24"/>
          <w:szCs w:val="24"/>
        </w:rPr>
        <w:t xml:space="preserve"> remain around 1 (Fig. 2D). Our analysis suggests that social distancing in Seoul was less intense, and this could be why reduction in spread was less sharp. Stronger distancing or further intervention will be necessary to reduce</w:t>
      </w:r>
      <w:r w:rsidR="00603D08">
        <w:rPr>
          <w:rFonts w:ascii="Times New Roman" w:eastAsia="Times New Roman" w:hAnsi="Times New Roman" w:cs="Times New Roman"/>
          <w:sz w:val="24"/>
          <w:szCs w:val="24"/>
        </w:rPr>
        <w:t xml:space="preserve">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Pr>
          <w:rFonts w:ascii="Times New Roman" w:eastAsia="Times New Roman" w:hAnsi="Times New Roman" w:cs="Times New Roman"/>
          <w:sz w:val="24"/>
          <w:szCs w:val="24"/>
        </w:rPr>
        <w:t xml:space="preserve">  below 1.</w:t>
      </w:r>
    </w:p>
    <w:p w:rsidR="00A86F2D" w:rsidRDefault="00510B14" w:rsidP="00A86F2D">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While we find cl</w:t>
      </w:r>
      <w:r>
        <w:rPr>
          <w:rFonts w:ascii="Times New Roman" w:eastAsia="Times New Roman" w:hAnsi="Times New Roman" w:cs="Times New Roman"/>
          <w:sz w:val="24"/>
          <w:szCs w:val="24"/>
        </w:rPr>
        <w:t>ear, positive correlations between the normalized traffic and the median estimates of  in both Daegu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9</w:t>
      </w:r>
      <w:r w:rsidR="008B0B1E">
        <w:rPr>
          <w:rFonts w:ascii="Times New Roman" w:eastAsia="Times New Roman" w:hAnsi="Times New Roman" w:cs="Times New Roman"/>
          <w:sz w:val="24"/>
          <w:szCs w:val="24"/>
        </w:rPr>
        <w:t>3</w:t>
      </w:r>
      <w:r>
        <w:rPr>
          <w:rFonts w:ascii="Times New Roman" w:eastAsia="Times New Roman" w:hAnsi="Times New Roman" w:cs="Times New Roman"/>
          <w:sz w:val="24"/>
          <w:szCs w:val="24"/>
        </w:rPr>
        <w:t>; 95% CI: 0.</w:t>
      </w:r>
      <w:r w:rsidR="0098028B">
        <w:rPr>
          <w:rFonts w:ascii="Times New Roman" w:eastAsia="Times New Roman" w:hAnsi="Times New Roman" w:cs="Times New Roman"/>
          <w:sz w:val="24"/>
          <w:szCs w:val="24"/>
        </w:rPr>
        <w:t>86</w:t>
      </w:r>
      <w:r>
        <w:rPr>
          <w:rFonts w:ascii="Times New Roman" w:eastAsia="Times New Roman" w:hAnsi="Times New Roman" w:cs="Times New Roman"/>
          <w:sz w:val="24"/>
          <w:szCs w:val="24"/>
        </w:rPr>
        <w:t>–0.9</w:t>
      </w:r>
      <w:r w:rsidR="0098028B">
        <w:rPr>
          <w:rFonts w:ascii="Times New Roman" w:eastAsia="Times New Roman" w:hAnsi="Times New Roman" w:cs="Times New Roman"/>
          <w:sz w:val="24"/>
          <w:szCs w:val="24"/>
        </w:rPr>
        <w:t>6</w:t>
      </w:r>
      <w:r>
        <w:rPr>
          <w:rFonts w:ascii="Times New Roman" w:eastAsia="Times New Roman" w:hAnsi="Times New Roman" w:cs="Times New Roman"/>
          <w:sz w:val="24"/>
          <w:szCs w:val="24"/>
        </w:rPr>
        <w:t>; Appendix Figure 2) and Seoul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76; 95% CI: 0.60</w:t>
      </w:r>
      <w:r>
        <w:rPr>
          <w:rFonts w:ascii="Times New Roman" w:eastAsia="Times New Roman" w:hAnsi="Times New Roman" w:cs="Times New Roman"/>
          <w:sz w:val="24"/>
          <w:szCs w:val="24"/>
        </w:rPr>
        <w:t>–0.87; Appendix Figure 2), these correlations are conflated by time trend</w:t>
      </w:r>
      <w:r>
        <w:rPr>
          <w:rFonts w:ascii="Times New Roman" w:eastAsia="Times New Roman" w:hAnsi="Times New Roman" w:cs="Times New Roman"/>
          <w:sz w:val="24"/>
          <w:szCs w:val="24"/>
        </w:rPr>
        <w:t xml:space="preserve">s, and are also likely conflated by other measures that could have affected . We do not find clear signatures of lagged correlation between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Pr>
          <w:rFonts w:ascii="Times New Roman" w:eastAsia="Times New Roman" w:hAnsi="Times New Roman" w:cs="Times New Roman"/>
          <w:sz w:val="24"/>
          <w:szCs w:val="24"/>
        </w:rPr>
        <w:t xml:space="preserve"> and traffic volume (Appendix Figure 3). Similar patterns in the estimates of </w:t>
      </w:r>
      <m:oMath>
        <m:sSub>
          <m:sSubPr>
            <m:ctrlPr>
              <w:rPr>
                <w:rFonts w:ascii="Cambria Math" w:hAnsi="Cambria Math"/>
                <w:i/>
                <w:sz w:val="24"/>
                <w:szCs w:val="24"/>
              </w:rPr>
            </m:ctrlPr>
          </m:sSubPr>
          <m:e>
            <m:r>
              <m:rPr>
                <m:scr m:val="script"/>
              </m:rPr>
              <w:rPr>
                <w:rFonts w:ascii="Cambria Math" w:hAnsi="Cambria Math"/>
                <w:sz w:val="24"/>
                <w:szCs w:val="24"/>
              </w:rPr>
              <m:t>R</m:t>
            </m:r>
          </m:e>
          <m:sub>
            <m:r>
              <w:rPr>
                <w:rFonts w:ascii="Cambria Math" w:hAnsi="Cambria Math"/>
                <w:sz w:val="24"/>
                <w:szCs w:val="24"/>
              </w:rPr>
              <m:t>t</m:t>
            </m:r>
          </m:sub>
        </m:sSub>
      </m:oMath>
      <w:r>
        <w:rPr>
          <w:rFonts w:ascii="Times New Roman" w:eastAsia="Times New Roman" w:hAnsi="Times New Roman" w:cs="Times New Roman"/>
          <w:sz w:val="24"/>
          <w:szCs w:val="24"/>
        </w:rPr>
        <w:t xml:space="preserve"> are found in directly surrounding pro</w:t>
      </w:r>
      <w:r>
        <w:rPr>
          <w:rFonts w:ascii="Times New Roman" w:eastAsia="Times New Roman" w:hAnsi="Times New Roman" w:cs="Times New Roman"/>
          <w:sz w:val="24"/>
          <w:szCs w:val="24"/>
        </w:rPr>
        <w:t>vinces (</w:t>
      </w:r>
      <w:proofErr w:type="spellStart"/>
      <w:r>
        <w:rPr>
          <w:rFonts w:ascii="Times New Roman" w:eastAsia="Times New Roman" w:hAnsi="Times New Roman" w:cs="Times New Roman"/>
          <w:sz w:val="24"/>
          <w:szCs w:val="24"/>
        </w:rPr>
        <w:t>Gyeongsangbuk</w:t>
      </w:r>
      <w:proofErr w:type="spellEnd"/>
      <w:r>
        <w:rPr>
          <w:rFonts w:ascii="Times New Roman" w:eastAsia="Times New Roman" w:hAnsi="Times New Roman" w:cs="Times New Roman"/>
          <w:sz w:val="24"/>
          <w:szCs w:val="24"/>
        </w:rPr>
        <w:t>-do and Gyeonggi-do), providing support for the robustness of our analysis (Appendix Figure 4).</w:t>
      </w:r>
      <w:bookmarkStart w:id="0" w:name="_hyfbb5aixn2b" w:colFirst="0" w:colLast="0"/>
      <w:bookmarkEnd w:id="0"/>
    </w:p>
    <w:p w:rsidR="006D4940" w:rsidRPr="00A86F2D" w:rsidRDefault="00510B14" w:rsidP="00A86F2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Conclusions</w:t>
      </w:r>
    </w:p>
    <w:p w:rsidR="006D4940" w:rsidRDefault="00510B14">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South Korean experience with COVID-19 provides evidence that epidemics can be suppressed with less extreme measures than th</w:t>
      </w:r>
      <w:r>
        <w:rPr>
          <w:rFonts w:ascii="Times New Roman" w:eastAsia="Times New Roman" w:hAnsi="Times New Roman" w:cs="Times New Roman"/>
          <w:sz w:val="24"/>
          <w:szCs w:val="24"/>
        </w:rPr>
        <w:t>ose taken by China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It demonstrates the necessity of prompt identification and isolation of cases in preventing further spread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 xml:space="preserve">). Our analysis reveals potential roles of social distancing in mitigating the COVID-19 epidemic in </w:t>
      </w:r>
      <w:r>
        <w:rPr>
          <w:rFonts w:ascii="Times New Roman" w:eastAsia="Times New Roman" w:hAnsi="Times New Roman" w:cs="Times New Roman"/>
          <w:sz w:val="24"/>
          <w:szCs w:val="24"/>
        </w:rPr>
        <w:lastRenderedPageBreak/>
        <w:t>South Korea. Even th</w:t>
      </w:r>
      <w:r>
        <w:rPr>
          <w:rFonts w:ascii="Times New Roman" w:eastAsia="Times New Roman" w:hAnsi="Times New Roman" w:cs="Times New Roman"/>
          <w:sz w:val="24"/>
          <w:szCs w:val="24"/>
        </w:rPr>
        <w:t>ough social distancing alone may not be able to fully prevent the spread of the disease, its ability to flatten the epidemic curve (cf. Fig. 2</w:t>
      </w:r>
      <w:proofErr w:type="gramStart"/>
      <w:r>
        <w:rPr>
          <w:rFonts w:ascii="Times New Roman" w:eastAsia="Times New Roman" w:hAnsi="Times New Roman" w:cs="Times New Roman"/>
          <w:sz w:val="24"/>
          <w:szCs w:val="24"/>
        </w:rPr>
        <w:t>B,D</w:t>
      </w:r>
      <w:proofErr w:type="gramEnd"/>
      <w:r>
        <w:rPr>
          <w:rFonts w:ascii="Times New Roman" w:eastAsia="Times New Roman" w:hAnsi="Times New Roman" w:cs="Times New Roman"/>
          <w:sz w:val="24"/>
          <w:szCs w:val="24"/>
        </w:rPr>
        <w:t>) reduces burden for healthcare system and provides time to plan for the future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w:t>
      </w:r>
    </w:p>
    <w:p w:rsidR="006D4940" w:rsidRDefault="00510B14">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is not without </w:t>
      </w:r>
      <w:r>
        <w:rPr>
          <w:rFonts w:ascii="Times New Roman" w:eastAsia="Times New Roman" w:hAnsi="Times New Roman" w:cs="Times New Roman"/>
          <w:sz w:val="24"/>
          <w:szCs w:val="24"/>
        </w:rPr>
        <w:t>limitations. We did not account for differences in the delay distributions or changes in the number of tests among cities. The intensity of intervention is likely to vary across regions given that majority of COVID-19 cases in South Korea were reported fro</w:t>
      </w:r>
      <w:r>
        <w:rPr>
          <w:rFonts w:ascii="Times New Roman" w:eastAsia="Times New Roman" w:hAnsi="Times New Roman" w:cs="Times New Roman"/>
          <w:sz w:val="24"/>
          <w:szCs w:val="24"/>
        </w:rPr>
        <w:t xml:space="preserve">m Daegu. We did not have sufficient data to account for these factors. Nonetheless, the robustness of our findings is supported by the sensitivity analyses (Appendix Figure 5-8). We were also unable to distinguish local and imported cases, which may </w:t>
      </w:r>
      <w:proofErr w:type="gramStart"/>
      <w:r>
        <w:rPr>
          <w:rFonts w:ascii="Times New Roman" w:eastAsia="Times New Roman" w:hAnsi="Times New Roman" w:cs="Times New Roman"/>
          <w:sz w:val="24"/>
          <w:szCs w:val="24"/>
        </w:rPr>
        <w:t>overes</w:t>
      </w:r>
      <w:r>
        <w:rPr>
          <w:rFonts w:ascii="Times New Roman" w:eastAsia="Times New Roman" w:hAnsi="Times New Roman" w:cs="Times New Roman"/>
          <w:sz w:val="24"/>
          <w:szCs w:val="24"/>
        </w:rPr>
        <w:t xml:space="preserve">timate </w:t>
      </w:r>
      <w:r>
        <w:rPr>
          <w:rFonts w:ascii="Times New Roman" w:eastAsia="Times New Roman" w:hAnsi="Times New Roman" w:cs="Times New Roman"/>
          <w:i/>
          <w:sz w:val="40"/>
          <w:szCs w:val="40"/>
          <w:vertAlign w:val="subscript"/>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We were able to perform a separate analysis for Seoul that accounts for imported cases using line list provided by the Seoul Metropolitan Government; our qualitative conclusions remained robust (Appendix Figure 9).</w:t>
      </w:r>
    </w:p>
    <w:p w:rsidR="006D4940" w:rsidRDefault="00510B14">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focused on com</w:t>
      </w:r>
      <w:r>
        <w:rPr>
          <w:rFonts w:ascii="Times New Roman" w:eastAsia="Times New Roman" w:hAnsi="Times New Roman" w:cs="Times New Roman"/>
          <w:sz w:val="24"/>
          <w:szCs w:val="24"/>
        </w:rPr>
        <w:t xml:space="preserve">paring metro traffic, which serves as a proxy for the degree of social distancing, with epidemiological dynamics in two cities. The 80% decrease in traffic volume suggests that the strength of social distancing in Daegu may be comparable to that in Wuhan, </w:t>
      </w:r>
      <w:r>
        <w:rPr>
          <w:rFonts w:ascii="Times New Roman" w:eastAsia="Times New Roman" w:hAnsi="Times New Roman" w:cs="Times New Roman"/>
          <w:sz w:val="24"/>
          <w:szCs w:val="24"/>
        </w:rPr>
        <w:t>China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 However, we are not able to directly estimate the effect of social distancing on epidemiological dynamics. Other measures, such as intensive testing of core transmission groups and school closure, are also likely to have affected the changes </w:t>
      </w:r>
      <w:proofErr w:type="gramStart"/>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Future studies should consider quantifying contributions of different measures in preventing the spread.</w:t>
      </w:r>
    </w:p>
    <w:p w:rsidR="006D4940" w:rsidRDefault="00510B14">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our study highlights the importance of considering geographical heterogeneity in estimating epidemic potential. The recent decrease in </w:t>
      </w:r>
      <w:r>
        <w:rPr>
          <w:rFonts w:ascii="Times New Roman" w:eastAsia="Times New Roman" w:hAnsi="Times New Roman" w:cs="Times New Roman"/>
          <w:sz w:val="24"/>
          <w:szCs w:val="24"/>
        </w:rPr>
        <w:t xml:space="preserve">the number of reported cases in South Korea is driven by the sharp decrease in Daegu. Our analysis reveals that the epidemic may still persist in other regions, including Seoul and Gyeonggi-do; recent reports from Seoul and </w:t>
      </w:r>
      <w:r>
        <w:rPr>
          <w:rFonts w:ascii="Times New Roman" w:eastAsia="Times New Roman" w:hAnsi="Times New Roman" w:cs="Times New Roman"/>
          <w:sz w:val="24"/>
          <w:szCs w:val="24"/>
        </w:rPr>
        <w:lastRenderedPageBreak/>
        <w:t>Gyeonggi-do (around 10 new cases</w:t>
      </w:r>
      <w:r>
        <w:rPr>
          <w:rFonts w:ascii="Times New Roman" w:eastAsia="Times New Roman" w:hAnsi="Times New Roman" w:cs="Times New Roman"/>
          <w:sz w:val="24"/>
          <w:szCs w:val="24"/>
        </w:rPr>
        <w:t xml:space="preserve"> almost every day between March 11–24, 2020) provide further support for our conclusion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Unless the reproduction number can be reduced below 1 in all regions, small outbreaks may continue to occur in South Korea.</w:t>
      </w:r>
    </w:p>
    <w:p w:rsidR="006D4940" w:rsidRDefault="00510B1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Disclaimers</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article does </w:t>
      </w:r>
      <w:r>
        <w:rPr>
          <w:rFonts w:ascii="Times New Roman" w:eastAsia="Times New Roman" w:hAnsi="Times New Roman" w:cs="Times New Roman"/>
          <w:sz w:val="24"/>
          <w:szCs w:val="24"/>
        </w:rPr>
        <w:t>not necessarily represent the views of the NIH or the US government.</w:t>
      </w:r>
    </w:p>
    <w:p w:rsidR="006D4940" w:rsidRDefault="00510B1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Bio</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Sang Woo Park is a graduate student in the Ecology and Evolutionary Biology department at Princeton University. His research focuses on mathematical and statistical modeling of</w:t>
      </w:r>
      <w:r>
        <w:rPr>
          <w:rFonts w:ascii="Times New Roman" w:eastAsia="Times New Roman" w:hAnsi="Times New Roman" w:cs="Times New Roman"/>
          <w:sz w:val="24"/>
          <w:szCs w:val="24"/>
        </w:rPr>
        <w:t xml:space="preserve"> infectious diseases.</w:t>
      </w:r>
    </w:p>
    <w:p w:rsidR="006D4940" w:rsidRDefault="00510B1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use endnotes for references. References should appear in a numbered list, in the order in which they are cited in the manuscript, including citations in figures and tables. Format the list in hanging indent paragraph</w:t>
      </w:r>
      <w:r>
        <w:rPr>
          <w:rFonts w:ascii="Times New Roman" w:eastAsia="Times New Roman" w:hAnsi="Times New Roman" w:cs="Times New Roman"/>
          <w:sz w:val="24"/>
          <w:szCs w:val="24"/>
        </w:rPr>
        <w:t xml:space="preserve"> style. Use</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Uniform Requirements citation style</w:t>
        </w:r>
      </w:hyperlink>
      <w:r>
        <w:rPr>
          <w:rFonts w:ascii="Times New Roman" w:eastAsia="Times New Roman" w:hAnsi="Times New Roman" w:cs="Times New Roman"/>
          <w:sz w:val="24"/>
          <w:szCs w:val="24"/>
        </w:rPr>
        <w:t xml:space="preserve"> for authors and publications. List first 6 authors followed by “et al.” Reference limits are strictly enforced.</w:t>
      </w:r>
    </w:p>
    <w:p w:rsidR="006D4940" w:rsidRPr="00BD4EC3" w:rsidRDefault="00510B14" w:rsidP="00BD4EC3">
      <w:pPr>
        <w:pStyle w:val="ListParagraph"/>
        <w:numPr>
          <w:ilvl w:val="0"/>
          <w:numId w:val="1"/>
        </w:numPr>
        <w:spacing w:line="480" w:lineRule="auto"/>
        <w:rPr>
          <w:rFonts w:ascii="Times New Roman" w:eastAsia="Times New Roman" w:hAnsi="Times New Roman" w:cs="Times New Roman"/>
          <w:color w:val="1155CC"/>
          <w:sz w:val="24"/>
          <w:szCs w:val="24"/>
        </w:rPr>
      </w:pPr>
      <w:r w:rsidRPr="00BD4EC3">
        <w:rPr>
          <w:rFonts w:ascii="Times New Roman" w:eastAsia="Times New Roman" w:hAnsi="Times New Roman" w:cs="Times New Roman"/>
          <w:sz w:val="24"/>
          <w:szCs w:val="24"/>
        </w:rPr>
        <w:t>World Health Organization. Pneumonia of unknown cause – China. [cited 2020 Jan 30].</w:t>
      </w:r>
      <w:hyperlink r:id="rId9">
        <w:r w:rsidRPr="00BD4EC3">
          <w:rPr>
            <w:rFonts w:ascii="Times New Roman" w:eastAsia="Times New Roman" w:hAnsi="Times New Roman" w:cs="Times New Roman"/>
            <w:sz w:val="24"/>
            <w:szCs w:val="24"/>
          </w:rPr>
          <w:t xml:space="preserve"> </w:t>
        </w:r>
      </w:hyperlink>
      <w:hyperlink r:id="rId10">
        <w:r w:rsidRPr="00BD4EC3">
          <w:rPr>
            <w:rFonts w:ascii="Times New Roman" w:eastAsia="Times New Roman" w:hAnsi="Times New Roman" w:cs="Times New Roman"/>
            <w:color w:val="1155CC"/>
            <w:sz w:val="24"/>
            <w:szCs w:val="24"/>
          </w:rPr>
          <w:t>https://www. who.int/csr/don/05-january-2020-pneumonia-of-unkown-cause-china/en/</w:t>
        </w:r>
      </w:hyperlink>
    </w:p>
    <w:p w:rsidR="006D4940" w:rsidRDefault="00510B14">
      <w:pPr>
        <w:numPr>
          <w:ilvl w:val="0"/>
          <w:numId w:val="1"/>
        </w:numPr>
        <w:spacing w:line="480" w:lineRule="auto"/>
      </w:pPr>
      <w:r>
        <w:rPr>
          <w:rFonts w:ascii="Times New Roman" w:eastAsia="Times New Roman" w:hAnsi="Times New Roman" w:cs="Times New Roman"/>
          <w:sz w:val="24"/>
          <w:szCs w:val="24"/>
        </w:rPr>
        <w:t>K</w:t>
      </w:r>
      <w:r>
        <w:rPr>
          <w:rFonts w:ascii="Times New Roman" w:eastAsia="Times New Roman" w:hAnsi="Times New Roman" w:cs="Times New Roman"/>
          <w:sz w:val="24"/>
          <w:szCs w:val="24"/>
        </w:rPr>
        <w:t>orea Centers for Disease Contro</w:t>
      </w:r>
      <w:r>
        <w:rPr>
          <w:rFonts w:ascii="Times New Roman" w:eastAsia="Times New Roman" w:hAnsi="Times New Roman" w:cs="Times New Roman"/>
          <w:sz w:val="24"/>
          <w:szCs w:val="24"/>
        </w:rPr>
        <w:t>l and Prevention (KCDC). Press release [in Korean] [cited 2020 Jan 20 – Mar 24].</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rPr>
          <w:t>https://www</w:t>
        </w:r>
        <w:r>
          <w:rPr>
            <w:rFonts w:ascii="Times New Roman" w:eastAsia="Times New Roman" w:hAnsi="Times New Roman" w:cs="Times New Roman"/>
            <w:color w:val="1155CC"/>
            <w:sz w:val="24"/>
            <w:szCs w:val="24"/>
          </w:rPr>
          <w:t>.cdc.go.kr/board/board.es?mid=a20501000000&amp;bid=0015#</w:t>
        </w:r>
      </w:hyperlink>
    </w:p>
    <w:p w:rsidR="006D4940" w:rsidRDefault="00510B14">
      <w:pPr>
        <w:numPr>
          <w:ilvl w:val="0"/>
          <w:numId w:val="1"/>
        </w:numPr>
        <w:spacing w:line="480" w:lineRule="auto"/>
      </w:pPr>
      <w:r>
        <w:rPr>
          <w:rFonts w:ascii="Times New Roman" w:eastAsia="Times New Roman" w:hAnsi="Times New Roman" w:cs="Times New Roman"/>
          <w:sz w:val="24"/>
          <w:szCs w:val="24"/>
        </w:rPr>
        <w:t xml:space="preserve">Ferguson NM, </w:t>
      </w:r>
      <w:proofErr w:type="spellStart"/>
      <w:r>
        <w:rPr>
          <w:rFonts w:ascii="Times New Roman" w:eastAsia="Times New Roman" w:hAnsi="Times New Roman" w:cs="Times New Roman"/>
          <w:sz w:val="24"/>
          <w:szCs w:val="24"/>
        </w:rPr>
        <w:t>Laydon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Nedjati</w:t>
      </w:r>
      <w:proofErr w:type="spellEnd"/>
      <w:r>
        <w:rPr>
          <w:rFonts w:ascii="Times New Roman" w:eastAsia="Times New Roman" w:hAnsi="Times New Roman" w:cs="Times New Roman"/>
          <w:sz w:val="24"/>
          <w:szCs w:val="24"/>
        </w:rPr>
        <w:t xml:space="preserve">-Gilani G, Imai N, Ainslie K, </w:t>
      </w:r>
      <w:proofErr w:type="spellStart"/>
      <w:r>
        <w:rPr>
          <w:rFonts w:ascii="Times New Roman" w:eastAsia="Times New Roman" w:hAnsi="Times New Roman" w:cs="Times New Roman"/>
          <w:sz w:val="24"/>
          <w:szCs w:val="24"/>
        </w:rPr>
        <w:t>Baguelin</w:t>
      </w:r>
      <w:proofErr w:type="spellEnd"/>
      <w:r>
        <w:rPr>
          <w:rFonts w:ascii="Times New Roman" w:eastAsia="Times New Roman" w:hAnsi="Times New Roman" w:cs="Times New Roman"/>
          <w:sz w:val="24"/>
          <w:szCs w:val="24"/>
        </w:rPr>
        <w:t xml:space="preserve"> M, et al. Impact of non-pharmaceutical interventions (NPIs) to reduce COVID-19 mortality and healthcare demand. 2020 [cited 2020 Mar 2</w:t>
      </w: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lastRenderedPageBreak/>
        <w:t>https://www.imperial.ac.uk/media/imperial-college/medicine/sph/ide/</w:t>
      </w:r>
      <w:hyperlink r:id="rId13">
        <w:r>
          <w:rPr>
            <w:rFonts w:ascii="Times New Roman" w:eastAsia="Times New Roman" w:hAnsi="Times New Roman" w:cs="Times New Roman"/>
            <w:color w:val="1155CC"/>
            <w:sz w:val="24"/>
            <w:szCs w:val="24"/>
          </w:rPr>
          <w:t>gida-fellowships/Imperial-Co</w:t>
        </w:r>
        <w:r>
          <w:rPr>
            <w:rFonts w:ascii="Times New Roman" w:eastAsia="Times New Roman" w:hAnsi="Times New Roman" w:cs="Times New Roman"/>
            <w:color w:val="1155CC"/>
            <w:sz w:val="24"/>
            <w:szCs w:val="24"/>
          </w:rPr>
          <w:t>llege-COVID19-NPI-modelling-16-03-2020.pdf</w:t>
        </w:r>
      </w:hyperlink>
    </w:p>
    <w:p w:rsidR="006D4940" w:rsidRDefault="00510B14">
      <w:pPr>
        <w:numPr>
          <w:ilvl w:val="0"/>
          <w:numId w:val="1"/>
        </w:numPr>
        <w:spacing w:line="480" w:lineRule="auto"/>
      </w:pPr>
      <w:r>
        <w:rPr>
          <w:rFonts w:ascii="Times New Roman" w:eastAsia="Times New Roman" w:hAnsi="Times New Roman" w:cs="Times New Roman"/>
          <w:sz w:val="24"/>
          <w:szCs w:val="24"/>
        </w:rPr>
        <w:t xml:space="preserve">COVID-19 National Emergency Response Center, Epidemiology &amp; Case Management Team, Korea Centers for Disease Control &amp; Prevention. Contact transmission of COVID-19 in South Korea: novel investigation techniques for tracing contacts. </w:t>
      </w:r>
      <w:proofErr w:type="spellStart"/>
      <w:r>
        <w:rPr>
          <w:rFonts w:ascii="Times New Roman" w:eastAsia="Times New Roman" w:hAnsi="Times New Roman" w:cs="Times New Roman"/>
          <w:sz w:val="24"/>
          <w:szCs w:val="24"/>
        </w:rPr>
        <w:t>Osong</w:t>
      </w:r>
      <w:proofErr w:type="spellEnd"/>
      <w:r>
        <w:rPr>
          <w:rFonts w:ascii="Times New Roman" w:eastAsia="Times New Roman" w:hAnsi="Times New Roman" w:cs="Times New Roman"/>
          <w:sz w:val="24"/>
          <w:szCs w:val="24"/>
        </w:rPr>
        <w:t xml:space="preserve"> Public Health Res </w:t>
      </w:r>
      <w:proofErr w:type="spellStart"/>
      <w:r>
        <w:rPr>
          <w:rFonts w:ascii="Times New Roman" w:eastAsia="Times New Roman" w:hAnsi="Times New Roman" w:cs="Times New Roman"/>
          <w:sz w:val="24"/>
          <w:szCs w:val="24"/>
        </w:rPr>
        <w:t>Perspect</w:t>
      </w:r>
      <w:proofErr w:type="spellEnd"/>
      <w:r>
        <w:rPr>
          <w:rFonts w:ascii="Times New Roman" w:eastAsia="Times New Roman" w:hAnsi="Times New Roman" w:cs="Times New Roman"/>
          <w:sz w:val="24"/>
          <w:szCs w:val="24"/>
        </w:rPr>
        <w:t>. 2020; 11(1):60-63. https://doi.org/10.24171/j.phrp.2020.11.1.09</w:t>
      </w:r>
    </w:p>
    <w:p w:rsidR="006D4940" w:rsidRDefault="00510B14">
      <w:pPr>
        <w:numPr>
          <w:ilvl w:val="0"/>
          <w:numId w:val="1"/>
        </w:numPr>
        <w:spacing w:line="480" w:lineRule="auto"/>
      </w:pPr>
      <w:proofErr w:type="spellStart"/>
      <w:r>
        <w:rPr>
          <w:rFonts w:ascii="Times New Roman" w:eastAsia="Times New Roman" w:hAnsi="Times New Roman" w:cs="Times New Roman"/>
          <w:sz w:val="24"/>
          <w:szCs w:val="24"/>
        </w:rPr>
        <w:t>Normile</w:t>
      </w:r>
      <w:proofErr w:type="spellEnd"/>
      <w:r>
        <w:rPr>
          <w:rFonts w:ascii="Times New Roman" w:eastAsia="Times New Roman" w:hAnsi="Times New Roman" w:cs="Times New Roman"/>
          <w:sz w:val="24"/>
          <w:szCs w:val="24"/>
        </w:rPr>
        <w:t xml:space="preserve"> D. Coronavirus cases have dropped sharply in South Korea. What’s the secret to its success? Science. 2020.</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rPr>
          <w:t>https://www.sciencemag.org/news/2020/03/coronavirus-c</w:t>
        </w:r>
        <w:r>
          <w:rPr>
            <w:rFonts w:ascii="Times New Roman" w:eastAsia="Times New Roman" w:hAnsi="Times New Roman" w:cs="Times New Roman"/>
            <w:color w:val="1155CC"/>
            <w:sz w:val="24"/>
            <w:szCs w:val="24"/>
          </w:rPr>
          <w:t>ases-have-dropped-sharply-south-korea-whats-secret-its-success</w:t>
        </w:r>
      </w:hyperlink>
    </w:p>
    <w:p w:rsidR="006D4940" w:rsidRDefault="00510B14">
      <w:pPr>
        <w:numPr>
          <w:ilvl w:val="0"/>
          <w:numId w:val="1"/>
        </w:numPr>
        <w:spacing w:line="480" w:lineRule="auto"/>
      </w:pPr>
      <w:r>
        <w:rPr>
          <w:rFonts w:ascii="Times New Roman" w:eastAsia="Times New Roman" w:hAnsi="Times New Roman" w:cs="Times New Roman"/>
          <w:sz w:val="24"/>
          <w:szCs w:val="24"/>
        </w:rPr>
        <w:t>Seoul Metropolitan City Government. Official website of the Seoul Metropolitan City Government [in Korean] [cited 2020 Jan 20 – Mar 24].</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rPr>
          <w:t>http://www.seoul.go.kr/</w:t>
        </w:r>
      </w:hyperlink>
    </w:p>
    <w:p w:rsidR="006D4940" w:rsidRDefault="00510B14">
      <w:pPr>
        <w:numPr>
          <w:ilvl w:val="0"/>
          <w:numId w:val="1"/>
        </w:numPr>
        <w:spacing w:line="480" w:lineRule="auto"/>
      </w:pPr>
      <w:r>
        <w:rPr>
          <w:rFonts w:ascii="Times New Roman" w:eastAsia="Times New Roman" w:hAnsi="Times New Roman" w:cs="Times New Roman"/>
          <w:sz w:val="24"/>
          <w:szCs w:val="24"/>
        </w:rPr>
        <w:t>Busan Metropolitan City Government. Official website of the Busan Metropolitan City Government [in Korean] [cited 2020 Jan 20 – Mar 16].</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rPr>
          <w:t>http://www.busan.go.kr/</w:t>
        </w:r>
      </w:hyperlink>
    </w:p>
    <w:p w:rsidR="006D4940" w:rsidRDefault="00510B14">
      <w:pPr>
        <w:numPr>
          <w:ilvl w:val="0"/>
          <w:numId w:val="1"/>
        </w:numPr>
        <w:spacing w:line="480" w:lineRule="auto"/>
      </w:pPr>
      <w:r>
        <w:rPr>
          <w:rFonts w:ascii="Times New Roman" w:eastAsia="Times New Roman" w:hAnsi="Times New Roman" w:cs="Times New Roman"/>
          <w:sz w:val="24"/>
          <w:szCs w:val="24"/>
        </w:rPr>
        <w:t>Gwangju Metropolitan City Government. Official website of the Gwangju Metropolitan City Government [in Korean] [cited 2020 Jan 20 – Mar 16].</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rPr>
          <w:t>https://www.gwangju.go.kr/</w:t>
        </w:r>
      </w:hyperlink>
    </w:p>
    <w:p w:rsidR="006D4940" w:rsidRDefault="00510B14">
      <w:pPr>
        <w:numPr>
          <w:ilvl w:val="0"/>
          <w:numId w:val="1"/>
        </w:numPr>
        <w:spacing w:line="480" w:lineRule="auto"/>
      </w:pPr>
      <w:r>
        <w:rPr>
          <w:rFonts w:ascii="Times New Roman" w:eastAsia="Times New Roman" w:hAnsi="Times New Roman" w:cs="Times New Roman"/>
          <w:sz w:val="24"/>
          <w:szCs w:val="24"/>
        </w:rPr>
        <w:t>Ulsan Metropolitan City Government. Official website of the Ulsan Metropolitan City Government [in Korean] [cited 2020 Jan 20 – Mar 16].</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rPr>
          <w:t>https://www.ulsan.go.kr</w:t>
        </w:r>
      </w:hyperlink>
    </w:p>
    <w:p w:rsidR="006D4940" w:rsidRDefault="00510B14">
      <w:pPr>
        <w:numPr>
          <w:ilvl w:val="0"/>
          <w:numId w:val="1"/>
        </w:numPr>
        <w:spacing w:line="480" w:lineRule="auto"/>
      </w:pPr>
      <w:r>
        <w:rPr>
          <w:rFonts w:ascii="Times New Roman" w:eastAsia="Times New Roman" w:hAnsi="Times New Roman" w:cs="Times New Roman"/>
          <w:sz w:val="24"/>
          <w:szCs w:val="24"/>
        </w:rPr>
        <w:t>Gyeonggi Provincial Government. Official website of Gyeonggi Provincial Government. 2020 [in Korean] [cited 2020 Jan 20 – Mar 16].</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rPr>
          <w:t>https://www.gg.go.kr/</w:t>
        </w:r>
      </w:hyperlink>
    </w:p>
    <w:p w:rsidR="006D4940" w:rsidRDefault="00510B14">
      <w:pPr>
        <w:numPr>
          <w:ilvl w:val="0"/>
          <w:numId w:val="1"/>
        </w:numPr>
        <w:spacing w:line="480" w:lineRule="auto"/>
      </w:pPr>
      <w:r>
        <w:rPr>
          <w:rFonts w:ascii="Times New Roman" w:eastAsia="Times New Roman" w:hAnsi="Times New Roman" w:cs="Times New Roman"/>
          <w:sz w:val="24"/>
          <w:szCs w:val="24"/>
        </w:rPr>
        <w:t>Daegu Metropolitan City Government. Official website of the Daegu Metropolitan City Government [in Korea] [cited 2020 Jan 20 – Mar 16].</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rPr>
          <w:t>http://www.daegu.go.kr/</w:t>
        </w:r>
      </w:hyperlink>
    </w:p>
    <w:p w:rsidR="006D4940" w:rsidRDefault="00510B14">
      <w:pPr>
        <w:numPr>
          <w:ilvl w:val="0"/>
          <w:numId w:val="1"/>
        </w:numPr>
        <w:spacing w:line="480" w:lineRule="auto"/>
      </w:pPr>
      <w:proofErr w:type="spellStart"/>
      <w:r>
        <w:rPr>
          <w:rFonts w:ascii="Times New Roman" w:eastAsia="Times New Roman" w:hAnsi="Times New Roman" w:cs="Times New Roman"/>
          <w:sz w:val="24"/>
          <w:szCs w:val="24"/>
        </w:rPr>
        <w:t>Gyeongnam</w:t>
      </w:r>
      <w:proofErr w:type="spellEnd"/>
      <w:r>
        <w:rPr>
          <w:rFonts w:ascii="Times New Roman" w:eastAsia="Times New Roman" w:hAnsi="Times New Roman" w:cs="Times New Roman"/>
          <w:sz w:val="24"/>
          <w:szCs w:val="24"/>
        </w:rPr>
        <w:t xml:space="preserve"> Provincial Government. Official website of the </w:t>
      </w:r>
      <w:proofErr w:type="spellStart"/>
      <w:r>
        <w:rPr>
          <w:rFonts w:ascii="Times New Roman" w:eastAsia="Times New Roman" w:hAnsi="Times New Roman" w:cs="Times New Roman"/>
          <w:sz w:val="24"/>
          <w:szCs w:val="24"/>
        </w:rPr>
        <w:t>Gyeongnam</w:t>
      </w:r>
      <w:proofErr w:type="spellEnd"/>
      <w:r>
        <w:rPr>
          <w:rFonts w:ascii="Times New Roman" w:eastAsia="Times New Roman" w:hAnsi="Times New Roman" w:cs="Times New Roman"/>
          <w:sz w:val="24"/>
          <w:szCs w:val="24"/>
        </w:rPr>
        <w:t xml:space="preserve"> Provincial Government [in Korea] [cited 2020 Jan 20 – Mar 16].</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rPr>
          <w:t>http://www.gyeongnam.go.kr/</w:t>
        </w:r>
      </w:hyperlink>
    </w:p>
    <w:p w:rsidR="006D4940" w:rsidRDefault="00510B14">
      <w:pPr>
        <w:numPr>
          <w:ilvl w:val="0"/>
          <w:numId w:val="1"/>
        </w:numPr>
        <w:spacing w:line="480" w:lineRule="auto"/>
      </w:pPr>
      <w:r>
        <w:rPr>
          <w:rFonts w:ascii="Times New Roman" w:eastAsia="Times New Roman" w:hAnsi="Times New Roman" w:cs="Times New Roman"/>
          <w:sz w:val="24"/>
          <w:szCs w:val="24"/>
        </w:rPr>
        <w:lastRenderedPageBreak/>
        <w:t xml:space="preserve">Fraser C. Estimating individual and household reproduction numbers in an emerging epidemic.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2007; 2(8). https://doi.org/10.1371/journal.pone.0000758</w:t>
      </w:r>
    </w:p>
    <w:p w:rsidR="006D4940" w:rsidRDefault="00510B14">
      <w:pPr>
        <w:numPr>
          <w:ilvl w:val="0"/>
          <w:numId w:val="1"/>
        </w:numPr>
        <w:spacing w:line="480" w:lineRule="auto"/>
      </w:pPr>
      <w:r>
        <w:rPr>
          <w:rFonts w:ascii="Times New Roman" w:eastAsia="Times New Roman" w:hAnsi="Times New Roman" w:cs="Times New Roman"/>
          <w:sz w:val="24"/>
          <w:szCs w:val="24"/>
        </w:rPr>
        <w:t xml:space="preserve">Backer JA, </w:t>
      </w:r>
      <w:proofErr w:type="spellStart"/>
      <w:r>
        <w:rPr>
          <w:rFonts w:ascii="Times New Roman" w:eastAsia="Times New Roman" w:hAnsi="Times New Roman" w:cs="Times New Roman"/>
          <w:sz w:val="24"/>
          <w:szCs w:val="24"/>
        </w:rPr>
        <w:t>Klinkenber</w:t>
      </w:r>
      <w:r>
        <w:rPr>
          <w:rFonts w:ascii="Times New Roman" w:eastAsia="Times New Roman" w:hAnsi="Times New Roman" w:cs="Times New Roman"/>
          <w:sz w:val="24"/>
          <w:szCs w:val="24"/>
        </w:rPr>
        <w:t>g</w:t>
      </w:r>
      <w:proofErr w:type="spellEnd"/>
      <w:r>
        <w:rPr>
          <w:rFonts w:ascii="Times New Roman" w:eastAsia="Times New Roman" w:hAnsi="Times New Roman" w:cs="Times New Roman"/>
          <w:sz w:val="24"/>
          <w:szCs w:val="24"/>
        </w:rPr>
        <w:t xml:space="preserve"> D, and </w:t>
      </w:r>
      <w:proofErr w:type="spellStart"/>
      <w:r>
        <w:rPr>
          <w:rFonts w:ascii="Times New Roman" w:eastAsia="Times New Roman" w:hAnsi="Times New Roman" w:cs="Times New Roman"/>
          <w:sz w:val="24"/>
          <w:szCs w:val="24"/>
        </w:rPr>
        <w:t>Wallinga</w:t>
      </w:r>
      <w:proofErr w:type="spellEnd"/>
      <w:r>
        <w:rPr>
          <w:rFonts w:ascii="Times New Roman" w:eastAsia="Times New Roman" w:hAnsi="Times New Roman" w:cs="Times New Roman"/>
          <w:sz w:val="24"/>
          <w:szCs w:val="24"/>
        </w:rPr>
        <w:t xml:space="preserve"> J. Incubation period of 2019 novel coronavirus (2019-nCoV) infections among </w:t>
      </w:r>
      <w:proofErr w:type="spellStart"/>
      <w:r>
        <w:rPr>
          <w:rFonts w:ascii="Times New Roman" w:eastAsia="Times New Roman" w:hAnsi="Times New Roman" w:cs="Times New Roman"/>
          <w:sz w:val="24"/>
          <w:szCs w:val="24"/>
        </w:rPr>
        <w:t>travellers</w:t>
      </w:r>
      <w:proofErr w:type="spellEnd"/>
      <w:r>
        <w:rPr>
          <w:rFonts w:ascii="Times New Roman" w:eastAsia="Times New Roman" w:hAnsi="Times New Roman" w:cs="Times New Roman"/>
          <w:sz w:val="24"/>
          <w:szCs w:val="24"/>
        </w:rPr>
        <w:t xml:space="preserve"> from Wuhan, China, 20–28 January 2020. Euro </w:t>
      </w:r>
      <w:proofErr w:type="spellStart"/>
      <w:r>
        <w:rPr>
          <w:rFonts w:ascii="Times New Roman" w:eastAsia="Times New Roman" w:hAnsi="Times New Roman" w:cs="Times New Roman"/>
          <w:sz w:val="24"/>
          <w:szCs w:val="24"/>
        </w:rPr>
        <w:t>Surveill</w:t>
      </w:r>
      <w:proofErr w:type="spellEnd"/>
      <w:r>
        <w:rPr>
          <w:rFonts w:ascii="Times New Roman" w:eastAsia="Times New Roman" w:hAnsi="Times New Roman" w:cs="Times New Roman"/>
          <w:sz w:val="24"/>
          <w:szCs w:val="24"/>
        </w:rPr>
        <w:t>. 2020; 25(5). https://doi.org/10.2807/1560-7917.ES.2020.25.5.2000062</w:t>
      </w:r>
    </w:p>
    <w:p w:rsidR="006D4940" w:rsidRDefault="00510B14">
      <w:pPr>
        <w:numPr>
          <w:ilvl w:val="0"/>
          <w:numId w:val="1"/>
        </w:numPr>
        <w:spacing w:line="480" w:lineRule="auto"/>
      </w:pPr>
      <w:r>
        <w:rPr>
          <w:rFonts w:ascii="Times New Roman" w:eastAsia="Times New Roman" w:hAnsi="Times New Roman" w:cs="Times New Roman"/>
          <w:sz w:val="24"/>
          <w:szCs w:val="24"/>
        </w:rPr>
        <w:t xml:space="preserve">Ferretti L, </w:t>
      </w:r>
      <w:proofErr w:type="spellStart"/>
      <w:r>
        <w:rPr>
          <w:rFonts w:ascii="Times New Roman" w:eastAsia="Times New Roman" w:hAnsi="Times New Roman" w:cs="Times New Roman"/>
          <w:sz w:val="24"/>
          <w:szCs w:val="24"/>
        </w:rPr>
        <w:t>Wymant</w:t>
      </w:r>
      <w:proofErr w:type="spellEnd"/>
      <w:r>
        <w:rPr>
          <w:rFonts w:ascii="Times New Roman" w:eastAsia="Times New Roman" w:hAnsi="Times New Roman" w:cs="Times New Roman"/>
          <w:sz w:val="24"/>
          <w:szCs w:val="24"/>
        </w:rPr>
        <w:t xml:space="preserve"> C, Kendall</w:t>
      </w:r>
      <w:r>
        <w:rPr>
          <w:rFonts w:ascii="Times New Roman" w:eastAsia="Times New Roman" w:hAnsi="Times New Roman" w:cs="Times New Roman"/>
          <w:sz w:val="24"/>
          <w:szCs w:val="24"/>
        </w:rPr>
        <w:t xml:space="preserve"> M, Zhao L, </w:t>
      </w:r>
      <w:proofErr w:type="spellStart"/>
      <w:r>
        <w:rPr>
          <w:rFonts w:ascii="Times New Roman" w:eastAsia="Times New Roman" w:hAnsi="Times New Roman" w:cs="Times New Roman"/>
          <w:sz w:val="24"/>
          <w:szCs w:val="24"/>
        </w:rPr>
        <w:t>Nurtay</w:t>
      </w:r>
      <w:proofErr w:type="spellEnd"/>
      <w:r>
        <w:rPr>
          <w:rFonts w:ascii="Times New Roman" w:eastAsia="Times New Roman" w:hAnsi="Times New Roman" w:cs="Times New Roman"/>
          <w:sz w:val="24"/>
          <w:szCs w:val="24"/>
        </w:rPr>
        <w:t xml:space="preserve"> A, Bonsall DG, and Fraser C. Quantifying dynamics of SARS-CoV-2 transmission suggests that epidemic control and avoidance is feasible through instantaneous digital contact tracing [cited 2020 Mar 24].</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rPr>
          <w:t>https://www.medrxiv.org/content/10.1101/2020. 03.08.20032946v1</w:t>
        </w:r>
      </w:hyperlink>
    </w:p>
    <w:p w:rsidR="006D4940" w:rsidRDefault="00510B14">
      <w:pPr>
        <w:numPr>
          <w:ilvl w:val="0"/>
          <w:numId w:val="1"/>
        </w:numPr>
        <w:spacing w:line="480" w:lineRule="auto"/>
      </w:pPr>
      <w:proofErr w:type="spellStart"/>
      <w:r>
        <w:rPr>
          <w:rFonts w:ascii="Times New Roman" w:eastAsia="Times New Roman" w:hAnsi="Times New Roman" w:cs="Times New Roman"/>
          <w:sz w:val="24"/>
          <w:szCs w:val="24"/>
        </w:rPr>
        <w:t>Ganyani</w:t>
      </w:r>
      <w:proofErr w:type="spellEnd"/>
      <w:r>
        <w:rPr>
          <w:rFonts w:ascii="Times New Roman" w:eastAsia="Times New Roman" w:hAnsi="Times New Roman" w:cs="Times New Roman"/>
          <w:sz w:val="24"/>
          <w:szCs w:val="24"/>
        </w:rPr>
        <w:t xml:space="preserve"> T, Kremer C, Chen D, </w:t>
      </w:r>
      <w:proofErr w:type="spellStart"/>
      <w:r>
        <w:rPr>
          <w:rFonts w:ascii="Times New Roman" w:eastAsia="Times New Roman" w:hAnsi="Times New Roman" w:cs="Times New Roman"/>
          <w:sz w:val="24"/>
          <w:szCs w:val="24"/>
        </w:rPr>
        <w:t>Torneri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Faes</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Wallinga</w:t>
      </w:r>
      <w:proofErr w:type="spellEnd"/>
      <w:r>
        <w:rPr>
          <w:rFonts w:ascii="Times New Roman" w:eastAsia="Times New Roman" w:hAnsi="Times New Roman" w:cs="Times New Roman"/>
          <w:sz w:val="24"/>
          <w:szCs w:val="24"/>
        </w:rPr>
        <w:t xml:space="preserve"> J, et al. </w:t>
      </w:r>
      <w:r>
        <w:rPr>
          <w:rFonts w:ascii="Times New Roman" w:eastAsia="Times New Roman" w:hAnsi="Times New Roman" w:cs="Times New Roman"/>
          <w:sz w:val="24"/>
          <w:szCs w:val="24"/>
        </w:rPr>
        <w:t>Estimating the generation interval for COVID-19 based on symptom onset data [cited 2020 Mar 24].</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rPr>
          <w:t>https://www.medrxiv.org/content/10.1101/ 2020.03.05.20031815v1</w:t>
        </w:r>
      </w:hyperlink>
    </w:p>
    <w:p w:rsidR="006D4940" w:rsidRDefault="00510B14">
      <w:pPr>
        <w:numPr>
          <w:ilvl w:val="0"/>
          <w:numId w:val="1"/>
        </w:numPr>
        <w:spacing w:line="480" w:lineRule="auto"/>
      </w:pPr>
      <w:r>
        <w:rPr>
          <w:rFonts w:ascii="Times New Roman" w:eastAsia="Times New Roman" w:hAnsi="Times New Roman" w:cs="Times New Roman"/>
          <w:sz w:val="24"/>
          <w:szCs w:val="24"/>
        </w:rPr>
        <w:t xml:space="preserve">Abbott S, </w:t>
      </w:r>
      <w:proofErr w:type="spellStart"/>
      <w:r>
        <w:rPr>
          <w:rFonts w:ascii="Times New Roman" w:eastAsia="Times New Roman" w:hAnsi="Times New Roman" w:cs="Times New Roman"/>
          <w:sz w:val="24"/>
          <w:szCs w:val="24"/>
        </w:rPr>
        <w:t>Hellewell</w:t>
      </w:r>
      <w:proofErr w:type="spellEnd"/>
      <w:r>
        <w:rPr>
          <w:rFonts w:ascii="Times New Roman" w:eastAsia="Times New Roman" w:hAnsi="Times New Roman" w:cs="Times New Roman"/>
          <w:sz w:val="24"/>
          <w:szCs w:val="24"/>
        </w:rPr>
        <w:t xml:space="preserve"> J, Munday JD, Chun JY, Thompson RN, </w:t>
      </w:r>
      <w:proofErr w:type="spellStart"/>
      <w:r>
        <w:rPr>
          <w:rFonts w:ascii="Times New Roman" w:eastAsia="Times New Roman" w:hAnsi="Times New Roman" w:cs="Times New Roman"/>
          <w:sz w:val="24"/>
          <w:szCs w:val="24"/>
        </w:rPr>
        <w:t>Bosse</w:t>
      </w:r>
      <w:proofErr w:type="spellEnd"/>
      <w:r>
        <w:rPr>
          <w:rFonts w:ascii="Times New Roman" w:eastAsia="Times New Roman" w:hAnsi="Times New Roman" w:cs="Times New Roman"/>
          <w:sz w:val="24"/>
          <w:szCs w:val="24"/>
        </w:rPr>
        <w:t xml:space="preserve"> NI, et al. Temporal variation in transmission during the COVID-19 outbreak [cited 2020 Mar 21]</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rPr>
          <w:t>https://cmmid.github.io/topics/covid1</w:t>
        </w:r>
        <w:r>
          <w:rPr>
            <w:rFonts w:ascii="Times New Roman" w:eastAsia="Times New Roman" w:hAnsi="Times New Roman" w:cs="Times New Roman"/>
            <w:color w:val="1155CC"/>
            <w:sz w:val="24"/>
            <w:szCs w:val="24"/>
          </w:rPr>
          <w:t>9/ current-patterns-transmission/global-time-varying-transmission.html</w:t>
        </w:r>
      </w:hyperlink>
    </w:p>
    <w:p w:rsidR="006D4940" w:rsidRDefault="00510B14">
      <w:pPr>
        <w:numPr>
          <w:ilvl w:val="0"/>
          <w:numId w:val="1"/>
        </w:numPr>
        <w:spacing w:line="480" w:lineRule="auto"/>
      </w:pPr>
      <w:proofErr w:type="spellStart"/>
      <w:r>
        <w:rPr>
          <w:rFonts w:ascii="Times New Roman" w:eastAsia="Times New Roman" w:hAnsi="Times New Roman" w:cs="Times New Roman"/>
          <w:sz w:val="24"/>
          <w:szCs w:val="24"/>
        </w:rPr>
        <w:t>Kickbusch</w:t>
      </w:r>
      <w:proofErr w:type="spellEnd"/>
      <w:r>
        <w:rPr>
          <w:rFonts w:ascii="Times New Roman" w:eastAsia="Times New Roman" w:hAnsi="Times New Roman" w:cs="Times New Roman"/>
          <w:sz w:val="24"/>
          <w:szCs w:val="24"/>
        </w:rPr>
        <w:t xml:space="preserve"> I and Leung G. Response to the emerging novel coronavirus outbreak. BMJ. 2020; 368:m406 https://doi.org/10.1136/bmj.m406</w:t>
      </w:r>
    </w:p>
    <w:p w:rsidR="006D4940" w:rsidRDefault="00510B14">
      <w:pPr>
        <w:numPr>
          <w:ilvl w:val="0"/>
          <w:numId w:val="1"/>
        </w:numPr>
        <w:spacing w:line="480" w:lineRule="auto"/>
      </w:pPr>
      <w:r>
        <w:rPr>
          <w:rFonts w:ascii="Times New Roman" w:eastAsia="Times New Roman" w:hAnsi="Times New Roman" w:cs="Times New Roman"/>
          <w:sz w:val="24"/>
          <w:szCs w:val="24"/>
        </w:rPr>
        <w:t xml:space="preserve">Anderson RM, </w:t>
      </w:r>
      <w:proofErr w:type="spellStart"/>
      <w:r>
        <w:rPr>
          <w:rFonts w:ascii="Times New Roman" w:eastAsia="Times New Roman" w:hAnsi="Times New Roman" w:cs="Times New Roman"/>
          <w:sz w:val="24"/>
          <w:szCs w:val="24"/>
        </w:rPr>
        <w:t>Heesterbeek</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Klinkenberg</w:t>
      </w:r>
      <w:proofErr w:type="spellEnd"/>
      <w:r>
        <w:rPr>
          <w:rFonts w:ascii="Times New Roman" w:eastAsia="Times New Roman" w:hAnsi="Times New Roman" w:cs="Times New Roman"/>
          <w:sz w:val="24"/>
          <w:szCs w:val="24"/>
        </w:rPr>
        <w:t xml:space="preserve"> D, and Hollingsworth TD. How will country-based mitigation measures influence the course of the COVID-19 epidemic? Lancet. 2020; 395(10228):931-934. https://doi.org/10.1016/S0140-6736(20)30567-5</w:t>
      </w:r>
    </w:p>
    <w:p w:rsidR="006D4940" w:rsidRDefault="00510B14">
      <w:pPr>
        <w:numPr>
          <w:ilvl w:val="0"/>
          <w:numId w:val="1"/>
        </w:numPr>
        <w:spacing w:line="480" w:lineRule="auto"/>
      </w:pPr>
      <w:r>
        <w:rPr>
          <w:rFonts w:ascii="Times New Roman" w:eastAsia="Times New Roman" w:hAnsi="Times New Roman" w:cs="Times New Roman"/>
          <w:sz w:val="24"/>
          <w:szCs w:val="24"/>
        </w:rPr>
        <w:lastRenderedPageBreak/>
        <w:t xml:space="preserve">Thompson RN, </w:t>
      </w:r>
      <w:proofErr w:type="spellStart"/>
      <w:r>
        <w:rPr>
          <w:rFonts w:ascii="Times New Roman" w:eastAsia="Times New Roman" w:hAnsi="Times New Roman" w:cs="Times New Roman"/>
          <w:sz w:val="24"/>
          <w:szCs w:val="24"/>
        </w:rPr>
        <w:t>Stockwin</w:t>
      </w:r>
      <w:proofErr w:type="spellEnd"/>
      <w:r>
        <w:rPr>
          <w:rFonts w:ascii="Times New Roman" w:eastAsia="Times New Roman" w:hAnsi="Times New Roman" w:cs="Times New Roman"/>
          <w:sz w:val="24"/>
          <w:szCs w:val="24"/>
        </w:rPr>
        <w:t xml:space="preserve"> JE, van </w:t>
      </w:r>
      <w:proofErr w:type="spellStart"/>
      <w:r>
        <w:rPr>
          <w:rFonts w:ascii="Times New Roman" w:eastAsia="Times New Roman" w:hAnsi="Times New Roman" w:cs="Times New Roman"/>
          <w:sz w:val="24"/>
          <w:szCs w:val="24"/>
        </w:rPr>
        <w:t>Gaalen</w:t>
      </w:r>
      <w:proofErr w:type="spellEnd"/>
      <w:r>
        <w:rPr>
          <w:rFonts w:ascii="Times New Roman" w:eastAsia="Times New Roman" w:hAnsi="Times New Roman" w:cs="Times New Roman"/>
          <w:sz w:val="24"/>
          <w:szCs w:val="24"/>
        </w:rPr>
        <w:t xml:space="preserve"> RD, Polonsky JA, </w:t>
      </w:r>
      <w:proofErr w:type="spellStart"/>
      <w:r>
        <w:rPr>
          <w:rFonts w:ascii="Times New Roman" w:eastAsia="Times New Roman" w:hAnsi="Times New Roman" w:cs="Times New Roman"/>
          <w:sz w:val="24"/>
          <w:szCs w:val="24"/>
        </w:rPr>
        <w:t>Kamvar</w:t>
      </w:r>
      <w:proofErr w:type="spellEnd"/>
      <w:r>
        <w:rPr>
          <w:rFonts w:ascii="Times New Roman" w:eastAsia="Times New Roman" w:hAnsi="Times New Roman" w:cs="Times New Roman"/>
          <w:sz w:val="24"/>
          <w:szCs w:val="24"/>
        </w:rPr>
        <w:t xml:space="preserve"> ZN, </w:t>
      </w:r>
      <w:proofErr w:type="spellStart"/>
      <w:r>
        <w:rPr>
          <w:rFonts w:ascii="Times New Roman" w:eastAsia="Times New Roman" w:hAnsi="Times New Roman" w:cs="Times New Roman"/>
          <w:sz w:val="24"/>
          <w:szCs w:val="24"/>
        </w:rPr>
        <w:t>Demarsh</w:t>
      </w:r>
      <w:proofErr w:type="spellEnd"/>
      <w:r>
        <w:rPr>
          <w:rFonts w:ascii="Times New Roman" w:eastAsia="Times New Roman" w:hAnsi="Times New Roman" w:cs="Times New Roman"/>
          <w:sz w:val="24"/>
          <w:szCs w:val="24"/>
        </w:rPr>
        <w:t xml:space="preserve"> PA, et al. Improved inference of time-varying reproduction numbers during infectious disease outbreaks. Epidemics. 2019; 29:100356. https://doi.org/10.1016/j.epidem.2019.100356</w:t>
      </w:r>
    </w:p>
    <w:p w:rsidR="006D4940" w:rsidRDefault="00510B14">
      <w:pPr>
        <w:numPr>
          <w:ilvl w:val="0"/>
          <w:numId w:val="1"/>
        </w:numPr>
        <w:spacing w:after="280" w:line="480" w:lineRule="auto"/>
      </w:pPr>
      <w:r>
        <w:rPr>
          <w:rFonts w:ascii="Times New Roman" w:eastAsia="Times New Roman" w:hAnsi="Times New Roman" w:cs="Times New Roman"/>
          <w:sz w:val="24"/>
          <w:szCs w:val="24"/>
        </w:rPr>
        <w:t xml:space="preserve">Lai S, </w:t>
      </w:r>
      <w:proofErr w:type="spellStart"/>
      <w:r>
        <w:rPr>
          <w:rFonts w:ascii="Times New Roman" w:eastAsia="Times New Roman" w:hAnsi="Times New Roman" w:cs="Times New Roman"/>
          <w:sz w:val="24"/>
          <w:szCs w:val="24"/>
        </w:rPr>
        <w:t>Ruktanonchai</w:t>
      </w:r>
      <w:proofErr w:type="spellEnd"/>
      <w:r>
        <w:rPr>
          <w:rFonts w:ascii="Times New Roman" w:eastAsia="Times New Roman" w:hAnsi="Times New Roman" w:cs="Times New Roman"/>
          <w:sz w:val="24"/>
          <w:szCs w:val="24"/>
        </w:rPr>
        <w:t xml:space="preserve"> NW, Zho</w:t>
      </w:r>
      <w:r>
        <w:rPr>
          <w:rFonts w:ascii="Times New Roman" w:eastAsia="Times New Roman" w:hAnsi="Times New Roman" w:cs="Times New Roman"/>
          <w:sz w:val="24"/>
          <w:szCs w:val="24"/>
        </w:rPr>
        <w:t>u L, Prosper O, Luo W, Floyd JR, et al. Effect of non-pharmaceutical interventions for containing the COVID-19 outbreak in China [cited 2020 Mar 24].</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rPr>
          <w:t>https://www.medrxiv.org/content/10.1101/2020.03.03. 20029843v3</w:t>
        </w:r>
      </w:hyperlink>
    </w:p>
    <w:p w:rsidR="006D4940" w:rsidRDefault="00510B14">
      <w:pPr>
        <w:spacing w:after="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for correspondence: Sang Woo Park, Department of Ecology and Evolutionary Biology, 106A Guyot Hall, Princeton University, Princ</w:t>
      </w:r>
      <w:r>
        <w:rPr>
          <w:rFonts w:ascii="Times New Roman" w:eastAsia="Times New Roman" w:hAnsi="Times New Roman" w:cs="Times New Roman"/>
          <w:sz w:val="24"/>
          <w:szCs w:val="24"/>
        </w:rPr>
        <w:t>eton, NJ 08544-2016, USA; email: swp2@princeton.edu</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Assumed incubation and generation-interval distributions.</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2205"/>
        <w:gridCol w:w="2730"/>
        <w:gridCol w:w="3075"/>
        <w:gridCol w:w="1110"/>
      </w:tblGrid>
      <w:tr w:rsidR="006D4940">
        <w:trPr>
          <w:trHeight w:val="625"/>
        </w:trPr>
        <w:tc>
          <w:tcPr>
            <w:tcW w:w="2205" w:type="dxa"/>
            <w:tcBorders>
              <w:bottom w:val="single" w:sz="8" w:space="0" w:color="000000"/>
              <w:right w:val="single" w:sz="8" w:space="0" w:color="000000"/>
            </w:tcBorders>
            <w:tcMar>
              <w:top w:w="40" w:type="dxa"/>
              <w:left w:w="120" w:type="dxa"/>
              <w:bottom w:w="100" w:type="dxa"/>
              <w:right w:w="120" w:type="dxa"/>
            </w:tcMar>
          </w:tcPr>
          <w:p w:rsidR="006D4940" w:rsidRDefault="00510B14">
            <w:pPr>
              <w:spacing w:after="160" w:line="480" w:lineRule="auto"/>
              <w:ind w:left="120"/>
              <w:rPr>
                <w:sz w:val="16"/>
                <w:szCs w:val="16"/>
              </w:rPr>
            </w:pPr>
            <w:r>
              <w:rPr>
                <w:sz w:val="16"/>
                <w:szCs w:val="16"/>
              </w:rPr>
              <w:t xml:space="preserve"> </w:t>
            </w:r>
          </w:p>
        </w:tc>
        <w:tc>
          <w:tcPr>
            <w:tcW w:w="2730" w:type="dxa"/>
            <w:tcBorders>
              <w:bottom w:val="single" w:sz="8" w:space="0" w:color="000000"/>
              <w:right w:val="single" w:sz="8" w:space="0" w:color="000000"/>
            </w:tcBorders>
            <w:tcMar>
              <w:top w:w="40" w:type="dxa"/>
              <w:left w:w="120" w:type="dxa"/>
              <w:bottom w:w="100" w:type="dxa"/>
              <w:right w:w="120" w:type="dxa"/>
            </w:tcMar>
          </w:tcPr>
          <w:p w:rsidR="006D4940" w:rsidRDefault="00510B14">
            <w:pPr>
              <w:spacing w:line="480" w:lineRule="auto"/>
              <w:ind w:left="120"/>
              <w:rPr>
                <w:sz w:val="16"/>
                <w:szCs w:val="16"/>
              </w:rPr>
            </w:pPr>
            <w:r>
              <w:rPr>
                <w:sz w:val="16"/>
                <w:szCs w:val="16"/>
              </w:rPr>
              <w:t>Parameterization</w:t>
            </w:r>
          </w:p>
        </w:tc>
        <w:tc>
          <w:tcPr>
            <w:tcW w:w="3075" w:type="dxa"/>
            <w:tcBorders>
              <w:bottom w:val="single" w:sz="8" w:space="0" w:color="000000"/>
              <w:right w:val="single" w:sz="8" w:space="0" w:color="000000"/>
            </w:tcBorders>
            <w:tcMar>
              <w:top w:w="40" w:type="dxa"/>
              <w:left w:w="120" w:type="dxa"/>
              <w:bottom w:w="100" w:type="dxa"/>
              <w:right w:w="120" w:type="dxa"/>
            </w:tcMar>
          </w:tcPr>
          <w:p w:rsidR="006D4940" w:rsidRDefault="00510B14">
            <w:pPr>
              <w:spacing w:line="480" w:lineRule="auto"/>
              <w:ind w:left="120"/>
              <w:rPr>
                <w:sz w:val="16"/>
                <w:szCs w:val="16"/>
              </w:rPr>
            </w:pPr>
            <w:r>
              <w:rPr>
                <w:sz w:val="16"/>
                <w:szCs w:val="16"/>
              </w:rPr>
              <w:t>Priors</w:t>
            </w:r>
          </w:p>
        </w:tc>
        <w:tc>
          <w:tcPr>
            <w:tcW w:w="1110" w:type="dxa"/>
            <w:tcBorders>
              <w:bottom w:val="single" w:sz="8" w:space="0" w:color="000000"/>
            </w:tcBorders>
            <w:tcMar>
              <w:top w:w="40" w:type="dxa"/>
              <w:left w:w="120" w:type="dxa"/>
              <w:bottom w:w="100" w:type="dxa"/>
              <w:right w:w="120" w:type="dxa"/>
            </w:tcMar>
          </w:tcPr>
          <w:p w:rsidR="006D4940" w:rsidRDefault="00510B14">
            <w:pPr>
              <w:spacing w:line="480" w:lineRule="auto"/>
              <w:ind w:left="120"/>
              <w:rPr>
                <w:sz w:val="16"/>
                <w:szCs w:val="16"/>
              </w:rPr>
            </w:pPr>
            <w:r>
              <w:rPr>
                <w:sz w:val="16"/>
                <w:szCs w:val="16"/>
              </w:rPr>
              <w:t>Source</w:t>
            </w:r>
          </w:p>
        </w:tc>
      </w:tr>
      <w:tr w:rsidR="006D4940">
        <w:trPr>
          <w:trHeight w:val="850"/>
        </w:trPr>
        <w:tc>
          <w:tcPr>
            <w:tcW w:w="2205" w:type="dxa"/>
            <w:tcBorders>
              <w:bottom w:val="single" w:sz="8" w:space="0" w:color="000000"/>
              <w:right w:val="single" w:sz="8" w:space="0" w:color="000000"/>
            </w:tcBorders>
            <w:tcMar>
              <w:top w:w="40" w:type="dxa"/>
              <w:left w:w="120" w:type="dxa"/>
              <w:bottom w:w="100" w:type="dxa"/>
              <w:right w:w="120" w:type="dxa"/>
            </w:tcMar>
          </w:tcPr>
          <w:p w:rsidR="006D4940" w:rsidRDefault="00510B14">
            <w:pPr>
              <w:spacing w:line="480" w:lineRule="auto"/>
              <w:ind w:left="120"/>
              <w:rPr>
                <w:sz w:val="16"/>
                <w:szCs w:val="16"/>
              </w:rPr>
            </w:pPr>
            <w:r>
              <w:rPr>
                <w:sz w:val="16"/>
                <w:szCs w:val="16"/>
              </w:rPr>
              <w:t>Incubation period distribution</w:t>
            </w:r>
          </w:p>
        </w:tc>
        <w:tc>
          <w:tcPr>
            <w:tcW w:w="2730" w:type="dxa"/>
            <w:tcBorders>
              <w:bottom w:val="single" w:sz="8" w:space="0" w:color="000000"/>
              <w:right w:val="single" w:sz="8" w:space="0" w:color="000000"/>
            </w:tcBorders>
            <w:tcMar>
              <w:top w:w="40" w:type="dxa"/>
              <w:left w:w="120" w:type="dxa"/>
              <w:bottom w:w="100" w:type="dxa"/>
              <w:right w:w="120" w:type="dxa"/>
            </w:tcMar>
          </w:tcPr>
          <w:p w:rsidR="006D4940" w:rsidRDefault="00510B14">
            <w:pPr>
              <w:spacing w:line="480" w:lineRule="auto"/>
              <w:ind w:left="120"/>
              <w:rPr>
                <w:sz w:val="16"/>
                <w:szCs w:val="16"/>
              </w:rPr>
            </w:pPr>
            <w:proofErr w:type="gramStart"/>
            <w:r>
              <w:rPr>
                <w:sz w:val="16"/>
                <w:szCs w:val="16"/>
              </w:rPr>
              <w:t>Gamma(</w:t>
            </w:r>
            <w:proofErr w:type="gramEnd"/>
            <w:r>
              <w:rPr>
                <w:i/>
                <w:sz w:val="16"/>
                <w:szCs w:val="16"/>
              </w:rPr>
              <w:t>µ</w:t>
            </w:r>
            <w:r>
              <w:rPr>
                <w:i/>
                <w:sz w:val="16"/>
                <w:szCs w:val="16"/>
                <w:vertAlign w:val="subscript"/>
              </w:rPr>
              <w:t>I</w:t>
            </w:r>
            <w:r>
              <w:rPr>
                <w:i/>
                <w:sz w:val="16"/>
                <w:szCs w:val="16"/>
              </w:rPr>
              <w:t>, µ</w:t>
            </w:r>
            <w:r>
              <w:rPr>
                <w:sz w:val="16"/>
                <w:szCs w:val="16"/>
                <w:vertAlign w:val="superscript"/>
              </w:rPr>
              <w:t>2</w:t>
            </w:r>
            <w:r>
              <w:rPr>
                <w:i/>
                <w:sz w:val="16"/>
                <w:szCs w:val="16"/>
                <w:vertAlign w:val="subscript"/>
              </w:rPr>
              <w:t>I</w:t>
            </w:r>
            <w:r>
              <w:rPr>
                <w:i/>
                <w:sz w:val="16"/>
                <w:szCs w:val="16"/>
              </w:rPr>
              <w:t>/σ</w:t>
            </w:r>
            <w:r>
              <w:rPr>
                <w:sz w:val="16"/>
                <w:szCs w:val="16"/>
                <w:vertAlign w:val="superscript"/>
              </w:rPr>
              <w:t>2</w:t>
            </w:r>
            <w:r>
              <w:rPr>
                <w:sz w:val="16"/>
                <w:szCs w:val="16"/>
              </w:rPr>
              <w:t>)</w:t>
            </w:r>
          </w:p>
        </w:tc>
        <w:tc>
          <w:tcPr>
            <w:tcW w:w="3075" w:type="dxa"/>
            <w:tcBorders>
              <w:bottom w:val="single" w:sz="8" w:space="0" w:color="000000"/>
              <w:right w:val="single" w:sz="8" w:space="0" w:color="000000"/>
            </w:tcBorders>
            <w:tcMar>
              <w:top w:w="40" w:type="dxa"/>
              <w:left w:w="120" w:type="dxa"/>
              <w:bottom w:w="100" w:type="dxa"/>
              <w:right w:w="120" w:type="dxa"/>
            </w:tcMar>
          </w:tcPr>
          <w:p w:rsidR="006D4940" w:rsidRDefault="00510B14">
            <w:pPr>
              <w:spacing w:line="480" w:lineRule="auto"/>
              <w:ind w:left="120"/>
              <w:rPr>
                <w:sz w:val="16"/>
                <w:szCs w:val="16"/>
              </w:rPr>
            </w:pPr>
            <w:r>
              <w:rPr>
                <w:i/>
                <w:sz w:val="16"/>
                <w:szCs w:val="16"/>
              </w:rPr>
              <w:t>µ</w:t>
            </w:r>
            <w:r>
              <w:rPr>
                <w:i/>
                <w:sz w:val="16"/>
                <w:szCs w:val="16"/>
                <w:vertAlign w:val="subscript"/>
              </w:rPr>
              <w:t xml:space="preserve">I </w:t>
            </w:r>
            <w:r>
              <w:rPr>
                <w:rFonts w:ascii="Gungsuh" w:eastAsia="Gungsuh" w:hAnsi="Gungsuh" w:cs="Gungsuh"/>
                <w:sz w:val="16"/>
                <w:szCs w:val="16"/>
              </w:rPr>
              <w:t>∼</w:t>
            </w:r>
            <w:r>
              <w:rPr>
                <w:sz w:val="16"/>
                <w:szCs w:val="16"/>
              </w:rPr>
              <w:t xml:space="preserve"> </w:t>
            </w:r>
            <w:proofErr w:type="gramStart"/>
            <w:r>
              <w:rPr>
                <w:sz w:val="16"/>
                <w:szCs w:val="16"/>
              </w:rPr>
              <w:t>Gamma(</w:t>
            </w:r>
            <w:proofErr w:type="gramEnd"/>
            <w:r>
              <w:rPr>
                <w:sz w:val="16"/>
                <w:szCs w:val="16"/>
              </w:rPr>
              <w:t>6</w:t>
            </w:r>
            <w:r>
              <w:rPr>
                <w:i/>
                <w:sz w:val="16"/>
                <w:szCs w:val="16"/>
              </w:rPr>
              <w:t>.</w:t>
            </w:r>
            <w:r>
              <w:rPr>
                <w:sz w:val="16"/>
                <w:szCs w:val="16"/>
              </w:rPr>
              <w:t>5 days</w:t>
            </w:r>
            <w:r>
              <w:rPr>
                <w:i/>
                <w:sz w:val="16"/>
                <w:szCs w:val="16"/>
              </w:rPr>
              <w:t xml:space="preserve">, </w:t>
            </w:r>
            <w:r>
              <w:rPr>
                <w:sz w:val="16"/>
                <w:szCs w:val="16"/>
              </w:rPr>
              <w:t>145)</w:t>
            </w:r>
          </w:p>
          <w:p w:rsidR="006D4940" w:rsidRDefault="00510B14">
            <w:pPr>
              <w:spacing w:line="480" w:lineRule="auto"/>
              <w:ind w:left="120"/>
              <w:rPr>
                <w:sz w:val="16"/>
                <w:szCs w:val="16"/>
              </w:rPr>
            </w:pPr>
            <w:r>
              <w:rPr>
                <w:i/>
                <w:sz w:val="16"/>
                <w:szCs w:val="16"/>
              </w:rPr>
              <w:t xml:space="preserve"> σ</w:t>
            </w:r>
            <w:r>
              <w:rPr>
                <w:sz w:val="16"/>
                <w:szCs w:val="16"/>
              </w:rPr>
              <w:t xml:space="preserve"> </w:t>
            </w:r>
            <w:r>
              <w:rPr>
                <w:rFonts w:ascii="Gungsuh" w:eastAsia="Gungsuh" w:hAnsi="Gungsuh" w:cs="Gungsuh"/>
                <w:sz w:val="16"/>
                <w:szCs w:val="16"/>
              </w:rPr>
              <w:t>∼</w:t>
            </w:r>
            <w:r>
              <w:rPr>
                <w:sz w:val="16"/>
                <w:szCs w:val="16"/>
              </w:rPr>
              <w:t xml:space="preserve"> </w:t>
            </w:r>
            <w:proofErr w:type="gramStart"/>
            <w:r>
              <w:rPr>
                <w:sz w:val="16"/>
                <w:szCs w:val="16"/>
              </w:rPr>
              <w:t>Gamma(</w:t>
            </w:r>
            <w:proofErr w:type="gramEnd"/>
            <w:r>
              <w:rPr>
                <w:sz w:val="16"/>
                <w:szCs w:val="16"/>
              </w:rPr>
              <w:t>2</w:t>
            </w:r>
            <w:r>
              <w:rPr>
                <w:i/>
                <w:sz w:val="16"/>
                <w:szCs w:val="16"/>
              </w:rPr>
              <w:t>.</w:t>
            </w:r>
            <w:r>
              <w:rPr>
                <w:sz w:val="16"/>
                <w:szCs w:val="16"/>
              </w:rPr>
              <w:t>6</w:t>
            </w:r>
            <w:r>
              <w:rPr>
                <w:i/>
                <w:sz w:val="16"/>
                <w:szCs w:val="16"/>
              </w:rPr>
              <w:t xml:space="preserve">, </w:t>
            </w:r>
            <w:r>
              <w:rPr>
                <w:sz w:val="16"/>
                <w:szCs w:val="16"/>
              </w:rPr>
              <w:t>25)</w:t>
            </w:r>
          </w:p>
        </w:tc>
        <w:tc>
          <w:tcPr>
            <w:tcW w:w="1110" w:type="dxa"/>
            <w:tcBorders>
              <w:bottom w:val="single" w:sz="8" w:space="0" w:color="000000"/>
            </w:tcBorders>
            <w:tcMar>
              <w:top w:w="40" w:type="dxa"/>
              <w:left w:w="120" w:type="dxa"/>
              <w:bottom w:w="100" w:type="dxa"/>
              <w:right w:w="120" w:type="dxa"/>
            </w:tcMar>
          </w:tcPr>
          <w:p w:rsidR="006D4940" w:rsidRDefault="00510B14">
            <w:pPr>
              <w:spacing w:line="480" w:lineRule="auto"/>
              <w:ind w:left="120"/>
              <w:rPr>
                <w:sz w:val="16"/>
                <w:szCs w:val="16"/>
              </w:rPr>
            </w:pPr>
            <w:r>
              <w:rPr>
                <w:sz w:val="16"/>
                <w:szCs w:val="16"/>
              </w:rPr>
              <w:t>(</w:t>
            </w:r>
            <w:r>
              <w:rPr>
                <w:i/>
                <w:sz w:val="16"/>
                <w:szCs w:val="16"/>
              </w:rPr>
              <w:t>14</w:t>
            </w:r>
            <w:r>
              <w:rPr>
                <w:sz w:val="16"/>
                <w:szCs w:val="16"/>
              </w:rPr>
              <w:t>)</w:t>
            </w:r>
          </w:p>
        </w:tc>
      </w:tr>
      <w:tr w:rsidR="006D4940">
        <w:trPr>
          <w:trHeight w:val="850"/>
        </w:trPr>
        <w:tc>
          <w:tcPr>
            <w:tcW w:w="2205" w:type="dxa"/>
            <w:tcBorders>
              <w:bottom w:val="single" w:sz="8" w:space="0" w:color="000000"/>
              <w:right w:val="single" w:sz="8" w:space="0" w:color="000000"/>
            </w:tcBorders>
            <w:tcMar>
              <w:top w:w="40" w:type="dxa"/>
              <w:left w:w="120" w:type="dxa"/>
              <w:bottom w:w="100" w:type="dxa"/>
              <w:right w:w="120" w:type="dxa"/>
            </w:tcMar>
          </w:tcPr>
          <w:p w:rsidR="006D4940" w:rsidRDefault="00510B14">
            <w:pPr>
              <w:spacing w:line="480" w:lineRule="auto"/>
              <w:ind w:left="120"/>
              <w:rPr>
                <w:sz w:val="16"/>
                <w:szCs w:val="16"/>
              </w:rPr>
            </w:pPr>
            <w:r>
              <w:rPr>
                <w:sz w:val="16"/>
                <w:szCs w:val="16"/>
              </w:rPr>
              <w:t>Generation-interval distribution</w:t>
            </w:r>
          </w:p>
        </w:tc>
        <w:tc>
          <w:tcPr>
            <w:tcW w:w="2730" w:type="dxa"/>
            <w:tcBorders>
              <w:bottom w:val="single" w:sz="8" w:space="0" w:color="000000"/>
              <w:right w:val="single" w:sz="8" w:space="0" w:color="000000"/>
            </w:tcBorders>
            <w:tcMar>
              <w:top w:w="40" w:type="dxa"/>
              <w:left w:w="120" w:type="dxa"/>
              <w:bottom w:w="100" w:type="dxa"/>
              <w:right w:w="120" w:type="dxa"/>
            </w:tcMar>
          </w:tcPr>
          <w:p w:rsidR="006D4940" w:rsidRDefault="00510B14">
            <w:pPr>
              <w:spacing w:line="480" w:lineRule="auto"/>
              <w:ind w:left="120"/>
              <w:rPr>
                <w:sz w:val="16"/>
                <w:szCs w:val="16"/>
              </w:rPr>
            </w:pPr>
            <w:proofErr w:type="spellStart"/>
            <w:proofErr w:type="gramStart"/>
            <w:r>
              <w:rPr>
                <w:sz w:val="16"/>
                <w:szCs w:val="16"/>
              </w:rPr>
              <w:t>NegativeBinomial</w:t>
            </w:r>
            <w:proofErr w:type="spellEnd"/>
            <w:r>
              <w:rPr>
                <w:sz w:val="16"/>
                <w:szCs w:val="16"/>
              </w:rPr>
              <w:t>(</w:t>
            </w:r>
            <w:proofErr w:type="gramEnd"/>
            <w:r>
              <w:rPr>
                <w:i/>
                <w:sz w:val="16"/>
                <w:szCs w:val="16"/>
              </w:rPr>
              <w:t>µ</w:t>
            </w:r>
            <w:r>
              <w:rPr>
                <w:i/>
                <w:sz w:val="16"/>
                <w:szCs w:val="16"/>
                <w:vertAlign w:val="subscript"/>
              </w:rPr>
              <w:t>G</w:t>
            </w:r>
            <w:r>
              <w:rPr>
                <w:i/>
                <w:sz w:val="16"/>
                <w:szCs w:val="16"/>
              </w:rPr>
              <w:t>, θ</w:t>
            </w:r>
            <w:r>
              <w:rPr>
                <w:sz w:val="16"/>
                <w:szCs w:val="16"/>
              </w:rPr>
              <w:t>)</w:t>
            </w:r>
          </w:p>
        </w:tc>
        <w:tc>
          <w:tcPr>
            <w:tcW w:w="3075" w:type="dxa"/>
            <w:tcBorders>
              <w:bottom w:val="single" w:sz="8" w:space="0" w:color="000000"/>
              <w:right w:val="single" w:sz="8" w:space="0" w:color="000000"/>
            </w:tcBorders>
            <w:tcMar>
              <w:top w:w="40" w:type="dxa"/>
              <w:left w:w="120" w:type="dxa"/>
              <w:bottom w:w="100" w:type="dxa"/>
              <w:right w:w="120" w:type="dxa"/>
            </w:tcMar>
          </w:tcPr>
          <w:p w:rsidR="006D4940" w:rsidRDefault="00510B14">
            <w:pPr>
              <w:spacing w:line="480" w:lineRule="auto"/>
              <w:ind w:left="120" w:right="180"/>
              <w:rPr>
                <w:sz w:val="16"/>
                <w:szCs w:val="16"/>
              </w:rPr>
            </w:pPr>
            <w:r>
              <w:rPr>
                <w:i/>
                <w:sz w:val="16"/>
                <w:szCs w:val="16"/>
              </w:rPr>
              <w:t>µ</w:t>
            </w:r>
            <w:r>
              <w:rPr>
                <w:i/>
                <w:sz w:val="16"/>
                <w:szCs w:val="16"/>
                <w:vertAlign w:val="subscript"/>
              </w:rPr>
              <w:t xml:space="preserve">G </w:t>
            </w:r>
            <w:r>
              <w:rPr>
                <w:rFonts w:ascii="Gungsuh" w:eastAsia="Gungsuh" w:hAnsi="Gungsuh" w:cs="Gungsuh"/>
                <w:sz w:val="16"/>
                <w:szCs w:val="16"/>
              </w:rPr>
              <w:t>∼</w:t>
            </w:r>
            <w:r>
              <w:rPr>
                <w:sz w:val="16"/>
                <w:szCs w:val="16"/>
              </w:rPr>
              <w:t xml:space="preserve"> </w:t>
            </w:r>
            <w:proofErr w:type="gramStart"/>
            <w:r>
              <w:rPr>
                <w:sz w:val="16"/>
                <w:szCs w:val="16"/>
              </w:rPr>
              <w:t>Gamma(</w:t>
            </w:r>
            <w:proofErr w:type="gramEnd"/>
            <w:r>
              <w:rPr>
                <w:sz w:val="16"/>
                <w:szCs w:val="16"/>
              </w:rPr>
              <w:t>5 days</w:t>
            </w:r>
            <w:r>
              <w:rPr>
                <w:i/>
                <w:sz w:val="16"/>
                <w:szCs w:val="16"/>
              </w:rPr>
              <w:t xml:space="preserve">, </w:t>
            </w:r>
            <w:r>
              <w:rPr>
                <w:sz w:val="16"/>
                <w:szCs w:val="16"/>
              </w:rPr>
              <w:t>62)</w:t>
            </w:r>
          </w:p>
          <w:p w:rsidR="006D4940" w:rsidRDefault="00510B14">
            <w:pPr>
              <w:spacing w:line="480" w:lineRule="auto"/>
              <w:ind w:left="120" w:right="180"/>
              <w:rPr>
                <w:sz w:val="16"/>
                <w:szCs w:val="16"/>
              </w:rPr>
            </w:pPr>
            <w:r>
              <w:rPr>
                <w:sz w:val="16"/>
                <w:szCs w:val="16"/>
              </w:rPr>
              <w:t xml:space="preserve"> </w:t>
            </w:r>
            <w:r>
              <w:rPr>
                <w:i/>
                <w:sz w:val="16"/>
                <w:szCs w:val="16"/>
              </w:rPr>
              <w:t>θ</w:t>
            </w:r>
            <w:r>
              <w:rPr>
                <w:sz w:val="16"/>
                <w:szCs w:val="16"/>
              </w:rPr>
              <w:t xml:space="preserve"> </w:t>
            </w:r>
            <w:r>
              <w:rPr>
                <w:rFonts w:ascii="Gungsuh" w:eastAsia="Gungsuh" w:hAnsi="Gungsuh" w:cs="Gungsuh"/>
                <w:sz w:val="16"/>
                <w:szCs w:val="16"/>
              </w:rPr>
              <w:t>∼</w:t>
            </w:r>
            <w:r>
              <w:rPr>
                <w:sz w:val="16"/>
                <w:szCs w:val="16"/>
              </w:rPr>
              <w:t xml:space="preserve"> </w:t>
            </w:r>
            <w:proofErr w:type="gramStart"/>
            <w:r>
              <w:rPr>
                <w:sz w:val="16"/>
                <w:szCs w:val="16"/>
              </w:rPr>
              <w:t>Gamma(</w:t>
            </w:r>
            <w:proofErr w:type="gramEnd"/>
            <w:r>
              <w:rPr>
                <w:sz w:val="16"/>
                <w:szCs w:val="16"/>
              </w:rPr>
              <w:t>5</w:t>
            </w:r>
            <w:r>
              <w:rPr>
                <w:i/>
                <w:sz w:val="16"/>
                <w:szCs w:val="16"/>
              </w:rPr>
              <w:t xml:space="preserve">, </w:t>
            </w:r>
            <w:r>
              <w:rPr>
                <w:sz w:val="16"/>
                <w:szCs w:val="16"/>
              </w:rPr>
              <w:t>20)</w:t>
            </w:r>
          </w:p>
        </w:tc>
        <w:tc>
          <w:tcPr>
            <w:tcW w:w="1110" w:type="dxa"/>
            <w:tcBorders>
              <w:bottom w:val="single" w:sz="8" w:space="0" w:color="000000"/>
            </w:tcBorders>
            <w:tcMar>
              <w:top w:w="40" w:type="dxa"/>
              <w:left w:w="120" w:type="dxa"/>
              <w:bottom w:w="100" w:type="dxa"/>
              <w:right w:w="120" w:type="dxa"/>
            </w:tcMar>
          </w:tcPr>
          <w:p w:rsidR="006D4940" w:rsidRDefault="00510B14">
            <w:pPr>
              <w:spacing w:line="480" w:lineRule="auto"/>
              <w:ind w:left="120"/>
              <w:rPr>
                <w:sz w:val="16"/>
                <w:szCs w:val="16"/>
              </w:rPr>
            </w:pPr>
            <w:r>
              <w:rPr>
                <w:sz w:val="16"/>
                <w:szCs w:val="16"/>
              </w:rPr>
              <w:t>(</w:t>
            </w:r>
            <w:r>
              <w:rPr>
                <w:i/>
                <w:sz w:val="16"/>
                <w:szCs w:val="16"/>
              </w:rPr>
              <w:t>15,16</w:t>
            </w:r>
            <w:r>
              <w:rPr>
                <w:sz w:val="16"/>
                <w:szCs w:val="16"/>
              </w:rPr>
              <w:t>)</w:t>
            </w:r>
          </w:p>
        </w:tc>
      </w:tr>
    </w:tbl>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*Table footnotes:</w:t>
      </w:r>
      <w:r>
        <w:rPr>
          <w:rFonts w:ascii="Times New Roman" w:eastAsia="Times New Roman" w:hAnsi="Times New Roman" w:cs="Times New Roman"/>
          <w:sz w:val="24"/>
          <w:szCs w:val="24"/>
        </w:rPr>
        <w:t xml:space="preserve"> Gamma distributions are parameterized using its mean and shape. Negative binomial distributions are parameterized using its mean a</w:t>
      </w:r>
      <w:r>
        <w:rPr>
          <w:rFonts w:ascii="Times New Roman" w:eastAsia="Times New Roman" w:hAnsi="Times New Roman" w:cs="Times New Roman"/>
          <w:sz w:val="24"/>
          <w:szCs w:val="24"/>
        </w:rPr>
        <w:t>nd dispersion. Priors are chosen such that the 95% quantiles of prior means and standard deviations are consistent with previous estimates.</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1.</w:t>
      </w:r>
      <w:r>
        <w:rPr>
          <w:rFonts w:ascii="Times New Roman" w:eastAsia="Times New Roman" w:hAnsi="Times New Roman" w:cs="Times New Roman"/>
          <w:sz w:val="24"/>
          <w:szCs w:val="24"/>
        </w:rPr>
        <w:t xml:space="preserve"> Comparison of epidemiological and traffic data from Daegu (A) and Seoul (B). Solid lines represent the d</w:t>
      </w:r>
      <w:r>
        <w:rPr>
          <w:rFonts w:ascii="Times New Roman" w:eastAsia="Times New Roman" w:hAnsi="Times New Roman" w:cs="Times New Roman"/>
          <w:sz w:val="24"/>
          <w:szCs w:val="24"/>
        </w:rPr>
        <w:t xml:space="preserve">aily metro traffic volume in 2020 (red) and mean daily metro traffic volume between 2017–2019 (black). Daily traffic from previous years have been shifted by 1–3 days to align day of the weeks. Vertical lines indicate Feb 18, 2020, when the first case was </w:t>
      </w:r>
      <w:r>
        <w:rPr>
          <w:rFonts w:ascii="Times New Roman" w:eastAsia="Times New Roman" w:hAnsi="Times New Roman" w:cs="Times New Roman"/>
          <w:sz w:val="24"/>
          <w:szCs w:val="24"/>
        </w:rPr>
        <w:t>confirmed in Daegu.</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4940" w:rsidRDefault="00510B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Comparison of reconstructed incidence and time-dependent reproduction number in Daegu (</w:t>
      </w:r>
      <w:proofErr w:type="gramStart"/>
      <w:r>
        <w:rPr>
          <w:rFonts w:ascii="Times New Roman" w:eastAsia="Times New Roman" w:hAnsi="Times New Roman" w:cs="Times New Roman"/>
          <w:sz w:val="24"/>
          <w:szCs w:val="24"/>
        </w:rPr>
        <w:t>A,C</w:t>
      </w:r>
      <w:proofErr w:type="gramEnd"/>
      <w:r>
        <w:rPr>
          <w:rFonts w:ascii="Times New Roman" w:eastAsia="Times New Roman" w:hAnsi="Times New Roman" w:cs="Times New Roman"/>
          <w:sz w:val="24"/>
          <w:szCs w:val="24"/>
        </w:rPr>
        <w:t>) and Seoul (B,D).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Black lines and gray ribbons represent the median estimates of reconstructed incidence (</w:t>
      </w:r>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 and  (C,D) and their corresponding 95% credible intervals. Bar plots show the number of reported cases. Red lines represent the normalized traffic volume. Vertical</w:t>
      </w:r>
      <w:r>
        <w:rPr>
          <w:rFonts w:ascii="Times New Roman" w:eastAsia="Times New Roman" w:hAnsi="Times New Roman" w:cs="Times New Roman"/>
          <w:sz w:val="24"/>
          <w:szCs w:val="24"/>
        </w:rPr>
        <w:t xml:space="preserve"> lines indicate Feb 18, 2020, when the first case was confirmed in Daegu.</w:t>
      </w:r>
    </w:p>
    <w:p w:rsidR="006D4940" w:rsidRDefault="006D4940"/>
    <w:sectPr w:rsidR="006D49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C1932"/>
    <w:multiLevelType w:val="multilevel"/>
    <w:tmpl w:val="8722C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940"/>
    <w:rsid w:val="0006138A"/>
    <w:rsid w:val="000947E6"/>
    <w:rsid w:val="000A2D12"/>
    <w:rsid w:val="000F4BC9"/>
    <w:rsid w:val="00232483"/>
    <w:rsid w:val="002408DB"/>
    <w:rsid w:val="00242DE8"/>
    <w:rsid w:val="002A7EAA"/>
    <w:rsid w:val="002D3516"/>
    <w:rsid w:val="002F1871"/>
    <w:rsid w:val="0032652A"/>
    <w:rsid w:val="00337AB6"/>
    <w:rsid w:val="00386DF4"/>
    <w:rsid w:val="00394AB0"/>
    <w:rsid w:val="003F6CE4"/>
    <w:rsid w:val="004037DC"/>
    <w:rsid w:val="00425904"/>
    <w:rsid w:val="0042755D"/>
    <w:rsid w:val="004639BE"/>
    <w:rsid w:val="004864F8"/>
    <w:rsid w:val="0049146C"/>
    <w:rsid w:val="004A13BB"/>
    <w:rsid w:val="004A6493"/>
    <w:rsid w:val="00510B14"/>
    <w:rsid w:val="00544400"/>
    <w:rsid w:val="005F47F9"/>
    <w:rsid w:val="00603D08"/>
    <w:rsid w:val="0063261D"/>
    <w:rsid w:val="006D4940"/>
    <w:rsid w:val="00702E47"/>
    <w:rsid w:val="00723BCD"/>
    <w:rsid w:val="0073175B"/>
    <w:rsid w:val="007707D5"/>
    <w:rsid w:val="007969CF"/>
    <w:rsid w:val="007A4970"/>
    <w:rsid w:val="007B5614"/>
    <w:rsid w:val="007E2461"/>
    <w:rsid w:val="00830903"/>
    <w:rsid w:val="00834C54"/>
    <w:rsid w:val="00847E21"/>
    <w:rsid w:val="00873939"/>
    <w:rsid w:val="00884BFF"/>
    <w:rsid w:val="0088709C"/>
    <w:rsid w:val="008B0B1E"/>
    <w:rsid w:val="008E0337"/>
    <w:rsid w:val="008E0FC0"/>
    <w:rsid w:val="00952DFB"/>
    <w:rsid w:val="0098028B"/>
    <w:rsid w:val="009B0FA4"/>
    <w:rsid w:val="009E6693"/>
    <w:rsid w:val="00A84694"/>
    <w:rsid w:val="00A86F2D"/>
    <w:rsid w:val="00AA218C"/>
    <w:rsid w:val="00AE2108"/>
    <w:rsid w:val="00AF6972"/>
    <w:rsid w:val="00B20976"/>
    <w:rsid w:val="00B63B85"/>
    <w:rsid w:val="00B65249"/>
    <w:rsid w:val="00B7069C"/>
    <w:rsid w:val="00B836C6"/>
    <w:rsid w:val="00BD4EC3"/>
    <w:rsid w:val="00C273DD"/>
    <w:rsid w:val="00C90C46"/>
    <w:rsid w:val="00CC72DB"/>
    <w:rsid w:val="00CF1706"/>
    <w:rsid w:val="00D055F0"/>
    <w:rsid w:val="00D074A5"/>
    <w:rsid w:val="00D577F1"/>
    <w:rsid w:val="00DB6416"/>
    <w:rsid w:val="00E07491"/>
    <w:rsid w:val="00E94E52"/>
    <w:rsid w:val="00EA67AD"/>
    <w:rsid w:val="00EC2D8C"/>
    <w:rsid w:val="00EE3E47"/>
    <w:rsid w:val="00F0355E"/>
    <w:rsid w:val="00F727FB"/>
    <w:rsid w:val="00F87CF7"/>
    <w:rsid w:val="00FA05EF"/>
    <w:rsid w:val="00FD06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C199379"/>
  <w15:docId w15:val="{FF11F5D5-CD9B-7A41-91D3-A91C8539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32652A"/>
    <w:rPr>
      <w:color w:val="808080"/>
    </w:rPr>
  </w:style>
  <w:style w:type="character" w:styleId="Hyperlink">
    <w:name w:val="Hyperlink"/>
    <w:basedOn w:val="DefaultParagraphFont"/>
    <w:uiPriority w:val="99"/>
    <w:unhideWhenUsed/>
    <w:rsid w:val="00B836C6"/>
    <w:rPr>
      <w:color w:val="0000FF" w:themeColor="hyperlink"/>
      <w:u w:val="single"/>
    </w:rPr>
  </w:style>
  <w:style w:type="character" w:styleId="UnresolvedMention">
    <w:name w:val="Unresolved Mention"/>
    <w:basedOn w:val="DefaultParagraphFont"/>
    <w:uiPriority w:val="99"/>
    <w:semiHidden/>
    <w:unhideWhenUsed/>
    <w:rsid w:val="00B836C6"/>
    <w:rPr>
      <w:color w:val="605E5C"/>
      <w:shd w:val="clear" w:color="auto" w:fill="E1DFDD"/>
    </w:rPr>
  </w:style>
  <w:style w:type="paragraph" w:styleId="ListParagraph">
    <w:name w:val="List Paragraph"/>
    <w:basedOn w:val="Normal"/>
    <w:uiPriority w:val="34"/>
    <w:qFormat/>
    <w:rsid w:val="00BD4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053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mperial.ac.uk/media/imperial-college/medicine/sph/ide/gida-fellowships/Imperial-College-COVID19-NPI-modelling-16-03-2020.pdf" TargetMode="External"/><Relationship Id="rId18" Type="http://schemas.openxmlformats.org/officeDocument/2006/relationships/hyperlink" Target="http://www.busan.go.kr/" TargetMode="External"/><Relationship Id="rId26" Type="http://schemas.openxmlformats.org/officeDocument/2006/relationships/hyperlink" Target="http://www.daegu.go.kr/" TargetMode="External"/><Relationship Id="rId39" Type="http://schemas.openxmlformats.org/officeDocument/2006/relationships/theme" Target="theme/theme1.xml"/><Relationship Id="rId21" Type="http://schemas.openxmlformats.org/officeDocument/2006/relationships/hyperlink" Target="https://www.gwangju.go.kr/" TargetMode="External"/><Relationship Id="rId34" Type="http://schemas.openxmlformats.org/officeDocument/2006/relationships/hyperlink" Target="https://cmmid.github.io/topics/covid19/current-patterns-transmission/global-time-varying-transmission.html" TargetMode="External"/><Relationship Id="rId7" Type="http://schemas.openxmlformats.org/officeDocument/2006/relationships/hyperlink" Target="https://www.ncbi.nlm.nih.gov/books/NBK7282/" TargetMode="External"/><Relationship Id="rId12" Type="http://schemas.openxmlformats.org/officeDocument/2006/relationships/hyperlink" Target="https://www.cdc.go.kr/board/board.es?mid=a20501000000&amp;bid=0015" TargetMode="External"/><Relationship Id="rId17" Type="http://schemas.openxmlformats.org/officeDocument/2006/relationships/hyperlink" Target="http://www.seoul.go.kr/" TargetMode="External"/><Relationship Id="rId25" Type="http://schemas.openxmlformats.org/officeDocument/2006/relationships/hyperlink" Target="https://www.gg.go.kr/" TargetMode="External"/><Relationship Id="rId33" Type="http://schemas.openxmlformats.org/officeDocument/2006/relationships/hyperlink" Target="https://www.medrxiv.org/content/10.1101/2020.03.05.20031815v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oul.go.kr/" TargetMode="External"/><Relationship Id="rId20" Type="http://schemas.openxmlformats.org/officeDocument/2006/relationships/hyperlink" Target="https://www.gwangju.go.kr/" TargetMode="External"/><Relationship Id="rId29" Type="http://schemas.openxmlformats.org/officeDocument/2006/relationships/hyperlink" Target="http://www.gyeongnam.go.kr/" TargetMode="Externa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www.cdc.go.kr/board/board.es?mid=a20501000000&amp;bid=0015" TargetMode="External"/><Relationship Id="rId24" Type="http://schemas.openxmlformats.org/officeDocument/2006/relationships/hyperlink" Target="https://www.gg.go.kr/" TargetMode="External"/><Relationship Id="rId32" Type="http://schemas.openxmlformats.org/officeDocument/2006/relationships/hyperlink" Target="https://www.medrxiv.org/content/10.1101/2020.03.05.20031815v1" TargetMode="External"/><Relationship Id="rId37" Type="http://schemas.openxmlformats.org/officeDocument/2006/relationships/hyperlink" Target="https://www.medrxiv.org/content/10.1101/2020.03.03.20029843v3" TargetMode="External"/><Relationship Id="rId5" Type="http://schemas.openxmlformats.org/officeDocument/2006/relationships/hyperlink" Target="https://github.com/parksw3/Korea-analysis" TargetMode="External"/><Relationship Id="rId15" Type="http://schemas.openxmlformats.org/officeDocument/2006/relationships/hyperlink" Target="https://www.sciencemag.org/news/2020/03/coronavirus-cases-have-dropped-sharply-south-korea-whats-secret-its-success" TargetMode="External"/><Relationship Id="rId23" Type="http://schemas.openxmlformats.org/officeDocument/2006/relationships/hyperlink" Target="https://www.ulsan.go.kr/" TargetMode="External"/><Relationship Id="rId28" Type="http://schemas.openxmlformats.org/officeDocument/2006/relationships/hyperlink" Target="http://www.gyeongnam.go.kr/" TargetMode="External"/><Relationship Id="rId36" Type="http://schemas.openxmlformats.org/officeDocument/2006/relationships/hyperlink" Target="https://www.medrxiv.org/content/10.1101/2020.03.03.20029843v3" TargetMode="External"/><Relationship Id="rId10" Type="http://schemas.openxmlformats.org/officeDocument/2006/relationships/hyperlink" Target="https://www.who.int/csr/don/05-january-2020-pneumonia-of-unkown-cause-china/en/" TargetMode="External"/><Relationship Id="rId19" Type="http://schemas.openxmlformats.org/officeDocument/2006/relationships/hyperlink" Target="http://www.busan.go.kr/" TargetMode="External"/><Relationship Id="rId31" Type="http://schemas.openxmlformats.org/officeDocument/2006/relationships/hyperlink" Target="https://www.medrxiv.org/content/10.1101/2020.03.08.20032946v1" TargetMode="External"/><Relationship Id="rId4" Type="http://schemas.openxmlformats.org/officeDocument/2006/relationships/webSettings" Target="webSettings.xml"/><Relationship Id="rId9" Type="http://schemas.openxmlformats.org/officeDocument/2006/relationships/hyperlink" Target="https://www.who.int/csr/don/05-january-2020-pneumonia-of-unkown-cause-china/en/" TargetMode="External"/><Relationship Id="rId14" Type="http://schemas.openxmlformats.org/officeDocument/2006/relationships/hyperlink" Target="https://www.sciencemag.org/news/2020/03/coronavirus-cases-have-dropped-sharply-south-korea-whats-secret-its-success" TargetMode="External"/><Relationship Id="rId22" Type="http://schemas.openxmlformats.org/officeDocument/2006/relationships/hyperlink" Target="https://www.ulsan.go.kr/" TargetMode="External"/><Relationship Id="rId27" Type="http://schemas.openxmlformats.org/officeDocument/2006/relationships/hyperlink" Target="http://www.daegu.go.kr/" TargetMode="External"/><Relationship Id="rId30" Type="http://schemas.openxmlformats.org/officeDocument/2006/relationships/hyperlink" Target="https://www.medrxiv.org/content/10.1101/2020.03.08.20032946v1" TargetMode="External"/><Relationship Id="rId35" Type="http://schemas.openxmlformats.org/officeDocument/2006/relationships/hyperlink" Target="https://cmmid.github.io/topics/covid19/current-patterns-transmission/global-time-varying-transmission.html" TargetMode="External"/><Relationship Id="rId8" Type="http://schemas.openxmlformats.org/officeDocument/2006/relationships/hyperlink" Target="https://www.ncbi.nlm.nih.gov/books/NBK728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2823</Words>
  <Characters>16094</Characters>
  <Application>Microsoft Office Word</Application>
  <DocSecurity>0</DocSecurity>
  <Lines>134</Lines>
  <Paragraphs>37</Paragraphs>
  <ScaleCrop>false</ScaleCrop>
  <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100</cp:revision>
  <dcterms:created xsi:type="dcterms:W3CDTF">2020-07-22T02:34:00Z</dcterms:created>
  <dcterms:modified xsi:type="dcterms:W3CDTF">2020-07-22T21:12:00Z</dcterms:modified>
</cp:coreProperties>
</file>