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Mobil Self-Servis Uygulaması (MSS)</w:t>
      </w:r>
    </w:p>
    <w:p>
      <w:pPr>
        <w:jc w:val="center"/>
      </w:pPr>
      <w:r>
        <w:rPr>
          <w:sz w:val="24"/>
        </w:rPr>
        <w:t>CMMI-IT-2025-014</w:t>
      </w:r>
    </w:p>
    <w:p>
      <w:pPr>
        <w:jc w:val="center"/>
      </w:pPr>
      <w:r>
        <w:rPr>
          <w:b/>
          <w:sz w:val="32"/>
        </w:rPr>
        <w:t>Technical Requirements Form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Prepared By: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Recommended By: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Approved By: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Kişi 1</w:t>
              <w:br/>
              <w:t>Proje Yöneticisi / BT Proje Ofisi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Kişi 2</w:t>
              <w:br/>
              <w:t>Yazılım Mimarı / Uygulama Geliştirme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Kişi 4</w:t>
              <w:br/>
              <w:t>Genel Müdür Yardımcısı / Dijital Kanallar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SIGNATURE: (imzalı)</w:t>
              <w:br/>
              <w:br/>
              <w:t>DATE: 15/03/2025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SIGNATURE: (imzalı)</w:t>
              <w:br/>
              <w:br/>
              <w:t>DATE: 15/03/2025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SIGNATURE: (imzalı)</w:t>
              <w:br/>
              <w:br/>
              <w:t>DATE: 15/03/2025</w:t>
            </w:r>
          </w:p>
        </w:tc>
      </w:tr>
    </w:tbl>
    <w:p/>
    <w:p>
      <w:pPr>
        <w:pStyle w:val="Heading2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VER NO.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DATE OF RELEASE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PREPARED BY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REVIEWED / APPROVED BY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LIST OF CHANGES FROM PREVIOUS VERSION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0.1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10/03/2025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İlk taslak oluşturuldu.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0.9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13/03/2025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İç gözden geçirme yorumları işlendi.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1.0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15/03/2025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Kişi 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Onaylandı ve yayımlandı (baseline).</w:t>
            </w:r>
          </w:p>
        </w:tc>
      </w:tr>
    </w:tbl>
    <w:p>
      <w:r>
        <w:br w:type="page"/>
      </w:r>
    </w:p>
    <w:p>
      <w:pPr>
        <w:pStyle w:val="Heading1"/>
      </w:pPr>
      <w:r>
        <w:t>1.0  Project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Project Name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Mobil Self-Servis Uygulaması (MSS)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Project Sponsor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Kişi 4 (Genel Müdür Yardımcısı / Dijital Kanallar)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Project Manager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Kişi 1 (Proje Yöneticisi / BT Proje Ofisi)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Target Launch Date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01/09/2025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Project Background (Description, Scope of Work)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Abonelerin fatura, paket, kullanım ve hat işlemlerini şube/çağrı merkezi ihtiyacı olmadan iOS ve Android üzerinden gerçekleştirebileceği mobil bir self-servis uygulamasının geliştirilmesi. Kapsam; üyelik ve OTP/biyometrik giriş, fatura görüntüleme ve online ödeme, tarife/paket değişikliği, kullanım sorgulama, arıza/talep kaydı ve kampanya yönetimini içerir.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Budget Constraints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Toplam onaylı bütçe 4.250.000 TL. Donanım ve lisans giderleri toplam bütçenin %35'ini aşmamalıdır; ek bütçe talebi GMY onayına tabidir.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NTT representative (when applicable)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Uygulanabilir değil (N/A)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Project Driver (Scope, Time or Cost)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Zaman (Time) – Lansmanın 01/09/2025 kampanya dönemine yetiştirilmesi önceliklidir.</w:t>
            </w:r>
          </w:p>
        </w:tc>
      </w:tr>
    </w:tbl>
    <w:p>
      <w:pPr>
        <w:pStyle w:val="Heading1"/>
      </w:pPr>
      <w:r>
        <w:t>2.0  System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Basic Functionalities (Brief description of the features and Purpose)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Üyelik ve giriş (OTP + biyometrik), fatura görüntüleme/ödeme, tarife ve paket değişikliği, kullanım (dakika/SMS/internet) sorgulama, hat işlemleri (açma/kapama, SIM değişikliği), arıza ve talep kaydı, kampanya görüntüleme/katılım, push bildirim.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A. User Interface (e.g. User Screen layout, etc)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Native iOS (Swift) ve Android (Kotlin) arayüzleri; alt sekmeli ana ekran (Ana Sayfa, Faturalarım, Paketlerim, Kullanımım, Destek). WCAG 2.1 AA erişilebilirlik ve Türkçe/İngilizce dil desteği. Kurumsal tasarım kılavuzuna uyumlu tema.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Process Flow (e.g. transaction handling, process flows, charging and rating, replies/system response)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İstemci → API Gateway (Kong) → ilgili mikroservis → CRM (CoreCRM)/Faturalama (BillingOne) entegrasyonu. Ödeme akışı PayGate sanal POS 3D Secure ile yürütülür; işlem sonucu anlık olarak kullanıcıya ve bildirim servisine iletilir.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Reports with availability, format and content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Günlük işlem hacmi, ödeme başarı oranı ve hata dağılımı raporları (PDF/Excel) BI ekibine günlük 06:00'da iletilir. Faturalama mutabakat dosyası gün sonu BillingOne'a aktarılır.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System interface requirements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CRM (CoreCRM) REST, Faturalama (BillingOne) SOAP, Ödeme (PayGate) REST, SMS Gateway (SmsGate), Kurumsal LDAP/AD, Push (FCM/APNs), Kurumsal API Gateway.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Transaction Volume – No. of traffic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Ortalama 1.200.000 işlem/gün, pik 500 işlem/sn (TPS)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Transaction Volume – No. of users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2.000.000 kayıtlı kullanıcı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Transaction Volume – No. of concurrent users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50.000 eşzamanlı kullanıcı</w:t>
            </w:r>
          </w:p>
        </w:tc>
      </w:tr>
    </w:tbl>
    <w:p>
      <w:pPr>
        <w:pStyle w:val="Heading1"/>
      </w:pPr>
      <w:r>
        <w:t>3.0  Desired Service Levels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System availability – Critical/Peak hours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18:00 – 23:00 (akşam yoğunluğu)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Critical/Peak days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Her ayın 1–10'u (fatura kesim/son ödeme dönemi)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Critical/Peak period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Lansman sonrası ilk 2 hafta ve yıl sonu kampanya dönemi (Kasım–Aralık)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Uptime period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7 x 24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Maintenance period (frequency and duration)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Ayda 1 kez, Pazar 02:00–04:00 (planlı bakım penceresi)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Response time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Kullanıcının onay/bilgilendirme mesajını alması ≤ 2 saniye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Turnaround time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Bir işlemin uçtan uca tamamlanması (ör. hat aktivasyonu) ≤ 30 saniye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Processing rate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500 işlem/saniye (TPS) sürdürülebilir kapasite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Success rate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Başarılı işlem oranı ≥ %99,5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Others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Ödeme işlemlerinde PCI-DSS uyumu; tüm trafikte TLS 1.2+ zorunludur.</w:t>
            </w:r>
          </w:p>
        </w:tc>
      </w:tr>
    </w:tbl>
    <w:p>
      <w:pPr>
        <w:pStyle w:val="Heading1"/>
      </w:pPr>
      <w:r>
        <w:t>4.0  Service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Service Flow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Kullanıcı uygulamadan kimlik doğrulaması yapar → ilgili self-servis işlemini seçer → arka uç servisleri CRM/Faturalama ile etkileşir → sonuç kullanıcıya ve bildirim kanalına iletilir → işlem CRM'de loglanır.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Service Provisioning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Paket/tarife değişiklikleri BillingOne üzerinden anlık olarak provizyonlanır; SIM ve hat işlemleri CRM iş akışları ile asenkron tamamlanır ve push bildirimle teyit edilir.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Tariff Structure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İşlem ücretsizdir; uygulama üzerinden satılan paketler güncel tarife kataloğundan alınır. Ödeme komisyonları banka/POS sağlayıcı sözleşmesine göre uygulanır.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Retention (online)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Ödeme kayıtları 1 yıl, işlem/trafik kayıtları 2 ay, oturum/güvenlik logları 6 ay çevrimiçi tutulur.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Retention (archive)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Mali kayıtlar yasal gereklilik uyarınca 10 yıl arşivde (soğuk depolama) saklanır.</w:t>
            </w:r>
          </w:p>
        </w:tc>
      </w:tr>
    </w:tbl>
    <w:p>
      <w:pPr>
        <w:pStyle w:val="Heading1"/>
      </w:pPr>
      <w:r>
        <w:t>5.0  Other Requirements</w:t>
      </w:r>
    </w:p>
    <w:p>
      <w:pPr>
        <w:pStyle w:val="ListBullet"/>
      </w:pPr>
      <w:r>
        <w:t>KVKK uyumlu açık rıza ve aydınlatma metni akışı.</w:t>
      </w:r>
    </w:p>
    <w:p>
      <w:pPr>
        <w:pStyle w:val="ListBullet"/>
      </w:pPr>
      <w:r>
        <w:t>Tüm finansal işlemler için iz kaydı (audit log) ve geri izlenebilirlik.</w:t>
      </w:r>
    </w:p>
    <w:p>
      <w:pPr>
        <w:pStyle w:val="ListBullet"/>
      </w:pPr>
      <w:r>
        <w:t>Çoklu cihaz oturum yönetimi ve uzaktan oturum sonlandırma.</w:t>
      </w:r>
    </w:p>
    <w:p>
      <w:pPr>
        <w:pStyle w:val="ListBullet"/>
      </w:pPr>
      <w:r>
        <w:t>Engelli kullanıcılar için ekran okuyucu (TalkBack/VoiceOver) uyumluluğu.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