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Mobil Self-Servis Uygulaması (MSS)</w:t>
      </w:r>
    </w:p>
    <w:p>
      <w:pPr>
        <w:jc w:val="center"/>
      </w:pPr>
      <w:r>
        <w:rPr>
          <w:sz w:val="24"/>
        </w:rPr>
        <w:t>CMMI-IT-2025-014</w:t>
      </w:r>
    </w:p>
    <w:p>
      <w:pPr>
        <w:jc w:val="center"/>
      </w:pPr>
      <w:r>
        <w:rPr>
          <w:b/>
          <w:sz w:val="32"/>
        </w:rPr>
        <w:t>System Requirements Specifications (SRS)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Prepared By:</w:t>
            </w:r>
          </w:p>
        </w:tc>
        <w:tc>
          <w:tcPr>
            <w:tcW w:type="dxa" w:w="2880"/>
          </w:tcPr>
          <w:p>
            <w:r/>
            <w:r>
              <w:rPr>
                <w:b/>
              </w:rPr>
              <w:t>Recommended By:</w:t>
            </w:r>
          </w:p>
        </w:tc>
        <w:tc>
          <w:tcPr>
            <w:tcW w:type="dxa" w:w="2880"/>
          </w:tcPr>
          <w:p>
            <w:r/>
            <w:r>
              <w:rPr>
                <w:b/>
              </w:rPr>
              <w:t>Approved By:</w:t>
            </w:r>
          </w:p>
        </w:tc>
      </w:tr>
      <w:tr>
        <w:tc>
          <w:tcPr>
            <w:tcW w:type="dxa" w:w="2880"/>
          </w:tcPr>
          <w:p>
            <w:r/>
            <w:r>
              <w:rPr>
                <w:b w:val="0"/>
              </w:rPr>
              <w:t>Kişi 6</w:t>
              <w:br/>
              <w:t>İş Analisti / Dijital Kanallar</w:t>
            </w:r>
          </w:p>
        </w:tc>
        <w:tc>
          <w:tcPr>
            <w:tcW w:type="dxa" w:w="2880"/>
          </w:tcPr>
          <w:p>
            <w:r/>
            <w:r>
              <w:rPr>
                <w:b w:val="0"/>
              </w:rPr>
              <w:t>Kişi 2</w:t>
              <w:br/>
              <w:t>Yazılım Mimarı / Uygulama Geliştirme</w:t>
            </w:r>
          </w:p>
        </w:tc>
        <w:tc>
          <w:tcPr>
            <w:tcW w:type="dxa" w:w="2880"/>
          </w:tcPr>
          <w:p>
            <w:r/>
            <w:r>
              <w:rPr>
                <w:b w:val="0"/>
              </w:rPr>
              <w:t>Kişi 1</w:t>
              <w:br/>
              <w:t>Proje Yöneticisi / BT Proje Ofisi</w:t>
            </w:r>
          </w:p>
        </w:tc>
      </w:tr>
      <w:tr>
        <w:tc>
          <w:tcPr>
            <w:tcW w:type="dxa" w:w="2880"/>
          </w:tcPr>
          <w:p>
            <w:r/>
            <w:r>
              <w:rPr>
                <w:b w:val="0"/>
              </w:rPr>
              <w:t>SIGNATURE: (imzalı)</w:t>
              <w:br/>
              <w:br/>
              <w:t>DATE: 15/03/2025</w:t>
            </w:r>
          </w:p>
        </w:tc>
        <w:tc>
          <w:tcPr>
            <w:tcW w:type="dxa" w:w="2880"/>
          </w:tcPr>
          <w:p>
            <w:r/>
            <w:r>
              <w:rPr>
                <w:b w:val="0"/>
              </w:rPr>
              <w:t>SIGNATURE: (imzalı)</w:t>
              <w:br/>
              <w:br/>
              <w:t>DATE: 15/03/2025</w:t>
            </w:r>
          </w:p>
        </w:tc>
        <w:tc>
          <w:tcPr>
            <w:tcW w:type="dxa" w:w="2880"/>
          </w:tcPr>
          <w:p>
            <w:r/>
            <w:r>
              <w:rPr>
                <w:b w:val="0"/>
              </w:rPr>
              <w:t>SIGNATURE: (imzalı)</w:t>
              <w:br/>
              <w:br/>
              <w:t>DATE: 15/03/2025</w:t>
            </w:r>
          </w:p>
        </w:tc>
      </w:tr>
    </w:tbl>
    <w:p/>
    <w:p>
      <w:pPr>
        <w:pStyle w:val="Heading2"/>
      </w:pPr>
      <w:r>
        <w:t>Revision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VER NO.</w:t>
            </w:r>
          </w:p>
        </w:tc>
        <w:tc>
          <w:tcPr>
            <w:tcW w:type="dxa" w:w="1728"/>
          </w:tcPr>
          <w:p>
            <w:r/>
            <w:r>
              <w:rPr>
                <w:b/>
              </w:rPr>
              <w:t>DATE OF RELEASE</w:t>
            </w:r>
          </w:p>
        </w:tc>
        <w:tc>
          <w:tcPr>
            <w:tcW w:type="dxa" w:w="1728"/>
          </w:tcPr>
          <w:p>
            <w:r/>
            <w:r>
              <w:rPr>
                <w:b/>
              </w:rPr>
              <w:t>PREPARED BY</w:t>
            </w:r>
          </w:p>
        </w:tc>
        <w:tc>
          <w:tcPr>
            <w:tcW w:type="dxa" w:w="1728"/>
          </w:tcPr>
          <w:p>
            <w:r/>
            <w:r>
              <w:rPr>
                <w:b/>
              </w:rPr>
              <w:t>REVIEWED / APPROVED BY</w:t>
            </w:r>
          </w:p>
        </w:tc>
        <w:tc>
          <w:tcPr>
            <w:tcW w:type="dxa" w:w="1728"/>
          </w:tcPr>
          <w:p>
            <w:r/>
            <w:r>
              <w:rPr>
                <w:b/>
              </w:rPr>
              <w:t>LIST OF CHANGES FROM PREVIOUS VERSION</w:t>
            </w:r>
          </w:p>
        </w:tc>
      </w:tr>
      <w:tr>
        <w:tc>
          <w:tcPr>
            <w:tcW w:type="dxa" w:w="1728"/>
          </w:tcPr>
          <w:p>
            <w:r/>
            <w:r>
              <w:rPr>
                <w:b w:val="0"/>
              </w:rPr>
              <w:t>0.1</w:t>
            </w:r>
          </w:p>
        </w:tc>
        <w:tc>
          <w:tcPr>
            <w:tcW w:type="dxa" w:w="1728"/>
          </w:tcPr>
          <w:p>
            <w:r/>
            <w:r>
              <w:rPr>
                <w:b w:val="0"/>
              </w:rPr>
              <w:t>10/03/2025</w:t>
            </w:r>
          </w:p>
        </w:tc>
        <w:tc>
          <w:tcPr>
            <w:tcW w:type="dxa" w:w="1728"/>
          </w:tcPr>
          <w:p>
            <w:r/>
            <w:r>
              <w:rPr>
                <w:b w:val="0"/>
              </w:rPr>
              <w:t>Kişi 1</w:t>
            </w:r>
          </w:p>
        </w:tc>
        <w:tc>
          <w:tcPr>
            <w:tcW w:type="dxa" w:w="1728"/>
          </w:tcPr>
          <w:p>
            <w:r/>
            <w:r>
              <w:rPr>
                <w:b w:val="0"/>
              </w:rPr>
              <w:t>Kişi 2</w:t>
            </w:r>
          </w:p>
        </w:tc>
        <w:tc>
          <w:tcPr>
            <w:tcW w:type="dxa" w:w="1728"/>
          </w:tcPr>
          <w:p>
            <w:r/>
            <w:r>
              <w:rPr>
                <w:b w:val="0"/>
              </w:rPr>
              <w:t>İlk taslak oluşturuldu.</w:t>
            </w:r>
          </w:p>
        </w:tc>
      </w:tr>
      <w:tr>
        <w:tc>
          <w:tcPr>
            <w:tcW w:type="dxa" w:w="1728"/>
          </w:tcPr>
          <w:p>
            <w:r/>
            <w:r>
              <w:rPr>
                <w:b w:val="0"/>
              </w:rPr>
              <w:t>0.9</w:t>
            </w:r>
          </w:p>
        </w:tc>
        <w:tc>
          <w:tcPr>
            <w:tcW w:type="dxa" w:w="1728"/>
          </w:tcPr>
          <w:p>
            <w:r/>
            <w:r>
              <w:rPr>
                <w:b w:val="0"/>
              </w:rPr>
              <w:t>13/03/2025</w:t>
            </w:r>
          </w:p>
        </w:tc>
        <w:tc>
          <w:tcPr>
            <w:tcW w:type="dxa" w:w="1728"/>
          </w:tcPr>
          <w:p>
            <w:r/>
            <w:r>
              <w:rPr>
                <w:b w:val="0"/>
              </w:rPr>
              <w:t>Kişi 1</w:t>
            </w:r>
          </w:p>
        </w:tc>
        <w:tc>
          <w:tcPr>
            <w:tcW w:type="dxa" w:w="1728"/>
          </w:tcPr>
          <w:p>
            <w:r/>
            <w:r>
              <w:rPr>
                <w:b w:val="0"/>
              </w:rPr>
              <w:t>Kişi 3</w:t>
            </w:r>
          </w:p>
        </w:tc>
        <w:tc>
          <w:tcPr>
            <w:tcW w:type="dxa" w:w="1728"/>
          </w:tcPr>
          <w:p>
            <w:r/>
            <w:r>
              <w:rPr>
                <w:b w:val="0"/>
              </w:rPr>
              <w:t>İç gözden geçirme yorumları işlendi.</w:t>
            </w:r>
          </w:p>
        </w:tc>
      </w:tr>
      <w:tr>
        <w:tc>
          <w:tcPr>
            <w:tcW w:type="dxa" w:w="1728"/>
          </w:tcPr>
          <w:p>
            <w:r/>
            <w:r>
              <w:rPr>
                <w:b w:val="0"/>
              </w:rPr>
              <w:t>1.0</w:t>
            </w:r>
          </w:p>
        </w:tc>
        <w:tc>
          <w:tcPr>
            <w:tcW w:type="dxa" w:w="1728"/>
          </w:tcPr>
          <w:p>
            <w:r/>
            <w:r>
              <w:rPr>
                <w:b w:val="0"/>
              </w:rPr>
              <w:t>15/03/2025</w:t>
            </w:r>
          </w:p>
        </w:tc>
        <w:tc>
          <w:tcPr>
            <w:tcW w:type="dxa" w:w="1728"/>
          </w:tcPr>
          <w:p>
            <w:r/>
            <w:r>
              <w:rPr>
                <w:b w:val="0"/>
              </w:rPr>
              <w:t>Kişi 1</w:t>
            </w:r>
          </w:p>
        </w:tc>
        <w:tc>
          <w:tcPr>
            <w:tcW w:type="dxa" w:w="1728"/>
          </w:tcPr>
          <w:p>
            <w:r/>
            <w:r>
              <w:rPr>
                <w:b w:val="0"/>
              </w:rPr>
              <w:t>Kişi 4</w:t>
            </w:r>
          </w:p>
        </w:tc>
        <w:tc>
          <w:tcPr>
            <w:tcW w:type="dxa" w:w="1728"/>
          </w:tcPr>
          <w:p>
            <w:r/>
            <w:r>
              <w:rPr>
                <w:b w:val="0"/>
              </w:rPr>
              <w:t>Onaylandı ve yayımlandı (baseline).</w:t>
            </w:r>
          </w:p>
        </w:tc>
      </w:tr>
    </w:tbl>
    <w:p>
      <w:r>
        <w:br w:type="page"/>
      </w:r>
    </w:p>
    <w:p>
      <w:pPr>
        <w:pStyle w:val="Heading1"/>
      </w:pPr>
      <w:r>
        <w:t>1.0  Introduction</w:t>
      </w:r>
    </w:p>
    <w:p>
      <w:pPr>
        <w:pStyle w:val="Heading2"/>
      </w:pPr>
      <w:r>
        <w:t>Purpose</w:t>
      </w:r>
    </w:p>
    <w:p>
      <w:r>
        <w:t>Bu belge, Mobil Self-Servis Uygulaması (MSS) için sistem gereksinimlerini tanımlar. Hedef kitle proje ekibi, geliştiriciler, test ekibi ve iş paydaşlarıdır. Belge, proje yaşam döngüsü boyunca (Mart–Eylül 2025) geçerlidir.</w:t>
      </w:r>
    </w:p>
    <w:p>
      <w:pPr>
        <w:pStyle w:val="Heading2"/>
      </w:pPr>
      <w:r>
        <w:t>Scope</w:t>
      </w:r>
    </w:p>
    <w:p>
      <w:r>
        <w:t>Geliştirilecek ürün: Şirket 1 MSS mobil uygulaması ve arka uç servisleri. Sistem; üyelik/giriş, fatura görüntüleme/ödeme, paket değişikliği, kullanım sorgulama, hat işlemleri, arıza/talep ve kampanya işlevlerini sağlar. Web portalı ve B2B abonelik yönetimi bu belgenin kapsamı dışındadır. Amaç; kullanıcı dostu, güvenli ve ölçeklenebilir bir self-servis deneyimi sunmaktır.</w:t>
      </w:r>
    </w:p>
    <w:p>
      <w:pPr>
        <w:pStyle w:val="Heading2"/>
      </w:pPr>
      <w:r>
        <w:t>Overview</w:t>
      </w:r>
    </w:p>
    <w:p>
      <w:r>
        <w:t>Bölüm 2 genel tanımı, Bölüm 3 donanım/yazılım/güvenlik/servis yönetimi gereksinimlerini, Bölüm 4 önceliklendirmeyi, Bölüm 5 teslimat türünü, Bölüm 6 gereksinim sayımını ve Bölüm 7 referansları içerir.</w:t>
      </w:r>
    </w:p>
    <w:p>
      <w:pPr>
        <w:pStyle w:val="Heading2"/>
      </w:pPr>
      <w:r>
        <w:t>Definition,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
              <w:rPr>
                <w:b/>
              </w:rPr>
              <w:t>Terim</w:t>
            </w:r>
          </w:p>
        </w:tc>
        <w:tc>
          <w:tcPr>
            <w:tcW w:type="dxa" w:w="4320"/>
          </w:tcPr>
          <w:p>
            <w:r/>
            <w:r>
              <w:rPr>
                <w:b/>
              </w:rPr>
              <w:t>Açıklama</w:t>
            </w:r>
          </w:p>
        </w:tc>
      </w:tr>
      <w:tr>
        <w:tc>
          <w:tcPr>
            <w:tcW w:type="dxa" w:w="4320"/>
          </w:tcPr>
          <w:p>
            <w:r/>
            <w:r>
              <w:rPr>
                <w:b w:val="0"/>
              </w:rPr>
              <w:t>MSS</w:t>
            </w:r>
          </w:p>
        </w:tc>
        <w:tc>
          <w:tcPr>
            <w:tcW w:type="dxa" w:w="4320"/>
          </w:tcPr>
          <w:p>
            <w:r/>
            <w:r>
              <w:rPr>
                <w:b w:val="0"/>
              </w:rPr>
              <w:t>Mobil Self-Servis (uygulaması)</w:t>
            </w:r>
          </w:p>
        </w:tc>
      </w:tr>
      <w:tr>
        <w:tc>
          <w:tcPr>
            <w:tcW w:type="dxa" w:w="4320"/>
          </w:tcPr>
          <w:p>
            <w:r/>
            <w:r>
              <w:rPr>
                <w:b w:val="0"/>
              </w:rPr>
              <w:t>SRS</w:t>
            </w:r>
          </w:p>
        </w:tc>
        <w:tc>
          <w:tcPr>
            <w:tcW w:type="dxa" w:w="4320"/>
          </w:tcPr>
          <w:p>
            <w:r/>
            <w:r>
              <w:rPr>
                <w:b w:val="0"/>
              </w:rPr>
              <w:t>System Requirements Specification</w:t>
            </w:r>
          </w:p>
        </w:tc>
      </w:tr>
      <w:tr>
        <w:tc>
          <w:tcPr>
            <w:tcW w:type="dxa" w:w="4320"/>
          </w:tcPr>
          <w:p>
            <w:r/>
            <w:r>
              <w:rPr>
                <w:b w:val="0"/>
              </w:rPr>
              <w:t>OTP</w:t>
            </w:r>
          </w:p>
        </w:tc>
        <w:tc>
          <w:tcPr>
            <w:tcW w:type="dxa" w:w="4320"/>
          </w:tcPr>
          <w:p>
            <w:r/>
            <w:r>
              <w:rPr>
                <w:b w:val="0"/>
              </w:rPr>
              <w:t>Tek kullanımlık şifre</w:t>
            </w:r>
          </w:p>
        </w:tc>
      </w:tr>
      <w:tr>
        <w:tc>
          <w:tcPr>
            <w:tcW w:type="dxa" w:w="4320"/>
          </w:tcPr>
          <w:p>
            <w:r/>
            <w:r>
              <w:rPr>
                <w:b w:val="0"/>
              </w:rPr>
              <w:t>JWT</w:t>
            </w:r>
          </w:p>
        </w:tc>
        <w:tc>
          <w:tcPr>
            <w:tcW w:type="dxa" w:w="4320"/>
          </w:tcPr>
          <w:p>
            <w:r/>
            <w:r>
              <w:rPr>
                <w:b w:val="0"/>
              </w:rPr>
              <w:t>JSON Web Token</w:t>
            </w:r>
          </w:p>
        </w:tc>
      </w:tr>
      <w:tr>
        <w:tc>
          <w:tcPr>
            <w:tcW w:type="dxa" w:w="4320"/>
          </w:tcPr>
          <w:p>
            <w:r/>
            <w:r>
              <w:rPr>
                <w:b w:val="0"/>
              </w:rPr>
              <w:t>DR</w:t>
            </w:r>
          </w:p>
        </w:tc>
        <w:tc>
          <w:tcPr>
            <w:tcW w:type="dxa" w:w="4320"/>
          </w:tcPr>
          <w:p>
            <w:r/>
            <w:r>
              <w:rPr>
                <w:b w:val="0"/>
              </w:rPr>
              <w:t>Felaket Kurtarma (Disaster Recovery)</w:t>
            </w:r>
          </w:p>
        </w:tc>
      </w:tr>
    </w:tbl>
    <w:p>
      <w:pPr>
        <w:pStyle w:val="Heading1"/>
      </w:pPr>
      <w:r>
        <w:t>2.0  General Description</w:t>
      </w:r>
    </w:p>
    <w:p>
      <w:pPr>
        <w:pStyle w:val="Heading2"/>
      </w:pPr>
      <w:r>
        <w:t>Product Perspective</w:t>
      </w:r>
    </w:p>
    <w:p>
      <w:r>
        <w:t>MSS, kurumsal IT mimarisinde istemci katmanı (mobil) ile arka uç servis katmanı arasında konumlanır. API Gateway üzerinden CRM, Faturalama ve Ödeme sistemleriyle entegre olan, bağımsız dağıtılabilir mikroservislerden oluşur. Daha büyük abone yönetimi ekosisteminin self-servis bileşenidir.</w:t>
      </w:r>
    </w:p>
    <w:p>
      <w:pPr>
        <w:pStyle w:val="Heading2"/>
      </w:pPr>
      <w:r>
        <w:t>Product Function</w:t>
      </w:r>
    </w:p>
    <w:p>
      <w:pPr>
        <w:pStyle w:val="ListBullet"/>
      </w:pPr>
      <w:r>
        <w:t>Üyelik ve OTP/biyometrik giriş</w:t>
      </w:r>
    </w:p>
    <w:p>
      <w:pPr>
        <w:pStyle w:val="ListBullet"/>
      </w:pPr>
      <w:r>
        <w:t>Fatura görüntüleme ve online ödeme</w:t>
      </w:r>
    </w:p>
    <w:p>
      <w:pPr>
        <w:pStyle w:val="ListBullet"/>
      </w:pPr>
      <w:r>
        <w:t>Tarife/paket görüntüleme ve değişikliği</w:t>
      </w:r>
    </w:p>
    <w:p>
      <w:pPr>
        <w:pStyle w:val="ListBullet"/>
      </w:pPr>
      <w:r>
        <w:t>Kullanım (dakika/SMS/internet) sorgulama</w:t>
      </w:r>
    </w:p>
    <w:p>
      <w:pPr>
        <w:pStyle w:val="ListBullet"/>
      </w:pPr>
      <w:r>
        <w:t>Hat işlemleri ve SIM değişikliği</w:t>
      </w:r>
    </w:p>
    <w:p>
      <w:pPr>
        <w:pStyle w:val="ListBullet"/>
      </w:pPr>
      <w:r>
        <w:t>Arıza/talep kaydı ve takibi</w:t>
      </w:r>
    </w:p>
    <w:p>
      <w:pPr>
        <w:pStyle w:val="ListBullet"/>
      </w:pPr>
      <w:r>
        <w:t>Kampanya görüntüleme ve katılım, push bildirim</w:t>
      </w:r>
    </w:p>
    <w:p>
      <w:pPr>
        <w:pStyle w:val="Heading2"/>
      </w:pPr>
      <w:r>
        <w:t>General Constraints</w:t>
      </w:r>
    </w:p>
    <w:p>
      <w:r>
        <w:t>Sistem mevcut CRM (CoreCRM) ve Faturalama (BillingOne) API sözleşmelerine uymak zorundadır; bu arayüzlerdeki değişiklikler tasarımı etkiler. Ödeme akışı PCI-DSS, kişisel veriler KVKK gerekliliklerine tabidir.</w:t>
      </w:r>
    </w:p>
    <w:p>
      <w:pPr>
        <w:pStyle w:val="Heading2"/>
      </w:pPr>
      <w:r>
        <w:t>General Assumptions</w:t>
      </w:r>
    </w:p>
    <w:p>
      <w:r>
        <w:t>Geliştirme için belirlenen sunucularda Linux (RHEL 9) işletim sisteminin hazır olacağı varsayılmıştır. CRM/Faturalama tarafından sağlanan okuma/yazma servislerinin yeniden kullanılabilir olduğu varsayılır. URS-02, URS-03 ve URS-04 gereksinimleri üçüncü taraf entegrasyon servislerine bağımlıdır.</w:t>
      </w:r>
    </w:p>
    <w:p>
      <w:pPr>
        <w:pStyle w:val="Heading2"/>
      </w:pPr>
      <w:r>
        <w:t>Requirements Elaboration / Analysis techniques</w:t>
      </w:r>
    </w:p>
    <w:tbl>
      <w:tblPr>
        <w:tblStyle w:val="TableGrid"/>
        <w:tblW w:type="auto" w:w="0"/>
        <w:tblLook w:firstColumn="1" w:firstRow="1" w:lastColumn="0" w:lastRow="0" w:noHBand="0" w:noVBand="1" w:val="04A0"/>
      </w:tblPr>
      <w:tblGrid>
        <w:gridCol w:w="4320"/>
        <w:gridCol w:w="4320"/>
      </w:tblGrid>
      <w:tr>
        <w:tc>
          <w:tcPr>
            <w:tcW w:type="dxa" w:w="4320"/>
          </w:tcPr>
          <w:p>
            <w:r/>
            <w:r>
              <w:rPr>
                <w:b/>
              </w:rPr>
              <w:t>Methods</w:t>
            </w:r>
          </w:p>
        </w:tc>
        <w:tc>
          <w:tcPr>
            <w:tcW w:type="dxa" w:w="4320"/>
          </w:tcPr>
          <w:p>
            <w:r/>
            <w:r>
              <w:rPr>
                <w:b/>
              </w:rPr>
              <w:t>Rationale</w:t>
            </w:r>
          </w:p>
        </w:tc>
      </w:tr>
      <w:tr>
        <w:tc>
          <w:tcPr>
            <w:tcW w:type="dxa" w:w="4320"/>
          </w:tcPr>
          <w:p>
            <w:r/>
            <w:r>
              <w:rPr>
                <w:b w:val="0"/>
              </w:rPr>
              <w:t>Görüşmeler / Anketler</w:t>
            </w:r>
          </w:p>
        </w:tc>
        <w:tc>
          <w:tcPr>
            <w:tcW w:type="dxa" w:w="4320"/>
          </w:tcPr>
          <w:p>
            <w:r/>
            <w:r>
              <w:rPr>
                <w:b w:val="0"/>
              </w:rPr>
              <w:t>İş birimi ihtiyaçlarını ve abone beklentilerini toplamak.</w:t>
            </w:r>
          </w:p>
        </w:tc>
      </w:tr>
      <w:tr>
        <w:tc>
          <w:tcPr>
            <w:tcW w:type="dxa" w:w="4320"/>
          </w:tcPr>
          <w:p>
            <w:r/>
            <w:r>
              <w:rPr>
                <w:b w:val="0"/>
              </w:rPr>
              <w:t>Use Cases</w:t>
            </w:r>
          </w:p>
        </w:tc>
        <w:tc>
          <w:tcPr>
            <w:tcW w:type="dxa" w:w="4320"/>
          </w:tcPr>
          <w:p>
            <w:r/>
            <w:r>
              <w:rPr>
                <w:b w:val="0"/>
              </w:rPr>
              <w:t>Sistem davranışını aktör-senaryo bazında netleştirmek.</w:t>
            </w:r>
          </w:p>
        </w:tc>
      </w:tr>
      <w:tr>
        <w:tc>
          <w:tcPr>
            <w:tcW w:type="dxa" w:w="4320"/>
          </w:tcPr>
          <w:p>
            <w:r/>
            <w:r>
              <w:rPr>
                <w:b w:val="0"/>
              </w:rPr>
              <w:t>Operasyonel Senaryolar</w:t>
            </w:r>
          </w:p>
        </w:tc>
        <w:tc>
          <w:tcPr>
            <w:tcW w:type="dxa" w:w="4320"/>
          </w:tcPr>
          <w:p>
            <w:r/>
            <w:r>
              <w:rPr>
                <w:b w:val="0"/>
              </w:rPr>
              <w:t>Uçtan uca işlem akışlarını doğrulamak.</w:t>
            </w:r>
          </w:p>
        </w:tc>
      </w:tr>
      <w:tr>
        <w:tc>
          <w:tcPr>
            <w:tcW w:type="dxa" w:w="4320"/>
          </w:tcPr>
          <w:p>
            <w:r/>
            <w:r>
              <w:rPr>
                <w:b w:val="0"/>
              </w:rPr>
              <w:t>Joint Review</w:t>
            </w:r>
          </w:p>
        </w:tc>
        <w:tc>
          <w:tcPr>
            <w:tcW w:type="dxa" w:w="4320"/>
          </w:tcPr>
          <w:p>
            <w:r/>
            <w:r>
              <w:rPr>
                <w:b w:val="0"/>
              </w:rPr>
              <w:t>Paydaşlarla ortak gözden geçirme ile gereksinimleri teyit etmek.</w:t>
            </w:r>
          </w:p>
        </w:tc>
      </w:tr>
    </w:tbl>
    <w:p>
      <w:pPr>
        <w:pStyle w:val="Heading1"/>
      </w:pPr>
      <w:r>
        <w:t>3.0  Requirements Description</w:t>
      </w:r>
    </w:p>
    <w:p>
      <w:pPr>
        <w:pStyle w:val="Heading2"/>
      </w:pPr>
      <w:r>
        <w:t>Hardware Requirements</w:t>
      </w:r>
    </w:p>
    <w:p>
      <w:pPr>
        <w:pStyle w:val="Heading3"/>
      </w:pPr>
      <w:r>
        <w:t>Hardware Platform</w:t>
      </w:r>
    </w:p>
    <w:p>
      <w:r>
        <w:t>3 adet uygulama sunucusu (16 vCPU / 64 GB RAM), 2 düğümlü PostgreSQL cluster (primary + replica), Redis önbellek düğümü ve kurumsal yük dengeleyici. Tümü kurumsal VMware sanallaştırma platformunda barındırılır.</w:t>
      </w:r>
    </w:p>
    <w:p>
      <w:pPr>
        <w:pStyle w:val="Heading3"/>
      </w:pPr>
      <w:r>
        <w:t>Hardware Constraints</w:t>
      </w:r>
    </w:p>
    <w:p>
      <w:r>
        <w:t>DMZ'de yeni servis VLAN'ı gereklidir; firewall ve WAF kuralları self-servis trafiğini kısıtlamamalıdır. Pik bant genişliği ~200 Mbps olarak planlanmalıdır.</w:t>
      </w:r>
    </w:p>
    <w:p>
      <w:pPr>
        <w:pStyle w:val="Heading2"/>
      </w:pPr>
      <w:r>
        <w:t>Software Requirements</w:t>
      </w:r>
    </w:p>
    <w:p>
      <w:pPr>
        <w:pStyle w:val="Heading3"/>
      </w:pPr>
      <w:r>
        <w:t>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Ref</w:t>
            </w:r>
          </w:p>
        </w:tc>
        <w:tc>
          <w:tcPr>
            <w:tcW w:type="dxa" w:w="2880"/>
          </w:tcPr>
          <w:p>
            <w:r/>
            <w:r>
              <w:rPr>
                <w:b/>
              </w:rPr>
              <w:t>Gereksinim</w:t>
            </w:r>
          </w:p>
        </w:tc>
        <w:tc>
          <w:tcPr>
            <w:tcW w:type="dxa" w:w="2880"/>
          </w:tcPr>
          <w:p>
            <w:r/>
            <w:r>
              <w:rPr>
                <w:b/>
              </w:rPr>
              <w:t>Açıklama</w:t>
            </w:r>
          </w:p>
        </w:tc>
      </w:tr>
      <w:tr>
        <w:tc>
          <w:tcPr>
            <w:tcW w:type="dxa" w:w="2880"/>
          </w:tcPr>
          <w:p>
            <w:r/>
            <w:r>
              <w:rPr>
                <w:b w:val="0"/>
              </w:rPr>
              <w:t>FR-01</w:t>
            </w:r>
          </w:p>
        </w:tc>
        <w:tc>
          <w:tcPr>
            <w:tcW w:type="dxa" w:w="2880"/>
          </w:tcPr>
          <w:p>
            <w:r/>
            <w:r>
              <w:rPr>
                <w:b w:val="0"/>
              </w:rPr>
              <w:t>Kimlik doğrulama</w:t>
            </w:r>
          </w:p>
        </w:tc>
        <w:tc>
          <w:tcPr>
            <w:tcW w:type="dxa" w:w="2880"/>
          </w:tcPr>
          <w:p>
            <w:r/>
            <w:r>
              <w:rPr>
                <w:b w:val="0"/>
              </w:rPr>
              <w:t>Kullanıcı OTP veya biyometrik ile güvenli giriş yapabilmelidir.</w:t>
            </w:r>
          </w:p>
        </w:tc>
      </w:tr>
      <w:tr>
        <w:tc>
          <w:tcPr>
            <w:tcW w:type="dxa" w:w="2880"/>
          </w:tcPr>
          <w:p>
            <w:r/>
            <w:r>
              <w:rPr>
                <w:b w:val="0"/>
              </w:rPr>
              <w:t>FR-02</w:t>
            </w:r>
          </w:p>
        </w:tc>
        <w:tc>
          <w:tcPr>
            <w:tcW w:type="dxa" w:w="2880"/>
          </w:tcPr>
          <w:p>
            <w:r/>
            <w:r>
              <w:rPr>
                <w:b w:val="0"/>
              </w:rPr>
              <w:t>Fatura ödeme</w:t>
            </w:r>
          </w:p>
        </w:tc>
        <w:tc>
          <w:tcPr>
            <w:tcW w:type="dxa" w:w="2880"/>
          </w:tcPr>
          <w:p>
            <w:r/>
            <w:r>
              <w:rPr>
                <w:b w:val="0"/>
              </w:rPr>
              <w:t>Kullanıcı güncel faturasını 3D Secure ile ödeyebilmelidir.</w:t>
            </w:r>
          </w:p>
        </w:tc>
      </w:tr>
      <w:tr>
        <w:tc>
          <w:tcPr>
            <w:tcW w:type="dxa" w:w="2880"/>
          </w:tcPr>
          <w:p>
            <w:r/>
            <w:r>
              <w:rPr>
                <w:b w:val="0"/>
              </w:rPr>
              <w:t>FR-03</w:t>
            </w:r>
          </w:p>
        </w:tc>
        <w:tc>
          <w:tcPr>
            <w:tcW w:type="dxa" w:w="2880"/>
          </w:tcPr>
          <w:p>
            <w:r/>
            <w:r>
              <w:rPr>
                <w:b w:val="0"/>
              </w:rPr>
              <w:t>Paket değişimi</w:t>
            </w:r>
          </w:p>
        </w:tc>
        <w:tc>
          <w:tcPr>
            <w:tcW w:type="dxa" w:w="2880"/>
          </w:tcPr>
          <w:p>
            <w:r/>
            <w:r>
              <w:rPr>
                <w:b w:val="0"/>
              </w:rPr>
              <w:t>Kullanıcı uygun paketleri görüp anlık geçiş yapabilmelidir.</w:t>
            </w:r>
          </w:p>
        </w:tc>
      </w:tr>
      <w:tr>
        <w:tc>
          <w:tcPr>
            <w:tcW w:type="dxa" w:w="2880"/>
          </w:tcPr>
          <w:p>
            <w:r/>
            <w:r>
              <w:rPr>
                <w:b w:val="0"/>
              </w:rPr>
              <w:t>FR-04</w:t>
            </w:r>
          </w:p>
        </w:tc>
        <w:tc>
          <w:tcPr>
            <w:tcW w:type="dxa" w:w="2880"/>
          </w:tcPr>
          <w:p>
            <w:r/>
            <w:r>
              <w:rPr>
                <w:b w:val="0"/>
              </w:rPr>
              <w:t>Kullanım sorgulama</w:t>
            </w:r>
          </w:p>
        </w:tc>
        <w:tc>
          <w:tcPr>
            <w:tcW w:type="dxa" w:w="2880"/>
          </w:tcPr>
          <w:p>
            <w:r/>
            <w:r>
              <w:rPr>
                <w:b w:val="0"/>
              </w:rPr>
              <w:t>Kalan dakika/SMS/internet anlık görüntülenmelidir.</w:t>
            </w:r>
          </w:p>
        </w:tc>
      </w:tr>
      <w:tr>
        <w:tc>
          <w:tcPr>
            <w:tcW w:type="dxa" w:w="2880"/>
          </w:tcPr>
          <w:p>
            <w:r/>
            <w:r>
              <w:rPr>
                <w:b w:val="0"/>
              </w:rPr>
              <w:t>FR-05</w:t>
            </w:r>
          </w:p>
        </w:tc>
        <w:tc>
          <w:tcPr>
            <w:tcW w:type="dxa" w:w="2880"/>
          </w:tcPr>
          <w:p>
            <w:r/>
            <w:r>
              <w:rPr>
                <w:b w:val="0"/>
              </w:rPr>
              <w:t>Talep kaydı</w:t>
            </w:r>
          </w:p>
        </w:tc>
        <w:tc>
          <w:tcPr>
            <w:tcW w:type="dxa" w:w="2880"/>
          </w:tcPr>
          <w:p>
            <w:r/>
            <w:r>
              <w:rPr>
                <w:b w:val="0"/>
              </w:rPr>
              <w:t>Kullanıcı arıza/talep oluşturup durumunu takip edebilmelidir.</w:t>
            </w:r>
          </w:p>
        </w:tc>
      </w:tr>
    </w:tbl>
    <w:p>
      <w:pPr>
        <w:pStyle w:val="Heading3"/>
      </w:pPr>
      <w:r>
        <w:t>Performance Requirements</w:t>
      </w:r>
    </w:p>
    <w:p>
      <w:r>
        <w:t>Sistem 500 TPS, 50.000 eşzamanlı kullanıcı ve ≤2 sn yanıt süresini karşılamalıdır. Uygulama çok iş parçacıklı ve yatay ölçeklenebilir olmalı, tek düğüm arızasında kesintisiz hizmet (redundancy) sağlanmalıdır.</w:t>
      </w:r>
    </w:p>
    <w:p>
      <w:pPr>
        <w:pStyle w:val="Heading3"/>
      </w:pPr>
      <w:r>
        <w:t>Interface with Other Applications</w:t>
      </w:r>
    </w:p>
    <w:p>
      <w:r>
        <w:t>CRM (CoreCRM REST), Faturalama (BillingOne SOAP), Ödeme (PayGate REST), SMS Gateway (SmsGate), AD/LDAP, FCM/APNs. Her arayüz için güvenlik düzeyi mTLS/OAuth2 ile belirlenmiştir; arayüz kontrol dokümanı (ICD-MSS-2025) referans alınır.</w:t>
      </w:r>
    </w:p>
    <w:p>
      <w:pPr>
        <w:pStyle w:val="Heading3"/>
      </w:pPr>
      <w:r>
        <w:t>Operating System</w:t>
      </w:r>
    </w:p>
    <w:p>
      <w:r>
        <w:t>Sunucu tarafı: Red Hat Enterprise Linux 9.3. İstemci: iOS 15+ ve Android 10+.</w:t>
      </w:r>
    </w:p>
    <w:p>
      <w:pPr>
        <w:pStyle w:val="Heading3"/>
      </w:pPr>
      <w:r>
        <w:t>Databases</w:t>
      </w:r>
    </w:p>
    <w:p>
      <w:r>
        <w:t>PostgreSQL 15 (işlemsel veri), Redis 7 (önbellek/oturum). PostgreSQL ilişkisel bütünlük, ACID uyumu ve yüksek erişilebilirlik (streaming replication) nedeniyle seçilmiştir.</w:t>
      </w:r>
    </w:p>
    <w:p>
      <w:pPr>
        <w:pStyle w:val="Heading2"/>
      </w:pPr>
      <w:r>
        <w:t>Security Requirements</w:t>
      </w:r>
    </w:p>
    <w:p>
      <w:pPr>
        <w:pStyle w:val="ListBullet"/>
      </w:pPr>
      <w:r>
        <w:t>OAuth2/JWT kimlik doğrulama ve rol tabanlı yetkilendirme.</w:t>
      </w:r>
    </w:p>
    <w:p>
      <w:pPr>
        <w:pStyle w:val="ListBullet"/>
      </w:pPr>
      <w:r>
        <w:t>Beklemede AES-256, iletimde TLS 1.2+ şifreleme.</w:t>
      </w:r>
    </w:p>
    <w:p>
      <w:pPr>
        <w:pStyle w:val="ListBullet"/>
      </w:pPr>
      <w:r>
        <w:t>Ödeme verilerinde tokenizasyon ve PCI-DSS uyumu.</w:t>
      </w:r>
    </w:p>
    <w:p>
      <w:pPr>
        <w:pStyle w:val="ListBullet"/>
      </w:pPr>
      <w:r>
        <w:t>Tüm finansal işlemlerde denetim kaydı (audit log).</w:t>
      </w:r>
    </w:p>
    <w:p>
      <w:pPr>
        <w:pStyle w:val="Heading2"/>
      </w:pPr>
      <w:r>
        <w:t>Service Management Requirements</w:t>
      </w:r>
    </w:p>
    <w:tbl>
      <w:tblPr>
        <w:tblStyle w:val="TableGrid"/>
        <w:tblW w:type="auto" w:w="0"/>
        <w:tblLook w:firstColumn="1" w:firstRow="1" w:lastColumn="0" w:lastRow="0" w:noHBand="0" w:noVBand="1" w:val="04A0"/>
      </w:tblPr>
      <w:tblGrid>
        <w:gridCol w:w="4320"/>
        <w:gridCol w:w="4320"/>
      </w:tblGrid>
      <w:tr>
        <w:tc>
          <w:tcPr>
            <w:tcW w:type="dxa" w:w="4320"/>
          </w:tcPr>
          <w:p>
            <w:r/>
            <w:r>
              <w:rPr>
                <w:b/>
              </w:rPr>
              <w:t>Service Level Requirement</w:t>
            </w:r>
          </w:p>
        </w:tc>
        <w:tc>
          <w:tcPr>
            <w:tcW w:type="dxa" w:w="4320"/>
          </w:tcPr>
          <w:p>
            <w:r/>
            <w:r>
              <w:rPr>
                <w:b/>
              </w:rPr>
              <w:t>%99,9 erişilebilirlik, ≤2 sn yanıt</w:t>
            </w:r>
          </w:p>
        </w:tc>
      </w:tr>
      <w:tr>
        <w:tc>
          <w:tcPr>
            <w:tcW w:type="dxa" w:w="4320"/>
          </w:tcPr>
          <w:p>
            <w:r/>
            <w:r>
              <w:rPr>
                <w:b w:val="0"/>
              </w:rPr>
              <w:t>Capacity Requirement</w:t>
            </w:r>
          </w:p>
        </w:tc>
        <w:tc>
          <w:tcPr>
            <w:tcW w:type="dxa" w:w="4320"/>
          </w:tcPr>
          <w:p>
            <w:r/>
            <w:r>
              <w:rPr>
                <w:b w:val="0"/>
              </w:rPr>
              <w:t>500 TPS, 50.000 eşzamanlı kullanıcı</w:t>
            </w:r>
          </w:p>
        </w:tc>
      </w:tr>
      <w:tr>
        <w:tc>
          <w:tcPr>
            <w:tcW w:type="dxa" w:w="4320"/>
          </w:tcPr>
          <w:p>
            <w:r/>
            <w:r>
              <w:rPr>
                <w:b w:val="0"/>
              </w:rPr>
              <w:t>Availability Requirement</w:t>
            </w:r>
          </w:p>
        </w:tc>
        <w:tc>
          <w:tcPr>
            <w:tcW w:type="dxa" w:w="4320"/>
          </w:tcPr>
          <w:p>
            <w:r/>
            <w:r>
              <w:rPr>
                <w:b w:val="0"/>
              </w:rPr>
              <w:t>7x24, planlı bakım Pazar 02:00–04:00</w:t>
            </w:r>
          </w:p>
        </w:tc>
      </w:tr>
      <w:tr>
        <w:tc>
          <w:tcPr>
            <w:tcW w:type="dxa" w:w="4320"/>
          </w:tcPr>
          <w:p>
            <w:r/>
            <w:r>
              <w:rPr>
                <w:b w:val="0"/>
              </w:rPr>
              <w:t>Service Continuity Requirement</w:t>
            </w:r>
          </w:p>
        </w:tc>
        <w:tc>
          <w:tcPr>
            <w:tcW w:type="dxa" w:w="4320"/>
          </w:tcPr>
          <w:p>
            <w:r/>
            <w:r>
              <w:rPr>
                <w:b w:val="0"/>
              </w:rPr>
              <w:t>Aktif-pasif DR; RPO ≤15 dk, RTO ≤2 saat</w:t>
            </w:r>
          </w:p>
        </w:tc>
      </w:tr>
      <w:tr>
        <w:tc>
          <w:tcPr>
            <w:tcW w:type="dxa" w:w="4320"/>
          </w:tcPr>
          <w:p>
            <w:r/>
            <w:r>
              <w:rPr>
                <w:b w:val="0"/>
              </w:rPr>
              <w:t>Service Support Requirement</w:t>
            </w:r>
          </w:p>
        </w:tc>
        <w:tc>
          <w:tcPr>
            <w:tcW w:type="dxa" w:w="4320"/>
          </w:tcPr>
          <w:p>
            <w:r/>
            <w:r>
              <w:rPr>
                <w:b w:val="0"/>
              </w:rPr>
              <w:t>L1 Servis Masası, L2 Uygulama Destek, L3 Geliştirme; kritik olaylarda 30 dk içinde eskalasyon</w:t>
            </w:r>
          </w:p>
        </w:tc>
      </w:tr>
    </w:tbl>
    <w:p>
      <w:pPr>
        <w:pStyle w:val="Heading2"/>
      </w:pPr>
      <w:r>
        <w:t>User Interface</w:t>
      </w:r>
    </w:p>
    <w:p>
      <w:r>
        <w:t>Alt sekmeli navigasyon, kurumsal tema, ≤2 sn ekran geçişi. Türkçe/İngilizce dil ve ekran okuyucu desteği. Kritik işlemlerde onay diyaloğu ve geri bildirim sunulur.</w:t>
      </w:r>
    </w:p>
    <w:p>
      <w:pPr>
        <w:pStyle w:val="Heading3"/>
      </w:pPr>
      <w:r>
        <w:t>Error Messages</w:t>
      </w:r>
    </w:p>
    <w:p>
      <w:r>
        <w:t>Hata mesajları kullanıcı dostu, anlaşılır ve eyleme yönlendirici olmalı; teknik ayrıntılar yalnızca log'a yazılmalıdır. Geçersiz işlemlerde sistem güvenli şekilde reddedip kullanıcıyı bilgilendirmelidir.</w:t>
      </w:r>
    </w:p>
    <w:p>
      <w:pPr>
        <w:pStyle w:val="Heading2"/>
      </w:pPr>
      <w:r>
        <w:t>Exception Handling</w:t>
      </w:r>
    </w:p>
    <w:p>
      <w:r>
        <w:t>Entegrasyon zaman aşımı, ödeme reddi ve oturum sonlanması gibi tüm geçersiz durumlar yakalanır; işlem geri alınır (rollback) ve kullanıcıya tutarlı durum gösterilir. Devre kesici (circuit breaker) ile bağımlı servis arızaları izole edilir.</w:t>
      </w:r>
    </w:p>
    <w:p>
      <w:pPr>
        <w:pStyle w:val="Heading2"/>
      </w:pPr>
      <w:r>
        <w:t>Support Requirements</w:t>
      </w:r>
    </w:p>
    <w:tbl>
      <w:tblPr>
        <w:tblStyle w:val="TableGrid"/>
        <w:tblW w:type="auto" w:w="0"/>
        <w:tblLook w:firstColumn="1" w:firstRow="1" w:lastColumn="0" w:lastRow="0" w:noHBand="0" w:noVBand="1" w:val="04A0"/>
      </w:tblPr>
      <w:tblGrid>
        <w:gridCol w:w="4320"/>
        <w:gridCol w:w="4320"/>
      </w:tblGrid>
      <w:tr>
        <w:tc>
          <w:tcPr>
            <w:tcW w:type="dxa" w:w="4320"/>
          </w:tcPr>
          <w:p>
            <w:r/>
            <w:r>
              <w:rPr>
                <w:b/>
              </w:rPr>
              <w:t>Operational Requirement</w:t>
            </w:r>
          </w:p>
        </w:tc>
        <w:tc>
          <w:tcPr>
            <w:tcW w:type="dxa" w:w="4320"/>
          </w:tcPr>
          <w:p>
            <w:r/>
            <w:r>
              <w:rPr>
                <w:b/>
              </w:rPr>
              <w:t>7x24 izleme (Prometheus/Grafana), otomatik alarm.</w:t>
            </w:r>
          </w:p>
        </w:tc>
      </w:tr>
      <w:tr>
        <w:tc>
          <w:tcPr>
            <w:tcW w:type="dxa" w:w="4320"/>
          </w:tcPr>
          <w:p>
            <w:r/>
            <w:r>
              <w:rPr>
                <w:b w:val="0"/>
              </w:rPr>
              <w:t>Reporting</w:t>
            </w:r>
          </w:p>
        </w:tc>
        <w:tc>
          <w:tcPr>
            <w:tcW w:type="dxa" w:w="4320"/>
          </w:tcPr>
          <w:p>
            <w:r/>
            <w:r>
              <w:rPr>
                <w:b w:val="0"/>
              </w:rPr>
              <w:t>Günlük işlem/ödeme/hata raporları BI ekibine iletilir.</w:t>
            </w:r>
          </w:p>
        </w:tc>
      </w:tr>
      <w:tr>
        <w:tc>
          <w:tcPr>
            <w:tcW w:type="dxa" w:w="4320"/>
          </w:tcPr>
          <w:p>
            <w:r/>
            <w:r>
              <w:rPr>
                <w:b w:val="0"/>
              </w:rPr>
              <w:t>Others</w:t>
            </w:r>
          </w:p>
        </w:tc>
        <w:tc>
          <w:tcPr>
            <w:tcW w:type="dxa" w:w="4320"/>
          </w:tcPr>
          <w:p>
            <w:r/>
            <w:r>
              <w:rPr>
                <w:b w:val="0"/>
              </w:rPr>
              <w:t>Sürüm notları ve operasyon kılavuzu her dağıtımda güncellenir.</w:t>
            </w:r>
          </w:p>
        </w:tc>
      </w:tr>
    </w:tbl>
    <w:p>
      <w:pPr>
        <w:pStyle w:val="Heading2"/>
      </w:pPr>
      <w:r>
        <w:t>Foreseeable Modifications and Enhancements</w:t>
      </w:r>
    </w:p>
    <w:p>
      <w:r>
        <w:t>Gelecekte e-cüzdan, sadakat puanı, web self-servis portalı ve yapay zeka destekli sohbet asistanı eklenebilir; mimari modüler ve eklenti dostu tasarlanmıştır.</w:t>
      </w:r>
    </w:p>
    <w:p>
      <w:pPr>
        <w:pStyle w:val="Heading1"/>
      </w:pPr>
      <w:r>
        <w:t>4.0  Priority of Implementation</w:t>
      </w:r>
    </w:p>
    <w:p>
      <w:r>
        <w:t>Öncelik 1 (lansman): üyelik/giriş, fatura görüntüleme/ödeme, kullanım sorgulama. Öncelik 2: paket değişimi, talep kaydı. Öncelik 3: kampanya katılımı. Öncelikli işlevler tahsilat ve müşteri yükü azaltma açısından kritiktir.</w:t>
      </w:r>
    </w:p>
    <w:p>
      <w:pPr>
        <w:pStyle w:val="Heading1"/>
      </w:pPr>
      <w:r>
        <w:t>5.0  Type of Delivery</w:t>
      </w:r>
    </w:p>
    <w:p>
      <w:r>
        <w:t>Teslimatlar: App Store ve Google Play üzerinden yayımlanan mobil uygulama paketleri (IPA/AAB), arka uç için konteyner imajları (Docker), kaynak kod deposu, kurulum ve operasyon kılavuzları.</w:t>
      </w:r>
    </w:p>
    <w:p>
      <w:pPr>
        <w:pStyle w:val="Heading1"/>
      </w:pPr>
      <w:r>
        <w:t>6.0  Requirements Count</w:t>
      </w:r>
    </w:p>
    <w:tbl>
      <w:tblPr>
        <w:tblStyle w:val="TableGrid"/>
        <w:tblW w:type="auto" w:w="0"/>
        <w:tblLook w:firstColumn="1" w:firstRow="1" w:lastColumn="0" w:lastRow="0" w:noHBand="0" w:noVBand="1" w:val="04A0"/>
      </w:tblPr>
      <w:tblGrid>
        <w:gridCol w:w="4320"/>
        <w:gridCol w:w="4320"/>
      </w:tblGrid>
      <w:tr>
        <w:tc>
          <w:tcPr>
            <w:tcW w:type="dxa" w:w="4320"/>
          </w:tcPr>
          <w:p>
            <w:r/>
            <w:r>
              <w:rPr>
                <w:b/>
              </w:rPr>
              <w:t>Type of Requirement</w:t>
            </w:r>
          </w:p>
        </w:tc>
        <w:tc>
          <w:tcPr>
            <w:tcW w:type="dxa" w:w="4320"/>
          </w:tcPr>
          <w:p>
            <w:r/>
            <w:r>
              <w:rPr>
                <w:b/>
              </w:rPr>
              <w:t>No of requirements</w:t>
            </w:r>
          </w:p>
        </w:tc>
      </w:tr>
      <w:tr>
        <w:tc>
          <w:tcPr>
            <w:tcW w:type="dxa" w:w="4320"/>
          </w:tcPr>
          <w:p>
            <w:r/>
            <w:r>
              <w:rPr>
                <w:b w:val="0"/>
              </w:rPr>
              <w:t>Functional Requirements</w:t>
            </w:r>
          </w:p>
        </w:tc>
        <w:tc>
          <w:tcPr>
            <w:tcW w:type="dxa" w:w="4320"/>
          </w:tcPr>
          <w:p>
            <w:r/>
            <w:r>
              <w:rPr>
                <w:b w:val="0"/>
              </w:rPr>
              <w:t>32</w:t>
            </w:r>
          </w:p>
        </w:tc>
      </w:tr>
      <w:tr>
        <w:tc>
          <w:tcPr>
            <w:tcW w:type="dxa" w:w="4320"/>
          </w:tcPr>
          <w:p>
            <w:r/>
            <w:r>
              <w:rPr>
                <w:b w:val="0"/>
              </w:rPr>
              <w:t>No of User Inputs</w:t>
            </w:r>
          </w:p>
        </w:tc>
        <w:tc>
          <w:tcPr>
            <w:tcW w:type="dxa" w:w="4320"/>
          </w:tcPr>
          <w:p>
            <w:r/>
            <w:r>
              <w:rPr>
                <w:b w:val="0"/>
              </w:rPr>
              <w:t>18</w:t>
            </w:r>
          </w:p>
        </w:tc>
      </w:tr>
      <w:tr>
        <w:tc>
          <w:tcPr>
            <w:tcW w:type="dxa" w:w="4320"/>
          </w:tcPr>
          <w:p>
            <w:r/>
            <w:r>
              <w:rPr>
                <w:b w:val="0"/>
              </w:rPr>
              <w:t>No of User Outputs</w:t>
            </w:r>
          </w:p>
        </w:tc>
        <w:tc>
          <w:tcPr>
            <w:tcW w:type="dxa" w:w="4320"/>
          </w:tcPr>
          <w:p>
            <w:r/>
            <w:r>
              <w:rPr>
                <w:b w:val="0"/>
              </w:rPr>
              <w:t>14</w:t>
            </w:r>
          </w:p>
        </w:tc>
      </w:tr>
      <w:tr>
        <w:tc>
          <w:tcPr>
            <w:tcW w:type="dxa" w:w="4320"/>
          </w:tcPr>
          <w:p>
            <w:r/>
            <w:r>
              <w:rPr>
                <w:b w:val="0"/>
              </w:rPr>
              <w:t>No of User Enquiries</w:t>
            </w:r>
          </w:p>
        </w:tc>
        <w:tc>
          <w:tcPr>
            <w:tcW w:type="dxa" w:w="4320"/>
          </w:tcPr>
          <w:p>
            <w:r/>
            <w:r>
              <w:rPr>
                <w:b w:val="0"/>
              </w:rPr>
              <w:t>9</w:t>
            </w:r>
          </w:p>
        </w:tc>
      </w:tr>
      <w:tr>
        <w:tc>
          <w:tcPr>
            <w:tcW w:type="dxa" w:w="4320"/>
          </w:tcPr>
          <w:p>
            <w:r/>
            <w:r>
              <w:rPr>
                <w:b w:val="0"/>
              </w:rPr>
              <w:t>No of exception handling requirements</w:t>
            </w:r>
          </w:p>
        </w:tc>
        <w:tc>
          <w:tcPr>
            <w:tcW w:type="dxa" w:w="4320"/>
          </w:tcPr>
          <w:p>
            <w:r/>
            <w:r>
              <w:rPr>
                <w:b w:val="0"/>
              </w:rPr>
              <w:t>11</w:t>
            </w:r>
          </w:p>
        </w:tc>
      </w:tr>
      <w:tr>
        <w:tc>
          <w:tcPr>
            <w:tcW w:type="dxa" w:w="4320"/>
          </w:tcPr>
          <w:p>
            <w:r/>
            <w:r>
              <w:rPr>
                <w:b w:val="0"/>
              </w:rPr>
              <w:t>Hardware requirement</w:t>
            </w:r>
          </w:p>
        </w:tc>
        <w:tc>
          <w:tcPr>
            <w:tcW w:type="dxa" w:w="4320"/>
          </w:tcPr>
          <w:p>
            <w:r/>
            <w:r>
              <w:rPr>
                <w:b w:val="0"/>
              </w:rPr>
              <w:t>1</w:t>
            </w:r>
          </w:p>
        </w:tc>
      </w:tr>
      <w:tr>
        <w:tc>
          <w:tcPr>
            <w:tcW w:type="dxa" w:w="4320"/>
          </w:tcPr>
          <w:p>
            <w:r/>
            <w:r>
              <w:rPr>
                <w:b w:val="0"/>
              </w:rPr>
              <w:t>Security requirements</w:t>
            </w:r>
          </w:p>
        </w:tc>
        <w:tc>
          <w:tcPr>
            <w:tcW w:type="dxa" w:w="4320"/>
          </w:tcPr>
          <w:p>
            <w:r/>
            <w:r>
              <w:rPr>
                <w:b w:val="0"/>
              </w:rPr>
              <w:t>8</w:t>
            </w:r>
          </w:p>
        </w:tc>
      </w:tr>
      <w:tr>
        <w:tc>
          <w:tcPr>
            <w:tcW w:type="dxa" w:w="4320"/>
          </w:tcPr>
          <w:p>
            <w:r/>
            <w:r>
              <w:rPr>
                <w:b w:val="0"/>
              </w:rPr>
              <w:t>User interfaces (screens)</w:t>
            </w:r>
          </w:p>
        </w:tc>
        <w:tc>
          <w:tcPr>
            <w:tcW w:type="dxa" w:w="4320"/>
          </w:tcPr>
          <w:p>
            <w:r/>
            <w:r>
              <w:rPr>
                <w:b w:val="0"/>
              </w:rPr>
              <w:t>21</w:t>
            </w:r>
          </w:p>
        </w:tc>
      </w:tr>
      <w:tr>
        <w:tc>
          <w:tcPr>
            <w:tcW w:type="dxa" w:w="4320"/>
          </w:tcPr>
          <w:p>
            <w:r/>
            <w:r>
              <w:rPr>
                <w:b w:val="0"/>
              </w:rPr>
              <w:t>No of external interfaces</w:t>
            </w:r>
          </w:p>
        </w:tc>
        <w:tc>
          <w:tcPr>
            <w:tcW w:type="dxa" w:w="4320"/>
          </w:tcPr>
          <w:p>
            <w:r/>
            <w:r>
              <w:rPr>
                <w:b w:val="0"/>
              </w:rPr>
              <w:t>6</w:t>
            </w:r>
          </w:p>
        </w:tc>
      </w:tr>
      <w:tr>
        <w:tc>
          <w:tcPr>
            <w:tcW w:type="dxa" w:w="4320"/>
          </w:tcPr>
          <w:p>
            <w:r/>
            <w:r>
              <w:rPr>
                <w:b w:val="0"/>
              </w:rPr>
              <w:t>No of reports</w:t>
            </w:r>
          </w:p>
        </w:tc>
        <w:tc>
          <w:tcPr>
            <w:tcW w:type="dxa" w:w="4320"/>
          </w:tcPr>
          <w:p>
            <w:r/>
            <w:r>
              <w:rPr>
                <w:b w:val="0"/>
              </w:rPr>
              <w:t>4</w:t>
            </w:r>
          </w:p>
        </w:tc>
      </w:tr>
    </w:tbl>
    <w:p>
      <w:pPr>
        <w:pStyle w:val="Heading1"/>
      </w:pPr>
      <w:r>
        <w:t>7.0  References</w:t>
      </w:r>
    </w:p>
    <w:p>
      <w:pPr>
        <w:pStyle w:val="ListBullet"/>
      </w:pPr>
      <w:r>
        <w:t>BUR – Business User Requirements (CMMI-IT-004), v1.0</w:t>
      </w:r>
    </w:p>
    <w:p>
      <w:pPr>
        <w:pStyle w:val="ListBullet"/>
      </w:pPr>
      <w:r>
        <w:t>TRF – Technical Requirements Form (CMMI-IT-001), v1.0</w:t>
      </w:r>
    </w:p>
    <w:p>
      <w:pPr>
        <w:pStyle w:val="ListBullet"/>
      </w:pPr>
      <w:r>
        <w:t>Technical Recommendation (CMMI-IT-002), v1.0</w:t>
      </w:r>
    </w:p>
    <w:p>
      <w:pPr>
        <w:pStyle w:val="ListBullet"/>
      </w:pPr>
      <w:r>
        <w:t>ICD-MSS-2025 – Arayüz Kontrol Dokümanı, v0.9</w:t>
      </w:r>
    </w:p>
    <w:p>
      <w:pPr>
        <w:pStyle w:val="ListBullet"/>
      </w:pPr>
      <w:r>
        <w:t>İzlenebilirlik Matrisi: MSS-Traceability-Matrix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