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 Gereksinim Spesifikasyonu (SRS) - Mobil Self-Servis</w:t>
      </w:r>
    </w:p>
    <w:p>
      <w:r>
        <w:t>Mobil Self-Servis Uygulaması (MSS)</w:t>
      </w:r>
    </w:p>
    <w:p>
      <w:r>
        <w:t>CMMI-IT-2025-014</w:t>
      </w:r>
    </w:p>
    <w:p>
      <w:r>
        <w:t>System Requirements Specifications (SRS) — TASLAK / DRAFT v0.9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By:</w:t>
            </w:r>
          </w:p>
        </w:tc>
        <w:tc>
          <w:tcPr>
            <w:tcW w:type="dxa" w:w="2880"/>
          </w:tcPr>
          <w:p>
            <w:r>
              <w:t>Recommended By:</w:t>
            </w:r>
          </w:p>
        </w:tc>
        <w:tc>
          <w:tcPr>
            <w:tcW w:type="dxa" w:w="2880"/>
          </w:tcPr>
          <w:p>
            <w:r>
              <w:t>Approved By: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 NO.</w:t>
            </w:r>
          </w:p>
        </w:tc>
        <w:tc>
          <w:tcPr>
            <w:tcW w:type="dxa" w:w="1728"/>
          </w:tcPr>
          <w:p>
            <w:r>
              <w:t>DATE OF RELEASE</w:t>
            </w:r>
          </w:p>
        </w:tc>
        <w:tc>
          <w:tcPr>
            <w:tcW w:type="dxa" w:w="1728"/>
          </w:tcPr>
          <w:p>
            <w:r>
              <w:t>PREPARED BY</w:t>
            </w:r>
          </w:p>
        </w:tc>
        <w:tc>
          <w:tcPr>
            <w:tcW w:type="dxa" w:w="1728"/>
          </w:tcPr>
          <w:p>
            <w:r>
              <w:t>REVIEWED / APPROVED BY</w:t>
            </w:r>
          </w:p>
        </w:tc>
        <w:tc>
          <w:tcPr>
            <w:tcW w:type="dxa" w:w="1728"/>
          </w:tcPr>
          <w:p>
            <w:r>
              <w:t>LIST OF CHANGES FROM PREVIOUS VERSION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10/03/2025</w:t>
            </w:r>
          </w:p>
        </w:tc>
        <w:tc>
          <w:tcPr>
            <w:tcW w:type="dxa" w:w="1728"/>
          </w:tcPr>
          <w:p>
            <w:r>
              <w:t>Kişi 1</w:t>
            </w:r>
          </w:p>
        </w:tc>
        <w:tc>
          <w:tcPr>
            <w:tcW w:type="dxa" w:w="1728"/>
          </w:tcPr>
          <w:p>
            <w:r>
              <w:t>Kişi 2</w:t>
            </w:r>
          </w:p>
        </w:tc>
        <w:tc>
          <w:tcPr>
            <w:tcW w:type="dxa" w:w="1728"/>
          </w:tcPr>
          <w:p>
            <w:r>
              <w:t>İlk taslak oluşturuldu.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12/03/2025</w:t>
            </w:r>
          </w:p>
        </w:tc>
        <w:tc>
          <w:tcPr>
            <w:tcW w:type="dxa" w:w="1728"/>
          </w:tcPr>
          <w:p>
            <w:r>
              <w:t>Kişi 1</w:t>
            </w:r>
          </w:p>
        </w:tc>
        <w:tc>
          <w:tcPr>
            <w:tcW w:type="dxa" w:w="1728"/>
          </w:tcPr>
          <w:p>
            <w:r>
              <w:t>Kişi 3</w:t>
            </w:r>
          </w:p>
        </w:tc>
        <w:tc>
          <w:tcPr>
            <w:tcW w:type="dxa" w:w="1728"/>
          </w:tcPr>
          <w:p>
            <w:r>
              <w:t>Bölümler dolduruldu.</w:t>
            </w:r>
          </w:p>
        </w:tc>
      </w:tr>
      <w:tr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14/03/2025</w:t>
            </w:r>
          </w:p>
        </w:tc>
        <w:tc>
          <w:tcPr>
            <w:tcW w:type="dxa" w:w="1728"/>
          </w:tcPr>
          <w:p>
            <w:r>
              <w:t>Kişi 1</w:t>
            </w:r>
          </w:p>
        </w:tc>
        <w:tc>
          <w:tcPr>
            <w:tcW w:type="dxa" w:w="1728"/>
          </w:tcPr>
          <w:p>
            <w:r>
              <w:t>Kişi 3</w:t>
            </w:r>
          </w:p>
        </w:tc>
        <w:tc>
          <w:tcPr>
            <w:tcW w:type="dxa" w:w="1728"/>
          </w:tcPr>
          <w:p>
            <w:r>
              <w:t>İç gözden geçirmeye hazır.</w:t>
            </w:r>
          </w:p>
        </w:tc>
      </w:tr>
    </w:tbl>
    <w:p>
      <w:pPr>
        <w:pStyle w:val="Heading1"/>
      </w:pPr>
      <w:r>
        <w:t>1.0 Introduction</w:t>
      </w:r>
    </w:p>
    <w:p>
      <w:r>
        <w:t>Purpose | Bu belge, Mobil Self-Servis Uygulaması (MSS) için sistem gereksinimlerini tanımlar. Hedef kitle proje ekibi ve geliştiricilerdir.</w:t>
      </w:r>
    </w:p>
    <w:p>
      <w:pPr>
        <w:pStyle w:val="Heading1"/>
      </w:pPr>
      <w:r>
        <w:t>Scope</w:t>
      </w:r>
    </w:p>
    <w:p>
      <w:r>
        <w:t>Sistem; üyelik/giriş, fatura görüntüleme/ödeme, paket değişikliği ve kullanım sorgulama işlevlerini sağlar. Amaç kullanıcı dostu bir self-servis deneyimi sunmaktır.</w:t>
      </w:r>
    </w:p>
    <w:p>
      <w:pPr>
        <w:pStyle w:val="Heading1"/>
      </w:pPr>
      <w:r>
        <w:t>Functional Requirements</w:t>
      </w:r>
    </w:p>
    <w:p>
      <w:r>
        <w:t>FR-01 | Kimlik doğrulama | Kullanıcı OTP ile giriş yapabilmelidir.</w:t>
      </w:r>
    </w:p>
    <w:p>
      <w:r>
        <w:t>FR-02 | Fatura ödeme | Kullanıcı faturasını ödeyebilmelidir.</w:t>
      </w:r>
    </w:p>
    <w:p>
      <w:r>
        <w:t>FR-03 | Paket değişimi | Kullanıcı paket değiştirebilmelidir.</w:t>
      </w:r>
    </w:p>
    <w:p>
      <w:r>
        <w:t>FR-04 | Kullanım sorgulama | Kalan kullanım görüntülenebilmelidir.</w:t>
      </w:r>
    </w:p>
    <w:p>
      <w:r>
        <w:t>FR-05 | Talep kaydı | Kullanıcı talep oluşturabilmelidir.</w:t>
      </w:r>
    </w:p>
    <w:p>
      <w:pPr>
        <w:pStyle w:val="Heading1"/>
      </w:pPr>
      <w:r>
        <w:t>Performance Requirements</w:t>
      </w:r>
    </w:p>
    <w:p>
      <w:r>
        <w:t>Sistem yeterince hızlı olmalı ve çok sayıda kullanıcıyı aynı anda desteklemelidir. Yanıt süreleri kabul edilebilir düzeyde tutulmalıdır.</w:t>
      </w:r>
    </w:p>
    <w:p>
      <w:pPr>
        <w:pStyle w:val="Heading1"/>
      </w:pPr>
      <w:r>
        <w:t>Security Requirements</w:t>
      </w:r>
    </w:p>
    <w:p>
      <w:r>
        <w:t>Kullanıcılar OTP ile kimlik doğrulaması yapar. Yetkilendirme rol tabanlıdır ve yalnızca yetkili kullanıcılar işlem yapabilir.</w:t>
      </w:r>
    </w:p>
    <w:p>
      <w:pPr>
        <w:pStyle w:val="Heading1"/>
      </w:pPr>
      <w:r>
        <w:t>Service Management Requirements</w:t>
      </w:r>
    </w:p>
    <w:p>
      <w:r>
        <w:t>Sistem yüksek erişilebilirlik sağlamalı ve bir kesinti durumunda makul bir sürede yeniden hizmete alınabilmelidir.</w:t>
      </w:r>
    </w:p>
    <w:p>
      <w:pPr>
        <w:pStyle w:val="Heading1"/>
      </w:pPr>
      <w:r>
        <w:t>Error Messages and Exception Handling</w:t>
      </w:r>
    </w:p>
    <w:p>
      <w:r>
        <w:t>Geçersiz veya hatalı işlemlerde sistem işlemi güvenli şekilde reddeder, yapılan değişiklikleri geri alır (rollback) ve kullanıcıya anlaşılır bir hata mesajı ile tutarlı durumu bildirir.</w:t>
      </w:r>
    </w:p>
    <w:p>
      <w:pPr>
        <w:pStyle w:val="Heading1"/>
      </w:pPr>
      <w:r>
        <w:t>7.0 References</w:t>
      </w:r>
    </w:p>
    <w:p>
      <w:r>
        <w:t>BUR – Business User Requirements (CMMI-IT-004), v1.0</w:t>
      </w:r>
    </w:p>
    <w:p>
      <w:r>
        <w:t>TRF – Technical Requirements Form (CMMI-IT-001),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