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617A9" w14:textId="77777777" w:rsidR="004A4030" w:rsidRPr="008B7747" w:rsidRDefault="004A4030" w:rsidP="004A40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7747">
        <w:rPr>
          <w:rFonts w:ascii="Arial" w:hAnsi="Arial" w:cs="Arial"/>
          <w:b/>
          <w:bCs/>
          <w:sz w:val="28"/>
          <w:szCs w:val="28"/>
        </w:rPr>
        <w:t>Early Indicators of Covid 19 Updates in 14 States of United States</w:t>
      </w:r>
    </w:p>
    <w:p w14:paraId="6A965954" w14:textId="77777777" w:rsidR="004A4030" w:rsidRPr="008B7747" w:rsidRDefault="004A4030" w:rsidP="004A40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7747">
        <w:rPr>
          <w:rFonts w:ascii="Arial" w:hAnsi="Arial" w:cs="Arial"/>
          <w:b/>
          <w:bCs/>
          <w:sz w:val="28"/>
          <w:szCs w:val="28"/>
        </w:rPr>
        <w:t>Group 3: Pam, Makhi and Parmeet</w:t>
      </w:r>
    </w:p>
    <w:p w14:paraId="4242A68D" w14:textId="2A8F9F63" w:rsidR="004A4030" w:rsidRPr="008B7747" w:rsidRDefault="004A403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B7747">
        <w:rPr>
          <w:rFonts w:ascii="Arial" w:hAnsi="Arial" w:cs="Arial"/>
          <w:b/>
          <w:bCs/>
          <w:sz w:val="28"/>
          <w:szCs w:val="28"/>
          <w:u w:val="single"/>
        </w:rPr>
        <w:t>Obeservations and Analysis</w:t>
      </w:r>
    </w:p>
    <w:p w14:paraId="20A0C572" w14:textId="77777777" w:rsidR="004A4030" w:rsidRPr="008B7747" w:rsidRDefault="004A403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F1C664E" w14:textId="3E308CAC" w:rsidR="004A4030" w:rsidRPr="008B7747" w:rsidRDefault="004A4030">
      <w:p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>COVID-NET is a population-based surveillance system. Population-based surveillance is the active collection, analysis, and interpretation of data on a population in a specified geographic area.</w:t>
      </w:r>
    </w:p>
    <w:p w14:paraId="2F434605" w14:textId="77777777" w:rsidR="00C56012" w:rsidRPr="008B7747" w:rsidRDefault="00C56012" w:rsidP="00C56012">
      <w:p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>Tracking COVID-19-associated hospitalization rates helps public health professionals understand trends in virus circulation, estimate disease burden, and respond to outbreaks. Hospitalization rates are updated weekly on the COVID-NET Interactive Data Dashboard. Collecting demographic and more detailed clinical information, including underlying conditions, allows CDC to better understand COVID-19-associated hospitalization trends and determine who is most at risk.</w:t>
      </w:r>
    </w:p>
    <w:p w14:paraId="70590EC4" w14:textId="7083E0C9" w:rsidR="00C56012" w:rsidRPr="008B7747" w:rsidRDefault="00C56012" w:rsidP="00C56012">
      <w:p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>Hospitalization rates show how many people in the surveillance area are hospitalized with COVID-19, compared to the total number of people residing in that area.</w:t>
      </w:r>
    </w:p>
    <w:p w14:paraId="623E6EE6" w14:textId="59BC1BA7" w:rsidR="00C25CFF" w:rsidRPr="008B7747" w:rsidRDefault="001C52CC" w:rsidP="00C56012">
      <w:p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>The participating states are California, Colorado, Connecticut, Georgia, Maryland, Michigan, Minnesota, New Mexico, New York, Ohio, Oregon, Tennessee, and Utah.</w:t>
      </w:r>
    </w:p>
    <w:p w14:paraId="12582DAB" w14:textId="75ED20C0" w:rsidR="001C52CC" w:rsidRPr="008B7747" w:rsidRDefault="004807AA" w:rsidP="00241E4E">
      <w:pPr>
        <w:rPr>
          <w:rFonts w:ascii="Arial" w:hAnsi="Arial" w:cs="Arial"/>
          <w:b/>
          <w:bCs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 xml:space="preserve">The data was read and converted to </w:t>
      </w:r>
      <w:proofErr w:type="spellStart"/>
      <w:r w:rsidR="00241E4E" w:rsidRPr="008B7747">
        <w:rPr>
          <w:rFonts w:ascii="Arial" w:hAnsi="Arial" w:cs="Arial"/>
          <w:sz w:val="28"/>
          <w:szCs w:val="28"/>
        </w:rPr>
        <w:t>dataframe</w:t>
      </w:r>
      <w:proofErr w:type="spellEnd"/>
      <w:r w:rsidR="00241E4E" w:rsidRPr="008B7747">
        <w:rPr>
          <w:rFonts w:ascii="Arial" w:hAnsi="Arial" w:cs="Arial"/>
          <w:sz w:val="28"/>
          <w:szCs w:val="28"/>
        </w:rPr>
        <w:t xml:space="preserve"> by following Index </w:t>
      </w:r>
      <w:proofErr w:type="spellStart"/>
      <w:r w:rsidR="00241E4E" w:rsidRPr="008B7747">
        <w:rPr>
          <w:rFonts w:ascii="Arial" w:hAnsi="Arial" w:cs="Arial"/>
          <w:sz w:val="28"/>
          <w:szCs w:val="28"/>
        </w:rPr>
        <w:t>Index</w:t>
      </w:r>
      <w:proofErr w:type="spellEnd"/>
      <w:r w:rsidR="00241E4E" w:rsidRPr="008B7747">
        <w:rPr>
          <w:rFonts w:ascii="Arial" w:hAnsi="Arial" w:cs="Arial"/>
          <w:sz w:val="28"/>
          <w:szCs w:val="28"/>
        </w:rPr>
        <w:t xml:space="preserve">: </w:t>
      </w:r>
      <w:r w:rsidR="00241E4E" w:rsidRPr="008B7747">
        <w:rPr>
          <w:rFonts w:ascii="Arial" w:hAnsi="Arial" w:cs="Arial"/>
          <w:b/>
          <w:bCs/>
          <w:sz w:val="28"/>
          <w:szCs w:val="28"/>
        </w:rPr>
        <w:t>State, Season</w:t>
      </w:r>
      <w:r w:rsidR="00241E4E" w:rsidRPr="008B7747">
        <w:rPr>
          <w:rFonts w:ascii="Arial" w:hAnsi="Arial" w:cs="Arial"/>
          <w:b/>
          <w:bCs/>
          <w:sz w:val="28"/>
          <w:szCs w:val="28"/>
        </w:rPr>
        <w:t>,</w:t>
      </w:r>
      <w:r w:rsidR="00053BD4" w:rsidRPr="008B774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241E4E" w:rsidRPr="008B7747">
        <w:rPr>
          <w:rFonts w:ascii="Arial" w:hAnsi="Arial" w:cs="Arial"/>
          <w:b/>
          <w:bCs/>
          <w:sz w:val="28"/>
          <w:szCs w:val="28"/>
        </w:rPr>
        <w:t>WeekendDate</w:t>
      </w:r>
      <w:proofErr w:type="spellEnd"/>
      <w:r w:rsidR="00FD4E71" w:rsidRPr="008B7747">
        <w:rPr>
          <w:rFonts w:ascii="Arial" w:hAnsi="Arial" w:cs="Arial"/>
          <w:b/>
          <w:bCs/>
          <w:sz w:val="28"/>
          <w:szCs w:val="28"/>
        </w:rPr>
        <w:t xml:space="preserve">, </w:t>
      </w:r>
      <w:r w:rsidR="00241E4E" w:rsidRPr="008B774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41E4E" w:rsidRPr="008B7747">
        <w:rPr>
          <w:rFonts w:ascii="Arial" w:hAnsi="Arial" w:cs="Arial"/>
          <w:b/>
          <w:bCs/>
          <w:sz w:val="28"/>
          <w:szCs w:val="28"/>
        </w:rPr>
        <w:t>AgeCategory</w:t>
      </w:r>
      <w:proofErr w:type="gramEnd"/>
      <w:r w:rsidR="00241E4E" w:rsidRPr="008B7747">
        <w:rPr>
          <w:rFonts w:ascii="Arial" w:hAnsi="Arial" w:cs="Arial"/>
          <w:b/>
          <w:bCs/>
          <w:sz w:val="28"/>
          <w:szCs w:val="28"/>
        </w:rPr>
        <w:t>_Legend</w:t>
      </w:r>
      <w:proofErr w:type="spellEnd"/>
      <w:r w:rsidR="00241E4E" w:rsidRPr="008B7747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241E4E" w:rsidRPr="008B7747">
        <w:rPr>
          <w:rFonts w:ascii="Arial" w:hAnsi="Arial" w:cs="Arial"/>
          <w:b/>
          <w:bCs/>
          <w:sz w:val="28"/>
          <w:szCs w:val="28"/>
        </w:rPr>
        <w:t>Sex_Label</w:t>
      </w:r>
      <w:proofErr w:type="spellEnd"/>
      <w:r w:rsidR="00241E4E" w:rsidRPr="008B7747">
        <w:rPr>
          <w:rFonts w:ascii="Arial" w:hAnsi="Arial" w:cs="Arial"/>
          <w:b/>
          <w:bCs/>
          <w:sz w:val="28"/>
          <w:szCs w:val="28"/>
        </w:rPr>
        <w:t>,</w:t>
      </w:r>
      <w:r w:rsidR="00053BD4" w:rsidRPr="008B774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41E4E" w:rsidRPr="008B7747">
        <w:rPr>
          <w:rFonts w:ascii="Arial" w:hAnsi="Arial" w:cs="Arial"/>
          <w:b/>
          <w:bCs/>
          <w:sz w:val="28"/>
          <w:szCs w:val="28"/>
        </w:rPr>
        <w:t>Race_Label</w:t>
      </w:r>
      <w:proofErr w:type="spellEnd"/>
      <w:r w:rsidR="00191F70" w:rsidRPr="008B7747">
        <w:rPr>
          <w:rFonts w:ascii="Arial" w:hAnsi="Arial" w:cs="Arial"/>
          <w:b/>
          <w:bCs/>
          <w:sz w:val="28"/>
          <w:szCs w:val="28"/>
        </w:rPr>
        <w:t xml:space="preserve">, </w:t>
      </w:r>
      <w:r w:rsidR="00241E4E" w:rsidRPr="008B7747">
        <w:rPr>
          <w:rFonts w:ascii="Arial" w:hAnsi="Arial" w:cs="Arial"/>
          <w:b/>
          <w:bCs/>
          <w:sz w:val="28"/>
          <w:szCs w:val="28"/>
        </w:rPr>
        <w:t xml:space="preserve"> Type</w:t>
      </w:r>
      <w:r w:rsidR="00191F70" w:rsidRPr="008B7747">
        <w:rPr>
          <w:rFonts w:ascii="Arial" w:hAnsi="Arial" w:cs="Arial"/>
          <w:b/>
          <w:bCs/>
          <w:sz w:val="28"/>
          <w:szCs w:val="28"/>
        </w:rPr>
        <w:t>,</w:t>
      </w:r>
      <w:r w:rsidR="00241E4E" w:rsidRPr="008B774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41E4E" w:rsidRPr="008B7747">
        <w:rPr>
          <w:rFonts w:ascii="Arial" w:hAnsi="Arial" w:cs="Arial"/>
          <w:b/>
          <w:bCs/>
          <w:sz w:val="28"/>
          <w:szCs w:val="28"/>
        </w:rPr>
        <w:t>WeeklyRate</w:t>
      </w:r>
      <w:proofErr w:type="spellEnd"/>
      <w:r w:rsidR="00241E4E" w:rsidRPr="008B7747">
        <w:rPr>
          <w:rFonts w:ascii="Arial" w:hAnsi="Arial" w:cs="Arial"/>
          <w:b/>
          <w:bCs/>
          <w:sz w:val="28"/>
          <w:szCs w:val="28"/>
        </w:rPr>
        <w:t>,</w:t>
      </w:r>
      <w:r w:rsidR="004645C2" w:rsidRPr="008B774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41E4E" w:rsidRPr="008B7747">
        <w:rPr>
          <w:rFonts w:ascii="Arial" w:hAnsi="Arial" w:cs="Arial"/>
          <w:b/>
          <w:bCs/>
          <w:sz w:val="28"/>
          <w:szCs w:val="28"/>
        </w:rPr>
        <w:t>CumulativeRate</w:t>
      </w:r>
      <w:proofErr w:type="spellEnd"/>
    </w:p>
    <w:p w14:paraId="2CBFE702" w14:textId="2633D5A7" w:rsidR="00BB410F" w:rsidRPr="008B7747" w:rsidRDefault="001A742A" w:rsidP="00241E4E">
      <w:pPr>
        <w:rPr>
          <w:rFonts w:ascii="Arial" w:hAnsi="Arial" w:cs="Arial"/>
          <w:b/>
          <w:bCs/>
          <w:sz w:val="28"/>
          <w:szCs w:val="28"/>
        </w:rPr>
      </w:pPr>
      <w:r w:rsidRPr="008B7747">
        <w:rPr>
          <w:rFonts w:ascii="Arial" w:hAnsi="Arial" w:cs="Arial"/>
          <w:b/>
          <w:bCs/>
          <w:sz w:val="28"/>
          <w:szCs w:val="28"/>
        </w:rPr>
        <w:t>OBSERVATIONS FROM BAR GRAPH</w:t>
      </w:r>
    </w:p>
    <w:p w14:paraId="495DA247" w14:textId="77777777" w:rsidR="00933298" w:rsidRPr="008B7747" w:rsidRDefault="001A742A" w:rsidP="001A742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 xml:space="preserve">Bar graph </w:t>
      </w:r>
      <w:r w:rsidR="00412F54" w:rsidRPr="008B7747">
        <w:rPr>
          <w:rFonts w:ascii="Arial" w:hAnsi="Arial" w:cs="Arial"/>
          <w:sz w:val="28"/>
          <w:szCs w:val="28"/>
        </w:rPr>
        <w:t xml:space="preserve">for states </w:t>
      </w:r>
      <w:r w:rsidR="00DF7EFF" w:rsidRPr="008B7747">
        <w:rPr>
          <w:rFonts w:ascii="Arial" w:hAnsi="Arial" w:cs="Arial"/>
          <w:sz w:val="28"/>
          <w:szCs w:val="28"/>
        </w:rPr>
        <w:t>for covid 19 cases had similar cases except Iowa</w:t>
      </w:r>
      <w:r w:rsidR="00947F89" w:rsidRPr="008B7747">
        <w:rPr>
          <w:rFonts w:ascii="Arial" w:hAnsi="Arial" w:cs="Arial"/>
          <w:sz w:val="28"/>
          <w:szCs w:val="28"/>
        </w:rPr>
        <w:t xml:space="preserve"> with lower cas</w:t>
      </w:r>
      <w:r w:rsidR="00F52F53" w:rsidRPr="008B7747">
        <w:rPr>
          <w:rFonts w:ascii="Arial" w:hAnsi="Arial" w:cs="Arial"/>
          <w:sz w:val="28"/>
          <w:szCs w:val="28"/>
        </w:rPr>
        <w:t xml:space="preserve">es. </w:t>
      </w:r>
      <w:r w:rsidR="009D79F7" w:rsidRPr="008B7747">
        <w:rPr>
          <w:rFonts w:ascii="Arial" w:hAnsi="Arial" w:cs="Arial"/>
          <w:sz w:val="28"/>
          <w:szCs w:val="28"/>
        </w:rPr>
        <w:t xml:space="preserve">COVID-NET collects surveillance data on laboratory-confirmed, COVID-19-associated hospitalizations among children and adults. Data </w:t>
      </w:r>
      <w:proofErr w:type="gramStart"/>
      <w:r w:rsidR="009D79F7" w:rsidRPr="008B7747">
        <w:rPr>
          <w:rFonts w:ascii="Arial" w:hAnsi="Arial" w:cs="Arial"/>
          <w:sz w:val="28"/>
          <w:szCs w:val="28"/>
        </w:rPr>
        <w:t>are</w:t>
      </w:r>
      <w:proofErr w:type="gramEnd"/>
      <w:r w:rsidR="009D79F7" w:rsidRPr="008B7747">
        <w:rPr>
          <w:rFonts w:ascii="Arial" w:hAnsi="Arial" w:cs="Arial"/>
          <w:sz w:val="28"/>
          <w:szCs w:val="28"/>
        </w:rPr>
        <w:t xml:space="preserve"> collected and reported from a network of sites in acute-care hospitals across 98 counties in 13 states.</w:t>
      </w:r>
    </w:p>
    <w:p w14:paraId="708C07F2" w14:textId="551E0EC4" w:rsidR="00011349" w:rsidRPr="008B7747" w:rsidRDefault="00011349" w:rsidP="0001134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lastRenderedPageBreak/>
        <w:t xml:space="preserve">When we looked upon the season from 2019 to 2024 the highest cases were reported in 2020-21 with decreasing trend from 2021-24. The lowest cases reported in 2019-20 may be due to onset of disease and unawareness during that </w:t>
      </w:r>
      <w:proofErr w:type="gramStart"/>
      <w:r w:rsidRPr="008B7747">
        <w:rPr>
          <w:rFonts w:ascii="Arial" w:hAnsi="Arial" w:cs="Arial"/>
          <w:sz w:val="28"/>
          <w:szCs w:val="28"/>
        </w:rPr>
        <w:t>time period</w:t>
      </w:r>
      <w:proofErr w:type="gramEnd"/>
    </w:p>
    <w:p w14:paraId="4404ED30" w14:textId="2B88DCB8" w:rsidR="001A742A" w:rsidRPr="008B7747" w:rsidRDefault="008C5E77" w:rsidP="001A742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 xml:space="preserve">We </w:t>
      </w:r>
      <w:r w:rsidR="001E0AEF" w:rsidRPr="008B7747">
        <w:rPr>
          <w:rFonts w:ascii="Arial" w:hAnsi="Arial" w:cs="Arial"/>
          <w:sz w:val="28"/>
          <w:szCs w:val="28"/>
        </w:rPr>
        <w:t xml:space="preserve">re-grouped </w:t>
      </w:r>
      <w:r w:rsidR="005D70DE" w:rsidRPr="008B7747">
        <w:rPr>
          <w:rFonts w:ascii="Arial" w:hAnsi="Arial" w:cs="Arial"/>
          <w:sz w:val="28"/>
          <w:szCs w:val="28"/>
        </w:rPr>
        <w:t>the Age</w:t>
      </w:r>
      <w:r w:rsidR="00402CDE" w:rsidRPr="008B774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402CDE" w:rsidRPr="008B7747">
        <w:rPr>
          <w:rFonts w:ascii="Arial" w:hAnsi="Arial" w:cs="Arial"/>
          <w:sz w:val="28"/>
          <w:szCs w:val="28"/>
        </w:rPr>
        <w:t>in</w:t>
      </w:r>
      <w:proofErr w:type="gramEnd"/>
      <w:r w:rsidR="00402CDE" w:rsidRPr="008B7747">
        <w:rPr>
          <w:rFonts w:ascii="Arial" w:hAnsi="Arial" w:cs="Arial"/>
          <w:sz w:val="28"/>
          <w:szCs w:val="28"/>
        </w:rPr>
        <w:t xml:space="preserve"> Children, Adults, </w:t>
      </w:r>
      <w:r w:rsidR="009D4A91" w:rsidRPr="008B7747">
        <w:rPr>
          <w:rFonts w:ascii="Arial" w:hAnsi="Arial" w:cs="Arial"/>
          <w:sz w:val="28"/>
          <w:szCs w:val="28"/>
        </w:rPr>
        <w:t>Middle Aged</w:t>
      </w:r>
      <w:r w:rsidR="00E062AE" w:rsidRPr="008B7747">
        <w:rPr>
          <w:rFonts w:ascii="Arial" w:hAnsi="Arial" w:cs="Arial"/>
          <w:sz w:val="28"/>
          <w:szCs w:val="28"/>
        </w:rPr>
        <w:t xml:space="preserve"> and Senior Citizens</w:t>
      </w:r>
      <w:r w:rsidR="001A5A50" w:rsidRPr="008B7747">
        <w:rPr>
          <w:rFonts w:ascii="Arial" w:hAnsi="Arial" w:cs="Arial"/>
          <w:sz w:val="28"/>
          <w:szCs w:val="28"/>
        </w:rPr>
        <w:t>. We have the highest number for Children</w:t>
      </w:r>
      <w:r w:rsidR="002215B3" w:rsidRPr="008B7747">
        <w:rPr>
          <w:rFonts w:ascii="Arial" w:hAnsi="Arial" w:cs="Arial"/>
          <w:sz w:val="28"/>
          <w:szCs w:val="28"/>
        </w:rPr>
        <w:t xml:space="preserve"> and lowest for Middle Aged. The reason for highest number in children was that it had wide range</w:t>
      </w:r>
      <w:r w:rsidR="003F3EAA" w:rsidRPr="008B7747">
        <w:rPr>
          <w:rFonts w:ascii="Arial" w:hAnsi="Arial" w:cs="Arial"/>
          <w:sz w:val="28"/>
          <w:szCs w:val="28"/>
        </w:rPr>
        <w:t xml:space="preserve"> from 0-17 years</w:t>
      </w:r>
    </w:p>
    <w:p w14:paraId="6930BD54" w14:textId="5AB9CF82" w:rsidR="00702502" w:rsidRPr="008B7747" w:rsidRDefault="00EC3FF4" w:rsidP="00B24A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>The Pie chart shows male and female number cases were similar</w:t>
      </w:r>
      <w:r w:rsidR="009E2118" w:rsidRPr="008B7747">
        <w:rPr>
          <w:rFonts w:ascii="Arial" w:hAnsi="Arial" w:cs="Arial"/>
          <w:sz w:val="28"/>
          <w:szCs w:val="28"/>
        </w:rPr>
        <w:t xml:space="preserve">. The major percentage was from All that was </w:t>
      </w:r>
      <w:r w:rsidR="00702502" w:rsidRPr="008B7747">
        <w:rPr>
          <w:rFonts w:ascii="Arial" w:hAnsi="Arial" w:cs="Arial"/>
          <w:sz w:val="28"/>
          <w:szCs w:val="28"/>
        </w:rPr>
        <w:t>not defined by gender</w:t>
      </w:r>
      <w:r w:rsidR="00406AF5" w:rsidRPr="008B7747">
        <w:rPr>
          <w:rFonts w:ascii="Arial" w:hAnsi="Arial" w:cs="Arial"/>
          <w:sz w:val="28"/>
          <w:szCs w:val="28"/>
        </w:rPr>
        <w:t xml:space="preserve">. </w:t>
      </w:r>
    </w:p>
    <w:p w14:paraId="76DE92C9" w14:textId="166E7B2A" w:rsidR="00086201" w:rsidRPr="008B7747" w:rsidRDefault="005B5FF8" w:rsidP="00B24A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 xml:space="preserve">Looking at </w:t>
      </w:r>
      <w:proofErr w:type="gramStart"/>
      <w:r w:rsidRPr="008B7747">
        <w:rPr>
          <w:rFonts w:ascii="Arial" w:hAnsi="Arial" w:cs="Arial"/>
          <w:sz w:val="28"/>
          <w:szCs w:val="28"/>
        </w:rPr>
        <w:t>Race</w:t>
      </w:r>
      <w:proofErr w:type="gramEnd"/>
      <w:r w:rsidRPr="008B7747">
        <w:rPr>
          <w:rFonts w:ascii="Arial" w:hAnsi="Arial" w:cs="Arial"/>
          <w:sz w:val="28"/>
          <w:szCs w:val="28"/>
        </w:rPr>
        <w:t xml:space="preserve"> label bar graph, the number of cases reported were almost similar</w:t>
      </w:r>
      <w:r w:rsidR="002E71F7" w:rsidRPr="008B7747">
        <w:rPr>
          <w:rFonts w:ascii="Arial" w:hAnsi="Arial" w:cs="Arial"/>
          <w:sz w:val="28"/>
          <w:szCs w:val="28"/>
        </w:rPr>
        <w:t xml:space="preserve"> in all.</w:t>
      </w:r>
    </w:p>
    <w:p w14:paraId="1DF60C62" w14:textId="412C9BB2" w:rsidR="00406AF5" w:rsidRPr="008B7747" w:rsidRDefault="00C66BD1" w:rsidP="00C66BD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 xml:space="preserve">Then the major number of cases reports are from Crude rate. </w:t>
      </w:r>
      <w:r w:rsidR="00406AF5" w:rsidRPr="008B7747">
        <w:rPr>
          <w:rFonts w:ascii="Arial" w:hAnsi="Arial" w:cs="Arial"/>
          <w:sz w:val="28"/>
          <w:szCs w:val="28"/>
        </w:rPr>
        <w:t xml:space="preserve">In the context of health or epidemiology, the term "crude rate" refers to a basic calculation of a rate without any adjustments or standardization for factors such as age, sex, or other variables that may affect the outcome being </w:t>
      </w:r>
      <w:proofErr w:type="spellStart"/>
      <w:r w:rsidR="00406AF5" w:rsidRPr="008B7747">
        <w:rPr>
          <w:rFonts w:ascii="Arial" w:hAnsi="Arial" w:cs="Arial"/>
          <w:sz w:val="28"/>
          <w:szCs w:val="28"/>
        </w:rPr>
        <w:t>measured</w:t>
      </w:r>
      <w:proofErr w:type="gramStart"/>
      <w:r w:rsidR="00406AF5" w:rsidRPr="008B7747">
        <w:rPr>
          <w:rFonts w:ascii="Arial" w:hAnsi="Arial" w:cs="Arial"/>
          <w:sz w:val="28"/>
          <w:szCs w:val="28"/>
        </w:rPr>
        <w:t>.</w:t>
      </w:r>
      <w:r w:rsidR="00406AF5" w:rsidRPr="008B7747">
        <w:rPr>
          <w:rFonts w:ascii="Arial" w:hAnsi="Arial" w:cs="Arial"/>
          <w:sz w:val="28"/>
          <w:szCs w:val="28"/>
        </w:rPr>
        <w:t>,</w:t>
      </w:r>
      <w:r w:rsidR="00406AF5" w:rsidRPr="008B7747">
        <w:rPr>
          <w:rFonts w:ascii="Arial" w:hAnsi="Arial" w:cs="Arial"/>
          <w:sz w:val="28"/>
          <w:szCs w:val="28"/>
        </w:rPr>
        <w:t>Crude</w:t>
      </w:r>
      <w:proofErr w:type="spellEnd"/>
      <w:proofErr w:type="gramEnd"/>
      <w:r w:rsidR="00406AF5" w:rsidRPr="008B7747">
        <w:rPr>
          <w:rFonts w:ascii="Arial" w:hAnsi="Arial" w:cs="Arial"/>
          <w:sz w:val="28"/>
          <w:szCs w:val="28"/>
        </w:rPr>
        <w:t xml:space="preserve"> rates are often used as a starting point to provide a general overview of a particular health outcome or event within a population. They are simple calculations that divide the number of events (such as cases of a disease) by the total population at risk, usually expressed per a specific unit of time (e.g., per week, per year).</w:t>
      </w:r>
      <w:r w:rsidR="00406AF5" w:rsidRPr="008B7747">
        <w:rPr>
          <w:rFonts w:ascii="Arial" w:hAnsi="Arial" w:cs="Arial"/>
          <w:sz w:val="28"/>
          <w:szCs w:val="28"/>
        </w:rPr>
        <w:t xml:space="preserve"> </w:t>
      </w:r>
    </w:p>
    <w:p w14:paraId="17C5D12A" w14:textId="5FA9C542" w:rsidR="0029056C" w:rsidRPr="008B7747" w:rsidRDefault="009C6BD2" w:rsidP="00C66BD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 xml:space="preserve">The line graph </w:t>
      </w:r>
      <w:r w:rsidR="006413CD" w:rsidRPr="008B7747">
        <w:rPr>
          <w:rFonts w:ascii="Arial" w:hAnsi="Arial" w:cs="Arial"/>
          <w:sz w:val="28"/>
          <w:szCs w:val="28"/>
        </w:rPr>
        <w:t xml:space="preserve">between </w:t>
      </w:r>
      <w:r w:rsidR="00F72C1C" w:rsidRPr="008B7747">
        <w:rPr>
          <w:rFonts w:ascii="Arial" w:hAnsi="Arial" w:cs="Arial"/>
          <w:sz w:val="28"/>
          <w:szCs w:val="28"/>
        </w:rPr>
        <w:t>Weekend date and weekly rate confirmed the highest cases in year</w:t>
      </w:r>
      <w:r w:rsidR="004423A6" w:rsidRPr="008B7747">
        <w:rPr>
          <w:rFonts w:ascii="Arial" w:hAnsi="Arial" w:cs="Arial"/>
          <w:sz w:val="28"/>
          <w:szCs w:val="28"/>
        </w:rPr>
        <w:t xml:space="preserve"> 2020-21.</w:t>
      </w:r>
    </w:p>
    <w:p w14:paraId="20E21F11" w14:textId="262BD2D2" w:rsidR="00BF6036" w:rsidRPr="008B7747" w:rsidRDefault="00BF6036" w:rsidP="00BF6036">
      <w:pPr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>ANALYSIS</w:t>
      </w:r>
    </w:p>
    <w:p w14:paraId="416D0BC3" w14:textId="39E4859D" w:rsidR="004423A6" w:rsidRPr="008B7747" w:rsidRDefault="006A5CDA" w:rsidP="000764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>We plotted the box plot to analy</w:t>
      </w:r>
      <w:r w:rsidR="00BF6036" w:rsidRPr="008B7747">
        <w:rPr>
          <w:rFonts w:ascii="Arial" w:hAnsi="Arial" w:cs="Arial"/>
          <w:sz w:val="28"/>
          <w:szCs w:val="28"/>
        </w:rPr>
        <w:t xml:space="preserve">ze Cumulative rate </w:t>
      </w:r>
      <w:r w:rsidR="00C92F74" w:rsidRPr="008B7747">
        <w:rPr>
          <w:rFonts w:ascii="Arial" w:hAnsi="Arial" w:cs="Arial"/>
          <w:sz w:val="28"/>
          <w:szCs w:val="28"/>
        </w:rPr>
        <w:t>by Age group</w:t>
      </w:r>
      <w:r w:rsidR="00076412" w:rsidRPr="008B7747">
        <w:rPr>
          <w:rFonts w:ascii="Arial" w:hAnsi="Arial" w:cs="Arial"/>
          <w:sz w:val="28"/>
          <w:szCs w:val="28"/>
        </w:rPr>
        <w:t xml:space="preserve">. </w:t>
      </w:r>
      <w:r w:rsidR="00076412" w:rsidRPr="008B7747">
        <w:rPr>
          <w:rFonts w:ascii="Arial" w:hAnsi="Arial" w:cs="Arial"/>
          <w:color w:val="2F2F2F"/>
          <w:sz w:val="28"/>
          <w:szCs w:val="28"/>
        </w:rPr>
        <w:t> </w:t>
      </w:r>
      <w:r w:rsidR="00076412" w:rsidRPr="008B7747">
        <w:rPr>
          <w:rFonts w:ascii="Arial" w:hAnsi="Arial" w:cs="Arial"/>
          <w:color w:val="2F2F2F"/>
          <w:sz w:val="28"/>
          <w:szCs w:val="28"/>
        </w:rPr>
        <w:t>T</w:t>
      </w:r>
      <w:r w:rsidR="00076412" w:rsidRPr="008B7747">
        <w:rPr>
          <w:rFonts w:ascii="Arial" w:hAnsi="Arial" w:cs="Arial"/>
          <w:color w:val="2F2F2F"/>
          <w:sz w:val="28"/>
          <w:szCs w:val="28"/>
        </w:rPr>
        <w:t>he</w:t>
      </w:r>
      <w:r w:rsidR="00076412" w:rsidRPr="008B7747">
        <w:rPr>
          <w:rFonts w:ascii="Arial" w:hAnsi="Arial" w:cs="Arial"/>
          <w:color w:val="2F2F2F"/>
          <w:sz w:val="28"/>
          <w:szCs w:val="28"/>
        </w:rPr>
        <w:t xml:space="preserve"> </w:t>
      </w:r>
      <w:r w:rsidR="00076412" w:rsidRPr="008B7747">
        <w:rPr>
          <w:rFonts w:ascii="Arial" w:hAnsi="Arial" w:cs="Arial"/>
          <w:color w:val="2F2F2F"/>
          <w:sz w:val="28"/>
          <w:szCs w:val="28"/>
        </w:rPr>
        <w:t>"</w:t>
      </w:r>
      <w:proofErr w:type="spellStart"/>
      <w:r w:rsidR="00076412" w:rsidRPr="008B7747">
        <w:rPr>
          <w:rFonts w:ascii="Arial" w:hAnsi="Arial" w:cs="Arial"/>
          <w:color w:val="2F2F2F"/>
          <w:sz w:val="28"/>
          <w:szCs w:val="28"/>
        </w:rPr>
        <w:t>CumulativeRate</w:t>
      </w:r>
      <w:proofErr w:type="spellEnd"/>
      <w:r w:rsidR="00076412" w:rsidRPr="008B7747">
        <w:rPr>
          <w:rFonts w:ascii="Arial" w:hAnsi="Arial" w:cs="Arial"/>
          <w:color w:val="2F2F2F"/>
          <w:sz w:val="28"/>
          <w:szCs w:val="28"/>
        </w:rPr>
        <w:t xml:space="preserve">" column likely represents the total rate up to a specific week or </w:t>
      </w:r>
      <w:proofErr w:type="gramStart"/>
      <w:r w:rsidR="00076412" w:rsidRPr="008B7747">
        <w:rPr>
          <w:rFonts w:ascii="Arial" w:hAnsi="Arial" w:cs="Arial"/>
          <w:color w:val="2F2F2F"/>
          <w:sz w:val="28"/>
          <w:szCs w:val="28"/>
        </w:rPr>
        <w:t>time period</w:t>
      </w:r>
      <w:proofErr w:type="gramEnd"/>
      <w:r w:rsidR="00076412" w:rsidRPr="008B7747">
        <w:rPr>
          <w:rFonts w:ascii="Arial" w:hAnsi="Arial" w:cs="Arial"/>
          <w:color w:val="2F2F2F"/>
          <w:sz w:val="28"/>
          <w:szCs w:val="28"/>
        </w:rPr>
        <w:t>. Each week's rate is added to the previous cumulative rate to show the overall progression or accumulation of the rate over time.</w:t>
      </w:r>
    </w:p>
    <w:p w14:paraId="36A7D69A" w14:textId="44D4C3A5" w:rsidR="005C0BE4" w:rsidRPr="008B7747" w:rsidRDefault="005C0BE4" w:rsidP="005C0BE4">
      <w:pPr>
        <w:pStyle w:val="ListParagraph"/>
        <w:ind w:left="1080"/>
        <w:jc w:val="both"/>
        <w:rPr>
          <w:rFonts w:ascii="Arial" w:hAnsi="Arial" w:cs="Arial"/>
          <w:color w:val="2F2F2F"/>
          <w:sz w:val="28"/>
          <w:szCs w:val="28"/>
        </w:rPr>
      </w:pPr>
      <w:r w:rsidRPr="008B7747">
        <w:rPr>
          <w:rFonts w:ascii="Arial" w:hAnsi="Arial" w:cs="Arial"/>
          <w:color w:val="2F2F2F"/>
          <w:sz w:val="28"/>
          <w:szCs w:val="28"/>
        </w:rPr>
        <w:t xml:space="preserve">The median Value of 194.80 in Senior citizen </w:t>
      </w:r>
      <w:r w:rsidR="009A418A" w:rsidRPr="008B7747">
        <w:rPr>
          <w:rFonts w:ascii="Arial" w:hAnsi="Arial" w:cs="Arial"/>
          <w:color w:val="2F2F2F"/>
          <w:sz w:val="28"/>
          <w:szCs w:val="28"/>
        </w:rPr>
        <w:t xml:space="preserve">indicates the highest incidences </w:t>
      </w:r>
      <w:r w:rsidR="00511606" w:rsidRPr="008B7747">
        <w:rPr>
          <w:rFonts w:ascii="Arial" w:hAnsi="Arial" w:cs="Arial"/>
          <w:color w:val="2F2F2F"/>
          <w:sz w:val="28"/>
          <w:szCs w:val="28"/>
        </w:rPr>
        <w:t>among that age group while lowest in Children (median = 24.0)</w:t>
      </w:r>
    </w:p>
    <w:p w14:paraId="108AE550" w14:textId="788D844A" w:rsidR="0089313A" w:rsidRPr="008B7747" w:rsidRDefault="00D36621" w:rsidP="00D3662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color w:val="2F2F2F"/>
          <w:sz w:val="28"/>
          <w:szCs w:val="28"/>
        </w:rPr>
        <w:lastRenderedPageBreak/>
        <w:t>Then we looked at the Cumulative rate by States</w:t>
      </w:r>
      <w:r w:rsidR="00BB5865" w:rsidRPr="008B7747">
        <w:rPr>
          <w:rFonts w:ascii="Arial" w:hAnsi="Arial" w:cs="Arial"/>
          <w:color w:val="2F2F2F"/>
          <w:sz w:val="28"/>
          <w:szCs w:val="28"/>
        </w:rPr>
        <w:t xml:space="preserve">. </w:t>
      </w:r>
      <w:r w:rsidR="001F46A8" w:rsidRPr="008B7747">
        <w:rPr>
          <w:rFonts w:ascii="Arial" w:hAnsi="Arial" w:cs="Arial"/>
          <w:color w:val="2F2F2F"/>
          <w:sz w:val="28"/>
          <w:szCs w:val="28"/>
        </w:rPr>
        <w:t xml:space="preserve">Median value of 77,70 in New Mexico was highest </w:t>
      </w:r>
      <w:r w:rsidR="00721B00" w:rsidRPr="008B7747">
        <w:rPr>
          <w:rFonts w:ascii="Arial" w:hAnsi="Arial" w:cs="Arial"/>
          <w:color w:val="2F2F2F"/>
          <w:sz w:val="28"/>
          <w:szCs w:val="28"/>
        </w:rPr>
        <w:t xml:space="preserve">followed by Minnesota, 74.2 and </w:t>
      </w:r>
      <w:r w:rsidR="009746CC" w:rsidRPr="008B7747">
        <w:rPr>
          <w:rFonts w:ascii="Arial" w:hAnsi="Arial" w:cs="Arial"/>
          <w:color w:val="2F2F2F"/>
          <w:sz w:val="28"/>
          <w:szCs w:val="28"/>
        </w:rPr>
        <w:t xml:space="preserve">73.3 in Colorado. The lowest rate was in </w:t>
      </w:r>
      <w:r w:rsidR="0089313A" w:rsidRPr="008B7747">
        <w:rPr>
          <w:rFonts w:ascii="Arial" w:hAnsi="Arial" w:cs="Arial"/>
          <w:color w:val="2F2F2F"/>
          <w:sz w:val="28"/>
          <w:szCs w:val="28"/>
        </w:rPr>
        <w:t>Tennessee, 40.50.</w:t>
      </w:r>
    </w:p>
    <w:p w14:paraId="189FEA05" w14:textId="33CDEDF9" w:rsidR="00A276B0" w:rsidRPr="008B7747" w:rsidRDefault="0089313A" w:rsidP="00D3662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color w:val="2F2F2F"/>
          <w:sz w:val="28"/>
          <w:szCs w:val="28"/>
        </w:rPr>
        <w:t xml:space="preserve"> </w:t>
      </w:r>
      <w:r w:rsidR="00DD4D07" w:rsidRPr="008B7747">
        <w:rPr>
          <w:rFonts w:ascii="Arial" w:hAnsi="Arial" w:cs="Arial"/>
          <w:color w:val="2F2F2F"/>
          <w:sz w:val="28"/>
          <w:szCs w:val="28"/>
        </w:rPr>
        <w:t xml:space="preserve">Cumulative rate by season had highest </w:t>
      </w:r>
      <w:r w:rsidR="00293274" w:rsidRPr="008B7747">
        <w:rPr>
          <w:rFonts w:ascii="Arial" w:hAnsi="Arial" w:cs="Arial"/>
          <w:color w:val="2F2F2F"/>
          <w:sz w:val="28"/>
          <w:szCs w:val="28"/>
        </w:rPr>
        <w:t xml:space="preserve">incidences in 2021-22, median value </w:t>
      </w:r>
      <w:r w:rsidR="00700DBC" w:rsidRPr="008B7747">
        <w:rPr>
          <w:rFonts w:ascii="Arial" w:hAnsi="Arial" w:cs="Arial"/>
          <w:color w:val="2F2F2F"/>
          <w:sz w:val="28"/>
          <w:szCs w:val="28"/>
        </w:rPr>
        <w:t>98.60.</w:t>
      </w:r>
    </w:p>
    <w:p w14:paraId="74A8DE20" w14:textId="20E4D9C7" w:rsidR="00700DBC" w:rsidRPr="008B7747" w:rsidRDefault="00447E34" w:rsidP="00D3662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color w:val="2F2F2F"/>
          <w:sz w:val="28"/>
          <w:szCs w:val="28"/>
        </w:rPr>
        <w:t>When looking at cumulative rates in Races, we found that Black</w:t>
      </w:r>
      <w:r w:rsidR="00F960EF" w:rsidRPr="008B7747">
        <w:rPr>
          <w:rFonts w:ascii="Arial" w:hAnsi="Arial" w:cs="Arial"/>
          <w:color w:val="2F2F2F"/>
          <w:sz w:val="28"/>
          <w:szCs w:val="28"/>
        </w:rPr>
        <w:t xml:space="preserve">, </w:t>
      </w:r>
      <w:proofErr w:type="spellStart"/>
      <w:proofErr w:type="gramStart"/>
      <w:r w:rsidR="00F960EF" w:rsidRPr="008B7747">
        <w:rPr>
          <w:rFonts w:ascii="Arial" w:hAnsi="Arial" w:cs="Arial"/>
          <w:color w:val="2F2F2F"/>
          <w:sz w:val="28"/>
          <w:szCs w:val="28"/>
        </w:rPr>
        <w:t>Non Hispanic</w:t>
      </w:r>
      <w:proofErr w:type="spellEnd"/>
      <w:proofErr w:type="gramEnd"/>
      <w:r w:rsidR="00F960EF" w:rsidRPr="008B7747">
        <w:rPr>
          <w:rFonts w:ascii="Arial" w:hAnsi="Arial" w:cs="Arial"/>
          <w:color w:val="2F2F2F"/>
          <w:sz w:val="28"/>
          <w:szCs w:val="28"/>
        </w:rPr>
        <w:t xml:space="preserve"> had highest number of </w:t>
      </w:r>
      <w:r w:rsidR="001839ED" w:rsidRPr="008B7747">
        <w:rPr>
          <w:rFonts w:ascii="Arial" w:hAnsi="Arial" w:cs="Arial"/>
          <w:color w:val="2F2F2F"/>
          <w:sz w:val="28"/>
          <w:szCs w:val="28"/>
        </w:rPr>
        <w:t>cases with median value of 80.60</w:t>
      </w:r>
      <w:r w:rsidR="002D381D" w:rsidRPr="008B7747">
        <w:rPr>
          <w:rFonts w:ascii="Arial" w:hAnsi="Arial" w:cs="Arial"/>
          <w:color w:val="2F2F2F"/>
          <w:sz w:val="28"/>
          <w:szCs w:val="28"/>
        </w:rPr>
        <w:t xml:space="preserve"> and lowest in A/PI </w:t>
      </w:r>
      <w:proofErr w:type="spellStart"/>
      <w:r w:rsidR="002D381D" w:rsidRPr="008B7747">
        <w:rPr>
          <w:rFonts w:ascii="Arial" w:hAnsi="Arial" w:cs="Arial"/>
          <w:color w:val="2F2F2F"/>
          <w:sz w:val="28"/>
          <w:szCs w:val="28"/>
        </w:rPr>
        <w:t>Non Hispanic</w:t>
      </w:r>
      <w:proofErr w:type="spellEnd"/>
      <w:r w:rsidR="002D381D" w:rsidRPr="008B7747">
        <w:rPr>
          <w:rFonts w:ascii="Arial" w:hAnsi="Arial" w:cs="Arial"/>
          <w:color w:val="2F2F2F"/>
          <w:sz w:val="28"/>
          <w:szCs w:val="28"/>
        </w:rPr>
        <w:t xml:space="preserve">, </w:t>
      </w:r>
      <w:r w:rsidR="00D07422" w:rsidRPr="008B7747">
        <w:rPr>
          <w:rFonts w:ascii="Arial" w:hAnsi="Arial" w:cs="Arial"/>
          <w:color w:val="2F2F2F"/>
          <w:sz w:val="28"/>
          <w:szCs w:val="28"/>
        </w:rPr>
        <w:t>54.30.</w:t>
      </w:r>
    </w:p>
    <w:p w14:paraId="794C3D14" w14:textId="18A43719" w:rsidR="00D07422" w:rsidRPr="008B7747" w:rsidRDefault="005B4FF0" w:rsidP="00D3662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color w:val="2F2F2F"/>
          <w:sz w:val="28"/>
          <w:szCs w:val="28"/>
        </w:rPr>
        <w:t xml:space="preserve">Looking at gender, there was </w:t>
      </w:r>
      <w:proofErr w:type="spellStart"/>
      <w:r w:rsidRPr="008B7747">
        <w:rPr>
          <w:rFonts w:ascii="Arial" w:hAnsi="Arial" w:cs="Arial"/>
          <w:color w:val="2F2F2F"/>
          <w:sz w:val="28"/>
          <w:szCs w:val="28"/>
        </w:rPr>
        <w:t>no</w:t>
      </w:r>
      <w:r w:rsidR="00A13108" w:rsidRPr="008B7747">
        <w:rPr>
          <w:rFonts w:ascii="Arial" w:hAnsi="Arial" w:cs="Arial"/>
          <w:color w:val="2F2F2F"/>
          <w:sz w:val="28"/>
          <w:szCs w:val="28"/>
        </w:rPr>
        <w:t>t</w:t>
      </w:r>
      <w:proofErr w:type="spellEnd"/>
      <w:r w:rsidR="00A13108" w:rsidRPr="008B7747">
        <w:rPr>
          <w:rFonts w:ascii="Arial" w:hAnsi="Arial" w:cs="Arial"/>
          <w:color w:val="2F2F2F"/>
          <w:sz w:val="28"/>
          <w:szCs w:val="28"/>
        </w:rPr>
        <w:t xml:space="preserve"> much</w:t>
      </w:r>
      <w:r w:rsidRPr="008B7747">
        <w:rPr>
          <w:rFonts w:ascii="Arial" w:hAnsi="Arial" w:cs="Arial"/>
          <w:color w:val="2F2F2F"/>
          <w:sz w:val="28"/>
          <w:szCs w:val="28"/>
        </w:rPr>
        <w:t xml:space="preserve"> difference in incidences between male and female</w:t>
      </w:r>
      <w:r w:rsidR="00A13108" w:rsidRPr="008B7747">
        <w:rPr>
          <w:rFonts w:ascii="Arial" w:hAnsi="Arial" w:cs="Arial"/>
          <w:color w:val="2F2F2F"/>
          <w:sz w:val="28"/>
          <w:szCs w:val="28"/>
        </w:rPr>
        <w:t xml:space="preserve"> with males </w:t>
      </w:r>
      <w:r w:rsidR="00883CB7" w:rsidRPr="008B7747">
        <w:rPr>
          <w:rFonts w:ascii="Arial" w:hAnsi="Arial" w:cs="Arial"/>
          <w:color w:val="2F2F2F"/>
          <w:sz w:val="28"/>
          <w:szCs w:val="28"/>
        </w:rPr>
        <w:t>on higher trend.</w:t>
      </w:r>
    </w:p>
    <w:p w14:paraId="0420E41E" w14:textId="475EC65A" w:rsidR="00883CB7" w:rsidRPr="008B7747" w:rsidRDefault="00762ECB" w:rsidP="00883CB7">
      <w:pPr>
        <w:jc w:val="both"/>
        <w:rPr>
          <w:rFonts w:ascii="Arial" w:hAnsi="Arial" w:cs="Arial"/>
          <w:sz w:val="28"/>
          <w:szCs w:val="28"/>
        </w:rPr>
      </w:pPr>
      <w:r w:rsidRPr="008B7747">
        <w:rPr>
          <w:rFonts w:ascii="Arial" w:hAnsi="Arial" w:cs="Arial"/>
          <w:sz w:val="28"/>
          <w:szCs w:val="28"/>
        </w:rPr>
        <w:t xml:space="preserve">In Conclusion, </w:t>
      </w:r>
      <w:r w:rsidR="000F62E3" w:rsidRPr="008B7747">
        <w:rPr>
          <w:rFonts w:ascii="Arial" w:hAnsi="Arial" w:cs="Arial"/>
          <w:sz w:val="28"/>
          <w:szCs w:val="28"/>
        </w:rPr>
        <w:t>this data analysis provides insights for c</w:t>
      </w:r>
      <w:r w:rsidR="000F62E3" w:rsidRPr="008B7747">
        <w:rPr>
          <w:rFonts w:ascii="Arial" w:hAnsi="Arial" w:cs="Arial"/>
          <w:sz w:val="28"/>
          <w:szCs w:val="28"/>
        </w:rPr>
        <w:t xml:space="preserve">ollecting demographic and more detailed clinical information, including underlying conditions, </w:t>
      </w:r>
      <w:r w:rsidR="008B7747" w:rsidRPr="008B7747">
        <w:rPr>
          <w:rFonts w:ascii="Arial" w:hAnsi="Arial" w:cs="Arial"/>
          <w:sz w:val="28"/>
          <w:szCs w:val="28"/>
        </w:rPr>
        <w:t xml:space="preserve">that </w:t>
      </w:r>
      <w:r w:rsidR="000F62E3" w:rsidRPr="008B7747">
        <w:rPr>
          <w:rFonts w:ascii="Arial" w:hAnsi="Arial" w:cs="Arial"/>
          <w:sz w:val="28"/>
          <w:szCs w:val="28"/>
        </w:rPr>
        <w:t>allows to better understand COVID-19-associated hospitalization trends and determine who is most at risk.</w:t>
      </w:r>
    </w:p>
    <w:sectPr w:rsidR="00883CB7" w:rsidRPr="008B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2701"/>
    <w:multiLevelType w:val="hybridMultilevel"/>
    <w:tmpl w:val="0922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08CC"/>
    <w:multiLevelType w:val="hybridMultilevel"/>
    <w:tmpl w:val="3812841C"/>
    <w:lvl w:ilvl="0" w:tplc="1AFEE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8430877">
    <w:abstractNumId w:val="0"/>
  </w:num>
  <w:num w:numId="2" w16cid:durableId="1130394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30"/>
    <w:rsid w:val="00011349"/>
    <w:rsid w:val="0003316F"/>
    <w:rsid w:val="000459E9"/>
    <w:rsid w:val="00053BD4"/>
    <w:rsid w:val="00076412"/>
    <w:rsid w:val="00086201"/>
    <w:rsid w:val="000F62E3"/>
    <w:rsid w:val="001839ED"/>
    <w:rsid w:val="00191F70"/>
    <w:rsid w:val="001A5A50"/>
    <w:rsid w:val="001A742A"/>
    <w:rsid w:val="001B12E0"/>
    <w:rsid w:val="001C52CC"/>
    <w:rsid w:val="001E0AEF"/>
    <w:rsid w:val="001F46A8"/>
    <w:rsid w:val="002215B3"/>
    <w:rsid w:val="00241E4E"/>
    <w:rsid w:val="002510E4"/>
    <w:rsid w:val="0029056C"/>
    <w:rsid w:val="00293274"/>
    <w:rsid w:val="002D381D"/>
    <w:rsid w:val="002E71F7"/>
    <w:rsid w:val="003F3EAA"/>
    <w:rsid w:val="00402CDE"/>
    <w:rsid w:val="00406AF5"/>
    <w:rsid w:val="00412F54"/>
    <w:rsid w:val="004423A6"/>
    <w:rsid w:val="00447E34"/>
    <w:rsid w:val="004645C2"/>
    <w:rsid w:val="004807AA"/>
    <w:rsid w:val="004A4030"/>
    <w:rsid w:val="00511606"/>
    <w:rsid w:val="005B4FF0"/>
    <w:rsid w:val="005B5FF8"/>
    <w:rsid w:val="005C0BE4"/>
    <w:rsid w:val="005D70DE"/>
    <w:rsid w:val="006413CD"/>
    <w:rsid w:val="006A5CDA"/>
    <w:rsid w:val="00700DBC"/>
    <w:rsid w:val="00702502"/>
    <w:rsid w:val="0071014C"/>
    <w:rsid w:val="00721B00"/>
    <w:rsid w:val="00762ECB"/>
    <w:rsid w:val="00883CB7"/>
    <w:rsid w:val="0089313A"/>
    <w:rsid w:val="008B7747"/>
    <w:rsid w:val="008C5E77"/>
    <w:rsid w:val="00933298"/>
    <w:rsid w:val="00947F89"/>
    <w:rsid w:val="00962A94"/>
    <w:rsid w:val="009746CC"/>
    <w:rsid w:val="009A418A"/>
    <w:rsid w:val="009C6BD2"/>
    <w:rsid w:val="009D4A91"/>
    <w:rsid w:val="009D79F7"/>
    <w:rsid w:val="009E2118"/>
    <w:rsid w:val="00A13108"/>
    <w:rsid w:val="00A14815"/>
    <w:rsid w:val="00A276B0"/>
    <w:rsid w:val="00A9780F"/>
    <w:rsid w:val="00B24AB4"/>
    <w:rsid w:val="00B32E8D"/>
    <w:rsid w:val="00BB410F"/>
    <w:rsid w:val="00BB4F41"/>
    <w:rsid w:val="00BB5865"/>
    <w:rsid w:val="00BF6036"/>
    <w:rsid w:val="00C25CFF"/>
    <w:rsid w:val="00C56012"/>
    <w:rsid w:val="00C66BD1"/>
    <w:rsid w:val="00C92F74"/>
    <w:rsid w:val="00CF3023"/>
    <w:rsid w:val="00D07422"/>
    <w:rsid w:val="00D36621"/>
    <w:rsid w:val="00DD4D07"/>
    <w:rsid w:val="00DF7EFF"/>
    <w:rsid w:val="00E062AE"/>
    <w:rsid w:val="00E84D24"/>
    <w:rsid w:val="00EC3FF4"/>
    <w:rsid w:val="00F45203"/>
    <w:rsid w:val="00F52F53"/>
    <w:rsid w:val="00F64B4A"/>
    <w:rsid w:val="00F72C1C"/>
    <w:rsid w:val="00F960EF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6FFF"/>
  <w15:chartTrackingRefBased/>
  <w15:docId w15:val="{F4E1F96F-B46F-4C10-BCA7-E1506947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30"/>
  </w:style>
  <w:style w:type="paragraph" w:styleId="Heading1">
    <w:name w:val="heading 1"/>
    <w:basedOn w:val="Normal"/>
    <w:next w:val="Normal"/>
    <w:link w:val="Heading1Char"/>
    <w:uiPriority w:val="9"/>
    <w:qFormat/>
    <w:rsid w:val="004A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82</cp:revision>
  <dcterms:created xsi:type="dcterms:W3CDTF">2024-07-15T20:59:00Z</dcterms:created>
  <dcterms:modified xsi:type="dcterms:W3CDTF">2024-07-16T05:38:00Z</dcterms:modified>
</cp:coreProperties>
</file>