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rPr/>
      </w:pPr>
      <w:r>
        <w:rPr/>
      </w:r>
    </w:p>
    <w:p>
      <w:pPr>
        <w:pStyle w:val="Normal"/>
        <w:spacing w:before="0" w:after="60"/>
        <w:jc w:val="center"/>
        <w:rPr/>
      </w:pPr>
      <w:r>
        <w:rPr>
          <w:rFonts w:eastAsia="Arial" w:cs="Arial"/>
          <w:b/>
          <w:bCs/>
          <w:color w:val="1A1A6E"/>
          <w:sz w:val="72"/>
          <w:szCs w:val="72"/>
        </w:rPr>
        <w:t>NeuroGrid</w:t>
      </w:r>
    </w:p>
    <w:p>
      <w:pPr>
        <w:pStyle w:val="Normal"/>
        <w:spacing w:before="0" w:after="120"/>
        <w:jc w:val="center"/>
        <w:rPr/>
      </w:pPr>
      <w:r>
        <w:rPr>
          <w:rFonts w:eastAsia="Arial" w:cs="Arial"/>
          <w:i/>
          <w:iCs/>
          <w:color w:val="6C2BD9"/>
          <w:sz w:val="32"/>
          <w:szCs w:val="32"/>
        </w:rPr>
        <w:t>Blink, Think, Link.</w:t>
      </w:r>
    </w:p>
    <w:p>
      <w:pPr>
        <w:pStyle w:val="Normal"/>
        <w:pBdr>
          <w:bottom w:val="single" w:sz="6" w:space="4" w:color="6C2BD9"/>
        </w:pBdr>
        <w:spacing w:before="0" w:after="200"/>
        <w:jc w:val="center"/>
        <w:rPr/>
      </w:pPr>
      <w:r>
        <w:rPr/>
      </w:r>
    </w:p>
    <w:p>
      <w:pPr>
        <w:pStyle w:val="Normal"/>
        <w:spacing w:before="0" w:after="120"/>
        <w:rPr/>
      </w:pPr>
      <w:r>
        <w:rPr/>
      </w:r>
    </w:p>
    <w:p>
      <w:pPr>
        <w:pStyle w:val="Normal"/>
        <w:spacing w:before="0" w:after="60"/>
        <w:jc w:val="center"/>
        <w:rPr/>
      </w:pPr>
      <w:r>
        <w:rPr>
          <w:rFonts w:eastAsia="Arial" w:cs="Arial"/>
          <w:color w:val="888888"/>
          <w:sz w:val="28"/>
          <w:szCs w:val="28"/>
        </w:rPr>
        <w:t>User Manual &amp; Instruction Guide</w:t>
      </w:r>
    </w:p>
    <w:p>
      <w:pPr>
        <w:pStyle w:val="Normal"/>
        <w:spacing w:before="0" w:after="60"/>
        <w:jc w:val="center"/>
        <w:rPr/>
      </w:pPr>
      <w:r>
        <w:rPr>
          <w:rFonts w:eastAsia="Arial" w:cs="Arial"/>
          <w:color w:val="888888"/>
          <w:sz w:val="24"/>
          <w:szCs w:val="24"/>
        </w:rPr>
        <w:t>STEM Educational Electronic Game</w:t>
      </w:r>
    </w:p>
    <w:p>
      <w:pPr>
        <w:pStyle w:val="Normal"/>
        <w:spacing w:before="120" w:after="0"/>
        <w:jc w:val="center"/>
        <w:rPr/>
      </w:pPr>
      <w:r>
        <w:rPr>
          <w:rFonts w:eastAsia="Arial" w:cs="Arial"/>
          <w:color w:val="888888"/>
          <w:sz w:val="22"/>
          <w:szCs w:val="22"/>
        </w:rPr>
        <w:t>Model No. TC26-GF-010</w:t>
      </w:r>
    </w:p>
    <w:p>
      <w:pPr>
        <w:pStyle w:val="Normal"/>
        <w:spacing w:before="0" w:after="720"/>
        <w:rPr/>
      </w:pPr>
      <w:r>
        <w:rPr/>
      </w:r>
    </w:p>
    <w:p>
      <w:pPr>
        <w:pStyle w:val="Normal"/>
        <w:spacing w:before="0" w:after="0"/>
        <w:jc w:val="center"/>
        <w:rPr/>
      </w:pPr>
      <w:r>
        <w:rPr>
          <w:rFonts w:eastAsia="Arial" w:cs="Arial"/>
          <w:i/>
          <w:iCs/>
          <w:color w:val="888888"/>
          <w:sz w:val="20"/>
          <w:szCs w:val="20"/>
        </w:rPr>
        <w:t>Please read this manual carefully before use and keep it for future reference.</w:t>
      </w:r>
    </w:p>
    <w:p>
      <w:pPr>
        <w:pStyle w:val="Normal"/>
        <w:rPr/>
      </w:pPr>
      <w:r>
        <w:rPr/>
      </w:r>
      <w:r>
        <w:br w:type="page"/>
      </w:r>
    </w:p>
    <w:p>
      <w:pPr>
        <w:pStyle w:val="Heading1"/>
        <w:pBdr>
          <w:bottom w:val="single" w:sz="8" w:space="6" w:color="6C2BD9"/>
        </w:pBdr>
        <w:spacing w:before="360" w:after="120"/>
        <w:rPr/>
      </w:pPr>
      <w:r>
        <w:rPr>
          <w:rFonts w:eastAsia="Arial" w:cs="Arial" w:ascii="Arial" w:hAnsi="Arial"/>
          <w:b/>
          <w:bCs/>
          <w:color w:val="1A1A6E"/>
          <w:sz w:val="32"/>
          <w:szCs w:val="32"/>
        </w:rPr>
        <w:t>Quick Setup Guide</w:t>
      </w:r>
    </w:p>
    <w:p>
      <w:pPr>
        <w:pStyle w:val="Normal"/>
        <w:spacing w:before="60" w:after="80"/>
        <w:rPr/>
      </w:pPr>
      <w:r>
        <w:rPr>
          <w:rFonts w:eastAsia="Arial" w:cs="Arial"/>
          <w:color w:val="111111"/>
          <w:sz w:val="22"/>
          <w:szCs w:val="22"/>
        </w:rPr>
        <w:t>Get NeuroGrid up and running in under 2 minutes.</w:t>
      </w:r>
    </w:p>
    <w:p>
      <w:pPr>
        <w:pStyle w:val="Normal"/>
        <w:spacing w:before="0" w:after="120"/>
        <w:rPr/>
      </w:pPr>
      <w:r>
        <w:rPr/>
      </w:r>
    </w:p>
    <w:p>
      <w:pPr>
        <w:pStyle w:val="Heading2"/>
        <w:spacing w:before="280" w:after="100"/>
        <w:rPr/>
      </w:pPr>
      <w:r>
        <w:rPr>
          <w:rFonts w:eastAsia="Arial" w:cs="Arial" w:ascii="Arial" w:hAnsi="Arial"/>
          <w:b/>
          <w:bCs/>
          <w:color w:val="6C2BD9"/>
          <w:sz w:val="26"/>
          <w:szCs w:val="26"/>
        </w:rPr>
        <w:t>What's in the Box</w:t>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Item</w:t>
            </w:r>
          </w:p>
        </w:tc>
        <w:tc>
          <w:tcPr>
            <w:tcW w:w="636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Description</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NeuroGrid Device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3×3 LED grid with 9 input buttons and built-in buzzer</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USB-C Charging Cable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For charging the built-in 3.7V 2500mAh battery</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Instruction Manual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This document</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Quick-Start Card</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Single-page reference card</w:t>
            </w:r>
          </w:p>
        </w:tc>
      </w:tr>
    </w:tbl>
    <w:p>
      <w:pPr>
        <w:pStyle w:val="Normal"/>
        <w:spacing w:before="0" w:after="120"/>
        <w:rPr/>
      </w:pPr>
      <w:r>
        <w:rPr/>
      </w:r>
    </w:p>
    <w:p>
      <w:pPr>
        <w:pStyle w:val="Heading2"/>
        <w:spacing w:before="280" w:after="100"/>
        <w:rPr/>
      </w:pPr>
      <w:r>
        <w:rPr>
          <w:rFonts w:eastAsia="Arial" w:cs="Arial" w:ascii="Arial" w:hAnsi="Arial"/>
          <w:b/>
          <w:bCs/>
          <w:color w:val="6C2BD9"/>
          <w:sz w:val="26"/>
          <w:szCs w:val="26"/>
        </w:rPr>
        <w:t>Step-by-Step Setup</w:t>
      </w:r>
    </w:p>
    <w:p>
      <w:pPr>
        <w:pStyle w:val="ListParagraph"/>
        <w:numPr>
          <w:ilvl w:val="0"/>
          <w:numId w:val="6"/>
        </w:numPr>
        <w:spacing w:before="40" w:after="40"/>
        <w:rPr/>
      </w:pPr>
      <w:r>
        <w:rPr>
          <w:rFonts w:eastAsia="Arial" w:cs="Arial"/>
          <w:b/>
          <w:bCs/>
          <w:color w:val="6C2BD9"/>
          <w:sz w:val="22"/>
          <w:szCs w:val="22"/>
        </w:rPr>
        <w:t xml:space="preserve">Step 1: </w:t>
      </w:r>
      <w:r>
        <w:rPr>
          <w:rFonts w:eastAsia="Arial" w:cs="Arial"/>
          <w:color w:val="111111"/>
          <w:sz w:val="22"/>
          <w:szCs w:val="22"/>
        </w:rPr>
        <w:t>Charge the device - connect the included USB-C cable to the charging port on the side of the device and plug into any USB power source. The charging indicator LED will glow red while charging and turn green when fully charged.</w:t>
      </w:r>
    </w:p>
    <w:p>
      <w:pPr>
        <w:pStyle w:val="ListParagraph"/>
        <w:numPr>
          <w:ilvl w:val="0"/>
          <w:numId w:val="1"/>
        </w:numPr>
        <w:spacing w:before="40" w:after="40"/>
        <w:rPr/>
      </w:pPr>
      <w:r>
        <w:rPr>
          <w:rFonts w:eastAsia="Arial" w:cs="Arial"/>
          <w:b/>
          <w:bCs/>
          <w:color w:val="6C2BD9"/>
          <w:sz w:val="22"/>
          <w:szCs w:val="22"/>
        </w:rPr>
        <w:t xml:space="preserve">Step 2: </w:t>
      </w:r>
      <w:r>
        <w:rPr>
          <w:rFonts w:eastAsia="Arial" w:cs="Arial"/>
          <w:color w:val="111111"/>
          <w:sz w:val="22"/>
          <w:szCs w:val="22"/>
        </w:rPr>
        <w:t>Power on - press and hold the Power button for 2 seconds until the 3×3 LED grid lights up in sequence.</w:t>
      </w:r>
    </w:p>
    <w:p>
      <w:pPr>
        <w:pStyle w:val="ListParagraph"/>
        <w:numPr>
          <w:ilvl w:val="0"/>
          <w:numId w:val="1"/>
        </w:numPr>
        <w:spacing w:before="40" w:after="40"/>
        <w:rPr/>
      </w:pPr>
      <w:r>
        <w:rPr>
          <w:rFonts w:eastAsia="Arial" w:cs="Arial"/>
          <w:b/>
          <w:bCs/>
          <w:color w:val="6C2BD9"/>
          <w:sz w:val="22"/>
          <w:szCs w:val="22"/>
        </w:rPr>
        <w:t xml:space="preserve">Step 3: </w:t>
      </w:r>
      <w:r>
        <w:rPr>
          <w:rFonts w:eastAsia="Arial" w:cs="Arial"/>
          <w:color w:val="111111"/>
          <w:sz w:val="22"/>
          <w:szCs w:val="22"/>
        </w:rPr>
        <w:t>Select a mode - use the Mode button to choose between Solo Play, Speed Challenge, or Multiplayer (see Difficulty Levels for details).</w:t>
      </w:r>
    </w:p>
    <w:p>
      <w:pPr>
        <w:pStyle w:val="ListParagraph"/>
        <w:numPr>
          <w:ilvl w:val="0"/>
          <w:numId w:val="1"/>
        </w:numPr>
        <w:spacing w:before="40" w:after="40"/>
        <w:rPr/>
      </w:pPr>
      <w:r>
        <w:rPr>
          <w:rFonts w:eastAsia="Arial" w:cs="Arial"/>
          <w:b/>
          <w:bCs/>
          <w:color w:val="6C2BD9"/>
          <w:sz w:val="22"/>
          <w:szCs w:val="22"/>
        </w:rPr>
        <w:t xml:space="preserve">Step 4: </w:t>
      </w:r>
      <w:r>
        <w:rPr>
          <w:rFonts w:eastAsia="Arial" w:cs="Arial"/>
          <w:color w:val="111111"/>
          <w:sz w:val="22"/>
          <w:szCs w:val="22"/>
        </w:rPr>
        <w:t>Start playing - watch the LED pattern displayed, then repeat it using the 9 grid buttons in the correct order.</w:t>
      </w:r>
    </w:p>
    <w:p>
      <w:pPr>
        <w:pStyle w:val="Normal"/>
        <w:spacing w:before="0" w:after="12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spacing w:before="0" w:after="60"/>
              <w:rPr/>
            </w:pPr>
            <w:r>
              <w:rPr>
                <w:rFonts w:eastAsia="Arial" w:cs="Arial"/>
                <w:b/>
                <w:bCs/>
                <w:color w:val="6C2BD9"/>
                <w:sz w:val="22"/>
                <w:szCs w:val="22"/>
              </w:rPr>
              <w:t xml:space="preserve">⚡ </w:t>
            </w:r>
            <w:r>
              <w:rPr>
                <w:rFonts w:eastAsia="Arial" w:cs="Arial"/>
                <w:b/>
                <w:bCs/>
                <w:color w:val="6C2BD9"/>
                <w:sz w:val="22"/>
                <w:szCs w:val="22"/>
              </w:rPr>
              <w:t>Quick Tip</w:t>
            </w:r>
          </w:p>
          <w:p>
            <w:pPr>
              <w:pStyle w:val="Normal"/>
              <w:widowControl w:val="false"/>
              <w:spacing w:before="0" w:after="0"/>
              <w:rPr/>
            </w:pPr>
            <w:r>
              <w:rPr>
                <w:rFonts w:eastAsia="Arial" w:cs="Arial"/>
                <w:color w:val="111111"/>
                <w:sz w:val="22"/>
                <w:szCs w:val="22"/>
              </w:rPr>
              <w:t xml:space="preserve">For the best experience, charge NeuroGrid fully before first use. A full charge takes approximately 90 minutes and provides up to </w:t>
            </w:r>
            <w:r>
              <w:rPr>
                <w:rFonts w:eastAsia="Arial" w:cs="Arial"/>
                <w:color w:val="111111"/>
                <w:sz w:val="22"/>
                <w:szCs w:val="22"/>
              </w:rPr>
              <w:t xml:space="preserve">12 </w:t>
            </w:r>
            <w:r>
              <w:rPr>
                <w:rFonts w:eastAsia="Arial" w:cs="Arial"/>
                <w:color w:val="111111"/>
                <w:sz w:val="22"/>
                <w:szCs w:val="22"/>
              </w:rPr>
              <w:t>hours of play.</w:t>
            </w:r>
          </w:p>
        </w:tc>
      </w:tr>
    </w:tbl>
    <w:p>
      <w:pPr>
        <w:pStyle w:val="Normal"/>
        <w:spacing w:before="0" w:after="120"/>
        <w:rPr/>
      </w:pPr>
      <w:r>
        <w:rPr/>
      </w:r>
    </w:p>
    <w:p>
      <w:pPr>
        <w:pStyle w:val="Heading2"/>
        <w:spacing w:before="280" w:after="100"/>
        <w:rPr/>
      </w:pPr>
      <w:r>
        <w:rPr>
          <w:rFonts w:eastAsia="Arial" w:cs="Arial" w:ascii="Arial" w:hAnsi="Arial"/>
          <w:b/>
          <w:bCs/>
          <w:color w:val="6C2BD9"/>
          <w:sz w:val="26"/>
          <w:szCs w:val="26"/>
        </w:rPr>
        <w:t>Device Overview</w:t>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Component</w:t>
            </w:r>
          </w:p>
        </w:tc>
        <w:tc>
          <w:tcPr>
            <w:tcW w:w="636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Function</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3×3 LED Grid</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Displays patterns for the player to memorize and repeat</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9 Grid Buttons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Used to input responses matching the LED pattern</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Power Button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Hold 2 sec to power on/off; tap to pause mid-game</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Mode Button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Cycles through game modes</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USB-C Port</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Charging port for the built-in 3.7V 2500mAh battery</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Buzzer / Speaker</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Audio feedback for success, errors, and level-ups</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Charging LED</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Red = charging, Green = fully charged</w:t>
            </w:r>
          </w:p>
        </w:tc>
      </w:tr>
    </w:tbl>
    <w:p>
      <w:pPr>
        <w:pStyle w:val="Normal"/>
        <w:rPr/>
      </w:pPr>
      <w:r>
        <w:rPr/>
      </w:r>
      <w:r>
        <w:br w:type="page"/>
      </w:r>
    </w:p>
    <w:p>
      <w:pPr>
        <w:pStyle w:val="Heading1"/>
        <w:pBdr>
          <w:bottom w:val="single" w:sz="8" w:space="6" w:color="6C2BD9"/>
        </w:pBdr>
        <w:spacing w:before="360" w:after="120"/>
        <w:rPr/>
      </w:pPr>
      <w:r>
        <w:rPr>
          <w:rFonts w:eastAsia="Arial" w:cs="Arial" w:ascii="Arial" w:hAnsi="Arial"/>
          <w:b/>
          <w:bCs/>
          <w:color w:val="1A1A6E"/>
          <w:sz w:val="32"/>
          <w:szCs w:val="32"/>
        </w:rPr>
        <w:t>How to Play</w:t>
      </w:r>
    </w:p>
    <w:p>
      <w:pPr>
        <w:pStyle w:val="Normal"/>
        <w:spacing w:before="60" w:after="80"/>
        <w:rPr/>
      </w:pPr>
      <w:r>
        <w:rPr>
          <w:rFonts w:eastAsia="Arial" w:cs="Arial"/>
          <w:color w:val="111111"/>
          <w:sz w:val="22"/>
          <w:szCs w:val="22"/>
        </w:rPr>
        <w:t>NeuroGrid tests and trains your working memory, reaction speed, and pattern recognition through progressively challenging LED sequences.</w:t>
      </w:r>
    </w:p>
    <w:p>
      <w:pPr>
        <w:pStyle w:val="Normal"/>
        <w:spacing w:before="0" w:after="120"/>
        <w:rPr/>
      </w:pPr>
      <w:r>
        <w:rPr/>
      </w:r>
    </w:p>
    <w:p>
      <w:pPr>
        <w:pStyle w:val="Heading2"/>
        <w:spacing w:before="280" w:after="100"/>
        <w:rPr/>
      </w:pPr>
      <w:r>
        <w:rPr>
          <w:rFonts w:eastAsia="Arial" w:cs="Arial" w:ascii="Arial" w:hAnsi="Arial"/>
          <w:b/>
          <w:bCs/>
          <w:color w:val="6C2BD9"/>
          <w:sz w:val="26"/>
          <w:szCs w:val="26"/>
        </w:rPr>
        <w:t>Core Gameplay Loop</w:t>
      </w:r>
    </w:p>
    <w:p>
      <w:pPr>
        <w:pStyle w:val="ListParagraph"/>
        <w:numPr>
          <w:ilvl w:val="0"/>
          <w:numId w:val="4"/>
        </w:numPr>
        <w:spacing w:before="40" w:after="40"/>
        <w:rPr/>
      </w:pPr>
      <w:r>
        <w:rPr>
          <w:rFonts w:eastAsia="Arial" w:cs="Arial"/>
          <w:color w:val="111111"/>
          <w:sz w:val="22"/>
          <w:szCs w:val="22"/>
        </w:rPr>
        <w:t>Watch: the LED grid lights up in a random sequence. Pay close attention to the order and position of each light.</w:t>
      </w:r>
    </w:p>
    <w:p>
      <w:pPr>
        <w:pStyle w:val="ListParagraph"/>
        <w:numPr>
          <w:ilvl w:val="0"/>
          <w:numId w:val="4"/>
        </w:numPr>
        <w:spacing w:before="40" w:after="40"/>
        <w:rPr/>
      </w:pPr>
      <w:r>
        <w:rPr>
          <w:rFonts w:eastAsia="Arial" w:cs="Arial"/>
          <w:color w:val="111111"/>
          <w:sz w:val="22"/>
          <w:szCs w:val="22"/>
        </w:rPr>
        <w:t>Memorize: the grid goes dark after the sequence ends. Hold the pattern in your memory.</w:t>
      </w:r>
    </w:p>
    <w:p>
      <w:pPr>
        <w:pStyle w:val="ListParagraph"/>
        <w:numPr>
          <w:ilvl w:val="0"/>
          <w:numId w:val="4"/>
        </w:numPr>
        <w:spacing w:before="40" w:after="40"/>
        <w:rPr/>
      </w:pPr>
      <w:r>
        <w:rPr>
          <w:rFonts w:eastAsia="Arial" w:cs="Arial"/>
          <w:color w:val="111111"/>
          <w:sz w:val="22"/>
          <w:szCs w:val="22"/>
        </w:rPr>
        <w:t>Repeat: press the 9 grid buttons in the exact same order as the LEDs lit up.</w:t>
      </w:r>
    </w:p>
    <w:p>
      <w:pPr>
        <w:pStyle w:val="ListParagraph"/>
        <w:numPr>
          <w:ilvl w:val="0"/>
          <w:numId w:val="4"/>
        </w:numPr>
        <w:spacing w:before="40" w:after="40"/>
        <w:rPr/>
      </w:pPr>
      <w:r>
        <w:rPr>
          <w:rFonts w:eastAsia="Arial" w:cs="Arial"/>
          <w:color w:val="111111"/>
          <w:sz w:val="22"/>
          <w:szCs w:val="22"/>
        </w:rPr>
        <w:t>Result: a correct sequence earns a success chime and advances the game. An incorrect input triggers the buzzer and resets the round.</w:t>
      </w:r>
    </w:p>
    <w:p>
      <w:pPr>
        <w:pStyle w:val="Normal"/>
        <w:spacing w:before="0" w:after="120"/>
        <w:rPr/>
      </w:pPr>
      <w:r>
        <w:rPr/>
      </w:r>
    </w:p>
    <w:p>
      <w:pPr>
        <w:pStyle w:val="Heading2"/>
        <w:spacing w:before="280" w:after="100"/>
        <w:rPr/>
      </w:pPr>
      <w:r>
        <w:rPr>
          <w:rFonts w:eastAsia="Arial" w:cs="Arial" w:ascii="Arial" w:hAnsi="Arial"/>
          <w:b/>
          <w:bCs/>
          <w:color w:val="6C2BD9"/>
          <w:sz w:val="26"/>
          <w:szCs w:val="26"/>
        </w:rPr>
        <w:t>Success &amp; Failure Feedback</w:t>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Feedback</w:t>
            </w:r>
          </w:p>
        </w:tc>
        <w:tc>
          <w:tcPr>
            <w:tcW w:w="636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Meaning</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Green LEDs + chime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Correct sequence — advancing to next round</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Red LEDs + buzzer</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Incorrect input — round resets</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Flashing all LEDs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Level up — difficulty increased</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Slow pulse LEDs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Game paused</w:t>
            </w:r>
          </w:p>
        </w:tc>
      </w:tr>
    </w:tbl>
    <w:p>
      <w:pPr>
        <w:pStyle w:val="Normal"/>
        <w:spacing w:before="0" w:after="120"/>
        <w:rPr/>
      </w:pPr>
      <w:r>
        <w:rPr/>
      </w:r>
    </w:p>
    <w:p>
      <w:pPr>
        <w:pStyle w:val="Heading2"/>
        <w:spacing w:before="280" w:after="100"/>
        <w:rPr/>
      </w:pPr>
      <w:r>
        <w:rPr>
          <w:rFonts w:eastAsia="Arial" w:cs="Arial" w:ascii="Arial" w:hAnsi="Arial"/>
          <w:b/>
          <w:bCs/>
          <w:color w:val="6C2BD9"/>
          <w:sz w:val="26"/>
          <w:szCs w:val="26"/>
        </w:rPr>
        <w:t>Winning &amp; Scoring</w:t>
      </w:r>
    </w:p>
    <w:p>
      <w:pPr>
        <w:pStyle w:val="ListParagraph"/>
        <w:numPr>
          <w:ilvl w:val="0"/>
          <w:numId w:val="7"/>
        </w:numPr>
        <w:spacing w:before="40" w:after="40"/>
        <w:rPr/>
      </w:pPr>
      <w:r>
        <w:rPr>
          <w:rFonts w:eastAsia="Arial" w:cs="Arial"/>
          <w:color w:val="111111"/>
          <w:sz w:val="22"/>
          <w:szCs w:val="22"/>
        </w:rPr>
        <w:t>Each successful round increases your score by 1 point.</w:t>
      </w:r>
    </w:p>
    <w:p>
      <w:pPr>
        <w:pStyle w:val="ListParagraph"/>
        <w:numPr>
          <w:ilvl w:val="0"/>
          <w:numId w:val="2"/>
        </w:numPr>
        <w:spacing w:before="40" w:after="40"/>
        <w:rPr/>
      </w:pPr>
      <w:r>
        <w:rPr>
          <w:rFonts w:eastAsia="Arial" w:cs="Arial"/>
          <w:color w:val="111111"/>
          <w:sz w:val="22"/>
          <w:szCs w:val="22"/>
        </w:rPr>
        <w:t>As you advance, the sequence gets longer or plays faster depending on the selected mode.</w:t>
      </w:r>
    </w:p>
    <w:p>
      <w:pPr>
        <w:pStyle w:val="ListParagraph"/>
        <w:numPr>
          <w:ilvl w:val="0"/>
          <w:numId w:val="2"/>
        </w:numPr>
        <w:spacing w:before="40" w:after="40"/>
        <w:rPr/>
      </w:pPr>
      <w:r>
        <w:rPr>
          <w:rFonts w:eastAsia="Arial" w:cs="Arial"/>
          <w:color w:val="111111"/>
          <w:sz w:val="22"/>
          <w:szCs w:val="22"/>
        </w:rPr>
        <w:t>The game ends when you make an error in Speed Challenge mode. In Solo Play, you can retry indefinitely.</w:t>
      </w:r>
    </w:p>
    <w:p>
      <w:pPr>
        <w:pStyle w:val="ListParagraph"/>
        <w:numPr>
          <w:ilvl w:val="0"/>
          <w:numId w:val="2"/>
        </w:numPr>
        <w:spacing w:before="40" w:after="40"/>
        <w:rPr/>
      </w:pPr>
      <w:r>
        <w:rPr>
          <w:rFonts w:eastAsia="Arial" w:cs="Arial"/>
          <w:color w:val="111111"/>
          <w:sz w:val="22"/>
          <w:szCs w:val="22"/>
        </w:rPr>
        <w:t>Your highest score is stored and displayed at the start of each new game.</w:t>
      </w:r>
    </w:p>
    <w:p>
      <w:pPr>
        <w:pStyle w:val="Normal"/>
        <w:rPr/>
      </w:pPr>
      <w:r>
        <w:rPr/>
      </w:r>
      <w:r>
        <w:br w:type="page"/>
      </w:r>
    </w:p>
    <w:p>
      <w:pPr>
        <w:pStyle w:val="Heading1"/>
        <w:pBdr>
          <w:bottom w:val="single" w:sz="8" w:space="6" w:color="6C2BD9"/>
        </w:pBdr>
        <w:spacing w:before="360" w:after="120"/>
        <w:rPr/>
      </w:pPr>
      <w:r>
        <w:rPr>
          <w:rFonts w:eastAsia="Arial" w:cs="Arial" w:ascii="Arial" w:hAnsi="Arial"/>
          <w:b/>
          <w:bCs/>
          <w:color w:val="1A1A6E"/>
          <w:sz w:val="32"/>
          <w:szCs w:val="32"/>
        </w:rPr>
        <w:t>Difficulty Levels &amp; Game Modes</w:t>
      </w:r>
    </w:p>
    <w:p>
      <w:pPr>
        <w:pStyle w:val="Normal"/>
        <w:spacing w:before="60" w:after="80"/>
        <w:rPr/>
      </w:pPr>
      <w:r>
        <w:rPr>
          <w:rFonts w:eastAsia="Arial" w:cs="Arial"/>
          <w:color w:val="111111"/>
          <w:sz w:val="22"/>
          <w:szCs w:val="22"/>
        </w:rPr>
        <w:t>NeuroGrid adapts to your skill level and offers three distinct game modes.</w:t>
      </w:r>
    </w:p>
    <w:p>
      <w:pPr>
        <w:pStyle w:val="Normal"/>
        <w:spacing w:before="0" w:after="120"/>
        <w:rPr/>
      </w:pPr>
      <w:r>
        <w:rPr/>
      </w:r>
    </w:p>
    <w:p>
      <w:pPr>
        <w:pStyle w:val="Heading2"/>
        <w:spacing w:before="280" w:after="100"/>
        <w:rPr/>
      </w:pPr>
      <w:r>
        <w:rPr>
          <w:rFonts w:eastAsia="Arial" w:cs="Arial" w:ascii="Arial" w:hAnsi="Arial"/>
          <w:b/>
          <w:bCs/>
          <w:color w:val="6C2BD9"/>
          <w:sz w:val="26"/>
          <w:szCs w:val="26"/>
        </w:rPr>
        <w:t>Game Modes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Mode</w:t>
            </w:r>
          </w:p>
        </w:tc>
        <w:tc>
          <w:tcPr>
            <w:tcW w:w="656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Solo Play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Classic mode. Sequences grow longer with each success. Mistakes reset only the current round — keep going as long as you like.</w:t>
            </w:r>
          </w:p>
        </w:tc>
      </w:tr>
      <w:tr>
        <w:trPr/>
        <w:tc>
          <w:tcPr>
            <w:tcW w:w="27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Speed Challenge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Sequences play faster each round. One mistake ends the game. Best for competitive high-score attempts.</w:t>
            </w:r>
          </w:p>
        </w:tc>
      </w:tr>
      <w:tr>
        <w:trPr/>
        <w:tc>
          <w:tcPr>
            <w:tcW w:w="27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Multiplayer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Pass-and-play for 2 players. Players alternate turns. The first player to make a mistake loses the round.</w:t>
            </w:r>
          </w:p>
        </w:tc>
      </w:tr>
    </w:tbl>
    <w:p>
      <w:pPr>
        <w:pStyle w:val="Normal"/>
        <w:spacing w:before="0" w:after="120"/>
        <w:rPr/>
      </w:pPr>
      <w:r>
        <w:rPr/>
      </w:r>
    </w:p>
    <w:p>
      <w:pPr>
        <w:pStyle w:val="Heading2"/>
        <w:spacing w:before="280" w:after="100"/>
        <w:rPr/>
      </w:pPr>
      <w:r>
        <w:rPr>
          <w:rFonts w:eastAsia="Arial" w:cs="Arial" w:ascii="Arial" w:hAnsi="Arial"/>
          <w:b/>
          <w:bCs/>
          <w:color w:val="6C2BD9"/>
          <w:sz w:val="26"/>
          <w:szCs w:val="26"/>
        </w:rPr>
        <w:t>Difficulty Progression</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Level</w:t>
            </w:r>
          </w:p>
        </w:tc>
        <w:tc>
          <w:tcPr>
            <w:tcW w:w="467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Sequence Length</w:t>
            </w:r>
          </w:p>
        </w:tc>
      </w:tr>
      <w:tr>
        <w:trPr/>
        <w:tc>
          <w:tcPr>
            <w:tcW w:w="468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Beginner (Lvl 1–3)</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3–4 steps</w:t>
            </w:r>
          </w:p>
        </w:tc>
      </w:tr>
      <w:tr>
        <w:trPr/>
        <w:tc>
          <w:tcPr>
            <w:tcW w:w="468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Intermediate (Lvl 4–6)</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5–6 steps</w:t>
            </w:r>
          </w:p>
        </w:tc>
      </w:tr>
      <w:tr>
        <w:trPr/>
        <w:tc>
          <w:tcPr>
            <w:tcW w:w="468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Advanced (Lvl 7–9)</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7–9 steps</w:t>
            </w:r>
          </w:p>
        </w:tc>
      </w:tr>
      <w:tr>
        <w:trPr/>
        <w:tc>
          <w:tcPr>
            <w:tcW w:w="468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Expert (Lvl 10+)</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10+ steps</w:t>
            </w:r>
          </w:p>
        </w:tc>
      </w:tr>
    </w:tbl>
    <w:p>
      <w:pPr>
        <w:pStyle w:val="Normal"/>
        <w:spacing w:before="0" w:after="12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spacing w:before="0" w:after="60"/>
              <w:rPr/>
            </w:pPr>
            <w:r>
              <w:rPr>
                <w:rFonts w:eastAsia="Arial" w:cs="Arial"/>
                <w:b/>
                <w:bCs/>
                <w:color w:val="6C2BD9"/>
                <w:sz w:val="22"/>
                <w:szCs w:val="22"/>
              </w:rPr>
              <w:t xml:space="preserve">🧠 </w:t>
            </w:r>
            <w:r>
              <w:rPr>
                <w:rFonts w:eastAsia="Arial" w:cs="Arial"/>
                <w:b/>
                <w:bCs/>
                <w:color w:val="6C2BD9"/>
                <w:sz w:val="22"/>
                <w:szCs w:val="22"/>
              </w:rPr>
              <w:t>Pro Tip</w:t>
            </w:r>
          </w:p>
          <w:p>
            <w:pPr>
              <w:pStyle w:val="Normal"/>
              <w:widowControl w:val="false"/>
              <w:spacing w:before="0" w:after="0"/>
              <w:rPr/>
            </w:pPr>
            <w:r>
              <w:rPr>
                <w:rFonts w:eastAsia="Arial" w:cs="Arial"/>
                <w:color w:val="111111"/>
                <w:sz w:val="22"/>
                <w:szCs w:val="22"/>
              </w:rPr>
              <w:t>Start in Solo Play mode to build your memory skills before switching to Speed Challenge. Most players find their performance jumps significantly after 5–10 sessions of regular play.</w:t>
            </w:r>
          </w:p>
        </w:tc>
      </w:tr>
    </w:tbl>
    <w:p>
      <w:pPr>
        <w:pStyle w:val="Normal"/>
        <w:rPr/>
      </w:pPr>
      <w:r>
        <w:rPr/>
      </w:r>
      <w:r>
        <w:br w:type="page"/>
      </w:r>
    </w:p>
    <w:p>
      <w:pPr>
        <w:pStyle w:val="Heading1"/>
        <w:pBdr>
          <w:bottom w:val="single" w:sz="8" w:space="6" w:color="6C2BD9"/>
        </w:pBdr>
        <w:spacing w:before="360" w:after="120"/>
        <w:rPr/>
      </w:pPr>
      <w:r>
        <w:rPr>
          <w:rFonts w:eastAsia="Arial" w:cs="Arial" w:ascii="Arial" w:hAnsi="Arial"/>
          <w:b/>
          <w:bCs/>
          <w:color w:val="1A1A6E"/>
          <w:sz w:val="32"/>
          <w:szCs w:val="32"/>
        </w:rPr>
        <w:t>Safety &amp; Battery Information</w:t>
      </w:r>
    </w:p>
    <w:p>
      <w:pPr>
        <w:pStyle w:val="Normal"/>
        <w:spacing w:before="0" w:after="120"/>
        <w:rPr/>
      </w:pPr>
      <w:r>
        <w:rPr/>
      </w:r>
    </w:p>
    <w:p>
      <w:pPr>
        <w:pStyle w:val="Heading2"/>
        <w:spacing w:before="280" w:after="100"/>
        <w:rPr/>
      </w:pPr>
      <w:r>
        <w:rPr>
          <w:rFonts w:eastAsia="Arial" w:cs="Arial" w:ascii="Arial" w:hAnsi="Arial"/>
          <w:b/>
          <w:bCs/>
          <w:color w:val="6C2BD9"/>
          <w:sz w:val="26"/>
          <w:szCs w:val="26"/>
        </w:rPr>
        <w:t>Battery Specifications</w:t>
      </w:r>
    </w:p>
    <w:tbl>
      <w:tblPr>
        <w:tblW w:w="9360" w:type="dxa"/>
        <w:jc w:val="left"/>
        <w:tblInd w:w="0" w:type="dxa"/>
        <w:tblLayout w:type="fixed"/>
        <w:tblCellMar>
          <w:top w:w="80" w:type="dxa"/>
          <w:left w:w="120" w:type="dxa"/>
          <w:bottom w:w="80" w:type="dxa"/>
          <w:right w:w="12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Specification</w:t>
            </w:r>
          </w:p>
        </w:tc>
        <w:tc>
          <w:tcPr>
            <w:tcW w:w="636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Detail</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Battery Type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Lithium-ion (Li-ion), built-in, non-removable</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Capacity</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2500mAh</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Voltage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3.7V</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Charging Interface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USB-C</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Charging Time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Approx. 90 minutes (0–100%)</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Play Time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Up to 6 hours per full charge</w:t>
            </w:r>
          </w:p>
        </w:tc>
      </w:tr>
      <w:tr>
        <w:trPr/>
        <w:tc>
          <w:tcPr>
            <w:tcW w:w="2999"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Charging Input</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5V / 1A (standard USB)</w:t>
            </w:r>
          </w:p>
        </w:tc>
      </w:tr>
    </w:tbl>
    <w:p>
      <w:pPr>
        <w:pStyle w:val="Normal"/>
        <w:spacing w:before="0" w:after="120"/>
        <w:rPr/>
      </w:pPr>
      <w:r>
        <w:rPr/>
      </w:r>
    </w:p>
    <w:p>
      <w:pPr>
        <w:pStyle w:val="Heading2"/>
        <w:spacing w:before="280" w:after="100"/>
        <w:rPr/>
      </w:pPr>
      <w:r>
        <w:rPr>
          <w:rFonts w:eastAsia="Arial" w:cs="Arial" w:ascii="Arial" w:hAnsi="Arial"/>
          <w:b/>
          <w:bCs/>
          <w:color w:val="6C2BD9"/>
          <w:sz w:val="26"/>
          <w:szCs w:val="26"/>
        </w:rPr>
        <w:t>Battery Safety Rules</w:t>
      </w:r>
    </w:p>
    <w:p>
      <w:pPr>
        <w:pStyle w:val="ListParagraph"/>
        <w:numPr>
          <w:ilvl w:val="0"/>
          <w:numId w:val="2"/>
        </w:numPr>
        <w:spacing w:before="40" w:after="40"/>
        <w:rPr/>
      </w:pPr>
      <w:r>
        <w:rPr>
          <w:rFonts w:eastAsia="Arial" w:cs="Arial"/>
          <w:color w:val="111111"/>
          <w:sz w:val="22"/>
          <w:szCs w:val="22"/>
        </w:rPr>
        <w:t>Only charge using the supplied USB-C cable or a certified 5V/1A USB charger.</w:t>
      </w:r>
    </w:p>
    <w:p>
      <w:pPr>
        <w:pStyle w:val="ListParagraph"/>
        <w:numPr>
          <w:ilvl w:val="0"/>
          <w:numId w:val="2"/>
        </w:numPr>
        <w:spacing w:before="40" w:after="40"/>
        <w:rPr/>
      </w:pPr>
      <w:r>
        <w:rPr>
          <w:rFonts w:eastAsia="Arial" w:cs="Arial"/>
          <w:color w:val="111111"/>
          <w:sz w:val="22"/>
          <w:szCs w:val="22"/>
        </w:rPr>
        <w:t>Do not charge unattended or while sleeping.</w:t>
      </w:r>
    </w:p>
    <w:p>
      <w:pPr>
        <w:pStyle w:val="ListParagraph"/>
        <w:numPr>
          <w:ilvl w:val="0"/>
          <w:numId w:val="2"/>
        </w:numPr>
        <w:spacing w:before="40" w:after="40"/>
        <w:rPr/>
      </w:pPr>
      <w:r>
        <w:rPr>
          <w:rFonts w:eastAsia="Arial" w:cs="Arial"/>
          <w:color w:val="111111"/>
          <w:sz w:val="22"/>
          <w:szCs w:val="22"/>
        </w:rPr>
        <w:t>Stop using immediately if the device becomes hot, swells, or emits an unusual odour.</w:t>
      </w:r>
    </w:p>
    <w:p>
      <w:pPr>
        <w:pStyle w:val="ListParagraph"/>
        <w:numPr>
          <w:ilvl w:val="0"/>
          <w:numId w:val="2"/>
        </w:numPr>
        <w:spacing w:before="40" w:after="40"/>
        <w:rPr/>
      </w:pPr>
      <w:r>
        <w:rPr>
          <w:rFonts w:eastAsia="Arial" w:cs="Arial"/>
          <w:color w:val="111111"/>
          <w:sz w:val="22"/>
          <w:szCs w:val="22"/>
        </w:rPr>
        <w:t>Do not expose to water, extreme heat, or direct sunlight for extended periods.</w:t>
      </w:r>
    </w:p>
    <w:p>
      <w:pPr>
        <w:pStyle w:val="ListParagraph"/>
        <w:numPr>
          <w:ilvl w:val="0"/>
          <w:numId w:val="2"/>
        </w:numPr>
        <w:spacing w:before="40" w:after="40"/>
        <w:rPr/>
      </w:pPr>
      <w:r>
        <w:rPr>
          <w:rFonts w:eastAsia="Arial" w:cs="Arial"/>
          <w:color w:val="111111"/>
          <w:sz w:val="22"/>
          <w:szCs w:val="22"/>
        </w:rPr>
        <w:t>Do not attempt to open the device or remove the battery — it is sealed and non-removable.</w:t>
      </w:r>
    </w:p>
    <w:p>
      <w:pPr>
        <w:pStyle w:val="ListParagraph"/>
        <w:numPr>
          <w:ilvl w:val="0"/>
          <w:numId w:val="2"/>
        </w:numPr>
        <w:spacing w:before="40" w:after="40"/>
        <w:rPr/>
      </w:pPr>
      <w:r>
        <w:rPr>
          <w:rFonts w:eastAsia="Arial" w:cs="Arial"/>
          <w:color w:val="111111"/>
          <w:sz w:val="22"/>
          <w:szCs w:val="22"/>
        </w:rPr>
        <w:t>In case of battery swelling or leakage, do not puncture or incinerate. Dispose of at a certified e-waste centre.</w:t>
      </w:r>
    </w:p>
    <w:p>
      <w:pPr>
        <w:pStyle w:val="Normal"/>
        <w:spacing w:before="0" w:after="12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3CD" w:val="clear"/>
          </w:tcPr>
          <w:p>
            <w:pPr>
              <w:pStyle w:val="Normal"/>
              <w:widowControl w:val="false"/>
              <w:spacing w:before="0" w:after="60"/>
              <w:rPr/>
            </w:pPr>
            <w:r>
              <w:rPr>
                <w:rFonts w:eastAsia="Arial" w:cs="Arial"/>
                <w:b/>
                <w:bCs/>
                <w:color w:val="6C2BD9"/>
                <w:sz w:val="22"/>
                <w:szCs w:val="22"/>
              </w:rPr>
              <w:t xml:space="preserve">⚠️ </w:t>
            </w:r>
            <w:r>
              <w:rPr>
                <w:rFonts w:eastAsia="Arial" w:cs="Arial"/>
                <w:b/>
                <w:bCs/>
                <w:color w:val="6C2BD9"/>
                <w:sz w:val="22"/>
                <w:szCs w:val="22"/>
              </w:rPr>
              <w:t>Warning</w:t>
            </w:r>
          </w:p>
          <w:p>
            <w:pPr>
              <w:pStyle w:val="Normal"/>
              <w:widowControl w:val="false"/>
              <w:spacing w:before="0" w:after="0"/>
              <w:rPr/>
            </w:pPr>
            <w:r>
              <w:rPr>
                <w:rFonts w:eastAsia="Arial" w:cs="Arial"/>
                <w:color w:val="111111"/>
                <w:sz w:val="22"/>
                <w:szCs w:val="22"/>
              </w:rPr>
              <w:t>The built-in battery is not user-replaceable. Attempting to open the device will void the warranty and may cause injury.</w:t>
            </w:r>
          </w:p>
        </w:tc>
      </w:tr>
    </w:tbl>
    <w:p>
      <w:pPr>
        <w:pStyle w:val="Normal"/>
        <w:spacing w:before="0" w:after="120"/>
        <w:rPr/>
      </w:pPr>
      <w:r>
        <w:rPr/>
      </w:r>
    </w:p>
    <w:p>
      <w:pPr>
        <w:pStyle w:val="Heading2"/>
        <w:spacing w:before="280" w:after="100"/>
        <w:rPr/>
      </w:pPr>
      <w:r>
        <w:rPr>
          <w:rFonts w:eastAsia="Arial" w:cs="Arial" w:ascii="Arial" w:hAnsi="Arial"/>
          <w:b/>
          <w:bCs/>
          <w:color w:val="6C2BD9"/>
          <w:sz w:val="26"/>
          <w:szCs w:val="26"/>
        </w:rPr>
        <w:t>General Safety</w:t>
      </w:r>
    </w:p>
    <w:p>
      <w:pPr>
        <w:pStyle w:val="ListParagraph"/>
        <w:numPr>
          <w:ilvl w:val="0"/>
          <w:numId w:val="2"/>
        </w:numPr>
        <w:spacing w:before="40" w:after="40"/>
        <w:rPr/>
      </w:pPr>
      <w:r>
        <w:rPr>
          <w:rFonts w:eastAsia="Arial" w:cs="Arial"/>
          <w:color w:val="111111"/>
          <w:sz w:val="22"/>
          <w:szCs w:val="22"/>
        </w:rPr>
        <w:t>Recommended for ages 6 and above. Adult supervision advised for children under 8.</w:t>
      </w:r>
    </w:p>
    <w:p>
      <w:pPr>
        <w:pStyle w:val="ListParagraph"/>
        <w:numPr>
          <w:ilvl w:val="0"/>
          <w:numId w:val="2"/>
        </w:numPr>
        <w:spacing w:before="40" w:after="40"/>
        <w:rPr/>
      </w:pPr>
      <w:r>
        <w:rPr>
          <w:rFonts w:eastAsia="Arial" w:cs="Arial"/>
          <w:color w:val="111111"/>
          <w:sz w:val="22"/>
          <w:szCs w:val="22"/>
        </w:rPr>
        <w:t>Do not use the device if the screen, casing, or buttons are damaged.</w:t>
      </w:r>
    </w:p>
    <w:p>
      <w:pPr>
        <w:pStyle w:val="ListParagraph"/>
        <w:numPr>
          <w:ilvl w:val="0"/>
          <w:numId w:val="2"/>
        </w:numPr>
        <w:spacing w:before="40" w:after="40"/>
        <w:rPr/>
      </w:pPr>
      <w:r>
        <w:rPr>
          <w:rFonts w:eastAsia="Arial" w:cs="Arial"/>
          <w:color w:val="111111"/>
          <w:sz w:val="22"/>
          <w:szCs w:val="22"/>
        </w:rPr>
        <w:t>Keep away from liquids and humid environments.</w:t>
      </w:r>
    </w:p>
    <w:p>
      <w:pPr>
        <w:pStyle w:val="ListParagraph"/>
        <w:numPr>
          <w:ilvl w:val="0"/>
          <w:numId w:val="2"/>
        </w:numPr>
        <w:spacing w:before="40" w:after="40"/>
        <w:rPr/>
      </w:pPr>
      <w:r>
        <w:rPr>
          <w:rFonts w:eastAsia="Arial" w:cs="Arial"/>
          <w:color w:val="111111"/>
          <w:sz w:val="22"/>
          <w:szCs w:val="22"/>
        </w:rPr>
        <w:t>Do not drop or subject to strong impacts.</w:t>
      </w:r>
    </w:p>
    <w:p>
      <w:pPr>
        <w:pStyle w:val="ListParagraph"/>
        <w:numPr>
          <w:ilvl w:val="0"/>
          <w:numId w:val="2"/>
        </w:numPr>
        <w:spacing w:before="40" w:after="40"/>
        <w:rPr/>
      </w:pPr>
      <w:r>
        <w:rPr>
          <w:rFonts w:eastAsia="Arial" w:cs="Arial"/>
          <w:color w:val="111111"/>
          <w:sz w:val="22"/>
          <w:szCs w:val="22"/>
        </w:rPr>
        <w:t>If the device malfunctions, power off and contact support before further use.</w:t>
      </w:r>
    </w:p>
    <w:p>
      <w:pPr>
        <w:pStyle w:val="ListParagraph"/>
        <w:numPr>
          <w:ilvl w:val="0"/>
          <w:numId w:val="2"/>
        </w:numPr>
        <w:spacing w:before="40" w:after="40"/>
        <w:rPr/>
      </w:pPr>
      <w:r>
        <w:rPr>
          <w:rFonts w:eastAsia="Arial" w:cs="Arial"/>
          <w:color w:val="111111"/>
          <w:sz w:val="22"/>
          <w:szCs w:val="22"/>
        </w:rPr>
        <w:t>This product contains small electronic components. Keep away from children under 3.</w:t>
      </w:r>
    </w:p>
    <w:p>
      <w:pPr>
        <w:pStyle w:val="Normal"/>
        <w:rPr/>
      </w:pPr>
      <w:r>
        <w:rPr/>
      </w:r>
      <w:r>
        <w:br w:type="page"/>
      </w:r>
    </w:p>
    <w:p>
      <w:pPr>
        <w:pStyle w:val="Heading1"/>
        <w:pBdr>
          <w:bottom w:val="single" w:sz="8" w:space="6" w:color="6C2BD9"/>
        </w:pBdr>
        <w:spacing w:before="360" w:after="120"/>
        <w:rPr/>
      </w:pPr>
      <w:r>
        <w:rPr>
          <w:rFonts w:eastAsia="Arial" w:cs="Arial" w:ascii="Arial" w:hAnsi="Arial"/>
          <w:b/>
          <w:bCs/>
          <w:color w:val="1A1A6E"/>
          <w:sz w:val="32"/>
          <w:szCs w:val="32"/>
        </w:rPr>
        <w:t>Troubleshooting</w:t>
      </w:r>
    </w:p>
    <w:p>
      <w:pPr>
        <w:pStyle w:val="Normal"/>
        <w:spacing w:before="60" w:after="80"/>
        <w:rPr/>
      </w:pPr>
      <w:r>
        <w:rPr>
          <w:rFonts w:eastAsia="Arial" w:cs="Arial"/>
          <w:color w:val="111111"/>
          <w:sz w:val="22"/>
          <w:szCs w:val="22"/>
        </w:rPr>
        <w:t>If you experience any issues with NeuroGrid, try the solutions below before contacting support.</w:t>
      </w:r>
    </w:p>
    <w:p>
      <w:pPr>
        <w:pStyle w:val="Normal"/>
        <w:spacing w:before="0" w:after="120"/>
        <w:rPr/>
      </w:pPr>
      <w:r>
        <w:rPr/>
      </w:r>
    </w:p>
    <w:tbl>
      <w:tblPr>
        <w:tblW w:w="9360" w:type="dxa"/>
        <w:jc w:val="left"/>
        <w:tblInd w:w="0" w:type="dxa"/>
        <w:tblLayout w:type="fixed"/>
        <w:tblCellMar>
          <w:top w:w="80" w:type="dxa"/>
          <w:left w:w="120" w:type="dxa"/>
          <w:bottom w:w="80" w:type="dxa"/>
          <w:right w:w="120" w:type="dxa"/>
        </w:tblCellMar>
      </w:tblPr>
      <w:tblGrid>
        <w:gridCol w:w="3200"/>
        <w:gridCol w:w="6159"/>
      </w:tblGrid>
      <w:tr>
        <w:trPr/>
        <w:tc>
          <w:tcPr>
            <w:tcW w:w="3200"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Problem</w:t>
            </w:r>
          </w:p>
        </w:tc>
        <w:tc>
          <w:tcPr>
            <w:tcW w:w="6159" w:type="dxa"/>
            <w:tcBorders>
              <w:top w:val="single" w:sz="2" w:space="0" w:color="CCCCCC"/>
              <w:left w:val="single" w:sz="2" w:space="0" w:color="CCCCCC"/>
              <w:bottom w:val="single" w:sz="2" w:space="0" w:color="CCCCCC"/>
              <w:right w:val="single" w:sz="2" w:space="0" w:color="CCCCCC"/>
            </w:tcBorders>
            <w:shd w:fill="D9D2F7" w:val="clear"/>
          </w:tcPr>
          <w:p>
            <w:pPr>
              <w:pStyle w:val="Normal"/>
              <w:widowControl w:val="false"/>
              <w:rPr/>
            </w:pPr>
            <w:r>
              <w:rPr>
                <w:rFonts w:eastAsia="Arial" w:cs="Arial"/>
                <w:b/>
                <w:bCs/>
                <w:color w:val="1A1A6E"/>
                <w:sz w:val="21"/>
                <w:szCs w:val="21"/>
              </w:rPr>
              <w:t>Solution</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Device won’t power on</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Ensure the battery is charged. Press and hold the Power button for a full 2 seconds. If still unresponsive, connect to USB-C charger for 10 minutes and retry.</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Device not charging</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Check that the USB-C cable is firmly inserted. Try a different USB power source. Ensure the charging port is clean and free of debris.</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LEDs not lighting up</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Restart the device (hold Power for 5 seconds). If specific LEDs are permanently off, contact support — do not attempt to open the device.</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Buttons not responding</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Ensure the game is not paused (tap Power button). Restart the device. If a specific button is stuck or unresponsive, contact support.</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Buzzer not sounding</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Check the volume isn’t muted (hold Mode for 3 seconds to toggle sound on/off). Restart the device.</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Game resets unexpectedly</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Ensure the battery is sufficiently charged. Avoid pressing the Power button mid-game as this triggers a pause/reset.</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High score not saving</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High scores save automatically on game end. Powering off mid-game will not save the score. Ensure you allow the end-of-game sequence to complete.</w:t>
            </w:r>
          </w:p>
        </w:tc>
      </w:tr>
      <w:tr>
        <w:trPr/>
        <w:tc>
          <w:tcPr>
            <w:tcW w:w="320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rPr/>
            </w:pPr>
            <w:r>
              <w:rPr>
                <w:rFonts w:eastAsia="Arial" w:cs="Arial"/>
                <w:b w:val="false"/>
                <w:bCs w:val="false"/>
                <w:color w:val="111111"/>
                <w:sz w:val="21"/>
                <w:szCs w:val="21"/>
              </w:rPr>
              <w:t>Device overheating</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color w:val="111111"/>
                <w:sz w:val="21"/>
                <w:szCs w:val="21"/>
              </w:rPr>
              <w:t>Power off immediately and allow to cool. Do not charge and play simultaneously for extended periods.</w:t>
            </w:r>
          </w:p>
        </w:tc>
      </w:tr>
    </w:tbl>
    <w:p>
      <w:pPr>
        <w:pStyle w:val="Normal"/>
        <w:spacing w:before="0" w:after="12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spacing w:before="0" w:after="60"/>
              <w:rPr/>
            </w:pPr>
            <w:r>
              <w:rPr>
                <w:rFonts w:eastAsia="Arial" w:cs="Arial"/>
                <w:b/>
                <w:bCs/>
                <w:color w:val="6C2BD9"/>
                <w:sz w:val="22"/>
                <w:szCs w:val="22"/>
              </w:rPr>
              <w:t xml:space="preserve">📞 </w:t>
            </w:r>
            <w:r>
              <w:rPr>
                <w:rFonts w:eastAsia="Arial" w:cs="Arial"/>
                <w:b/>
                <w:bCs/>
                <w:color w:val="6C2BD9"/>
                <w:sz w:val="22"/>
                <w:szCs w:val="22"/>
              </w:rPr>
              <w:t>Still need help?</w:t>
            </w:r>
          </w:p>
          <w:p>
            <w:pPr>
              <w:pStyle w:val="Normal"/>
              <w:widowControl w:val="false"/>
              <w:spacing w:before="0" w:after="0"/>
              <w:rPr/>
            </w:pPr>
            <w:r>
              <w:rPr>
                <w:rFonts w:eastAsia="Arial" w:cs="Arial"/>
                <w:color w:val="111111"/>
                <w:sz w:val="22"/>
                <w:szCs w:val="22"/>
              </w:rPr>
              <w:t>Contact our support team at support@neurogrid.com or visit www.neurogrid.com/support. Please have your model number (TC26-GF-010) ready when reaching out.</w:t>
            </w:r>
          </w:p>
        </w:tc>
      </w:tr>
    </w:tbl>
    <w:p>
      <w:pPr>
        <w:pStyle w:val="Normal"/>
        <w:rPr/>
      </w:pPr>
      <w:r>
        <w:rPr/>
      </w:r>
      <w:r>
        <w:br w:type="page"/>
      </w:r>
    </w:p>
    <w:p>
      <w:pPr>
        <w:pStyle w:val="Heading1"/>
        <w:pBdr>
          <w:bottom w:val="single" w:sz="8" w:space="6" w:color="6C2BD9"/>
        </w:pBdr>
        <w:spacing w:before="360" w:after="120"/>
        <w:rPr/>
      </w:pPr>
      <w:r>
        <w:rPr>
          <w:rFonts w:eastAsia="Arial" w:cs="Arial" w:ascii="Arial" w:hAnsi="Arial"/>
          <w:b/>
          <w:bCs/>
          <w:color w:val="1A1A6E"/>
          <w:sz w:val="32"/>
          <w:szCs w:val="32"/>
        </w:rPr>
        <w:t>Warranty Information</w:t>
      </w:r>
    </w:p>
    <w:p>
      <w:pPr>
        <w:pStyle w:val="Normal"/>
        <w:spacing w:before="0" w:after="120"/>
        <w:rPr/>
      </w:pPr>
      <w:r>
        <w:rPr/>
      </w:r>
    </w:p>
    <w:p>
      <w:pPr>
        <w:pStyle w:val="Heading2"/>
        <w:spacing w:before="280" w:after="100"/>
        <w:rPr/>
      </w:pPr>
      <w:r>
        <w:rPr>
          <w:rFonts w:eastAsia="Arial" w:cs="Arial" w:ascii="Arial" w:hAnsi="Arial"/>
          <w:b/>
          <w:bCs/>
          <w:color w:val="6C2BD9"/>
          <w:sz w:val="26"/>
          <w:szCs w:val="26"/>
        </w:rPr>
        <w:t>Limited Warranty — 12 Months</w:t>
      </w:r>
    </w:p>
    <w:p>
      <w:pPr>
        <w:pStyle w:val="Normal"/>
        <w:spacing w:before="60" w:after="80"/>
        <w:rPr/>
      </w:pPr>
      <w:r>
        <w:rPr>
          <w:rFonts w:eastAsia="Arial" w:cs="Arial"/>
          <w:color w:val="111111"/>
          <w:sz w:val="22"/>
          <w:szCs w:val="22"/>
        </w:rPr>
        <w:t>NeuroGrid (Model TC26-GF-010) is covered by a 12-month limited warranty from the original date of purchase against defects in materials and workmanship under normal use conditions.</w:t>
      </w:r>
    </w:p>
    <w:p>
      <w:pPr>
        <w:pStyle w:val="Normal"/>
        <w:spacing w:before="0" w:after="120"/>
        <w:rPr/>
      </w:pPr>
      <w:r>
        <w:rPr/>
      </w:r>
    </w:p>
    <w:p>
      <w:pPr>
        <w:pStyle w:val="Heading2"/>
        <w:spacing w:before="280" w:after="100"/>
        <w:rPr/>
      </w:pPr>
      <w:r>
        <w:rPr>
          <w:rFonts w:eastAsia="Arial" w:cs="Arial" w:ascii="Arial" w:hAnsi="Arial"/>
          <w:b/>
          <w:bCs/>
          <w:color w:val="6C2BD9"/>
          <w:sz w:val="26"/>
          <w:szCs w:val="26"/>
        </w:rPr>
        <w:t>What is Covered</w:t>
      </w:r>
    </w:p>
    <w:p>
      <w:pPr>
        <w:pStyle w:val="ListParagraph"/>
        <w:numPr>
          <w:ilvl w:val="0"/>
          <w:numId w:val="2"/>
        </w:numPr>
        <w:spacing w:before="40" w:after="40"/>
        <w:rPr/>
      </w:pPr>
      <w:r>
        <w:rPr>
          <w:rFonts w:eastAsia="Arial" w:cs="Arial"/>
          <w:color w:val="111111"/>
          <w:sz w:val="22"/>
          <w:szCs w:val="22"/>
        </w:rPr>
        <w:t>Manufacturing defects in the LED grid, buttons, or internal circuitry.</w:t>
      </w:r>
    </w:p>
    <w:p>
      <w:pPr>
        <w:pStyle w:val="ListParagraph"/>
        <w:numPr>
          <w:ilvl w:val="0"/>
          <w:numId w:val="2"/>
        </w:numPr>
        <w:spacing w:before="40" w:after="40"/>
        <w:rPr/>
      </w:pPr>
      <w:r>
        <w:rPr>
          <w:rFonts w:eastAsia="Arial" w:cs="Arial"/>
          <w:color w:val="111111"/>
          <w:sz w:val="22"/>
          <w:szCs w:val="22"/>
        </w:rPr>
        <w:t>Built-in battery defects (capacity falling below 70% within 6 months of normal use).</w:t>
      </w:r>
    </w:p>
    <w:p>
      <w:pPr>
        <w:pStyle w:val="ListParagraph"/>
        <w:numPr>
          <w:ilvl w:val="0"/>
          <w:numId w:val="2"/>
        </w:numPr>
        <w:spacing w:before="40" w:after="40"/>
        <w:rPr/>
      </w:pPr>
      <w:r>
        <w:rPr>
          <w:rFonts w:eastAsia="Arial" w:cs="Arial"/>
          <w:color w:val="111111"/>
          <w:sz w:val="22"/>
          <w:szCs w:val="22"/>
        </w:rPr>
        <w:t>USB-C port failure under normal use conditions.</w:t>
      </w:r>
    </w:p>
    <w:p>
      <w:pPr>
        <w:pStyle w:val="ListParagraph"/>
        <w:numPr>
          <w:ilvl w:val="0"/>
          <w:numId w:val="2"/>
        </w:numPr>
        <w:spacing w:before="40" w:after="40"/>
        <w:rPr/>
      </w:pPr>
      <w:r>
        <w:rPr>
          <w:rFonts w:eastAsia="Arial" w:cs="Arial"/>
          <w:color w:val="111111"/>
          <w:sz w:val="22"/>
          <w:szCs w:val="22"/>
        </w:rPr>
        <w:t>Software / firmware malfunctions not caused by user modification.</w:t>
      </w:r>
    </w:p>
    <w:p>
      <w:pPr>
        <w:pStyle w:val="Normal"/>
        <w:spacing w:before="0" w:after="120"/>
        <w:rPr/>
      </w:pPr>
      <w:r>
        <w:rPr/>
      </w:r>
    </w:p>
    <w:p>
      <w:pPr>
        <w:pStyle w:val="Heading2"/>
        <w:spacing w:before="280" w:after="100"/>
        <w:rPr/>
      </w:pPr>
      <w:r>
        <w:rPr>
          <w:rFonts w:eastAsia="Arial" w:cs="Arial" w:ascii="Arial" w:hAnsi="Arial"/>
          <w:b/>
          <w:bCs/>
          <w:color w:val="6C2BD9"/>
          <w:sz w:val="26"/>
          <w:szCs w:val="26"/>
        </w:rPr>
        <w:t>What is Not Covered</w:t>
      </w:r>
    </w:p>
    <w:p>
      <w:pPr>
        <w:pStyle w:val="ListParagraph"/>
        <w:numPr>
          <w:ilvl w:val="0"/>
          <w:numId w:val="2"/>
        </w:numPr>
        <w:spacing w:before="40" w:after="40"/>
        <w:rPr/>
      </w:pPr>
      <w:r>
        <w:rPr>
          <w:rFonts w:eastAsia="Arial" w:cs="Arial"/>
          <w:color w:val="111111"/>
          <w:sz w:val="22"/>
          <w:szCs w:val="22"/>
        </w:rPr>
        <w:t>Physical damage caused by dropping, impact, or misuse.</w:t>
      </w:r>
    </w:p>
    <w:p>
      <w:pPr>
        <w:pStyle w:val="ListParagraph"/>
        <w:numPr>
          <w:ilvl w:val="0"/>
          <w:numId w:val="2"/>
        </w:numPr>
        <w:spacing w:before="40" w:after="40"/>
        <w:rPr/>
      </w:pPr>
      <w:r>
        <w:rPr>
          <w:rFonts w:eastAsia="Arial" w:cs="Arial"/>
          <w:color w:val="111111"/>
          <w:sz w:val="22"/>
          <w:szCs w:val="22"/>
        </w:rPr>
        <w:t>Water or liquid damage.</w:t>
      </w:r>
    </w:p>
    <w:p>
      <w:pPr>
        <w:pStyle w:val="ListParagraph"/>
        <w:numPr>
          <w:ilvl w:val="0"/>
          <w:numId w:val="2"/>
        </w:numPr>
        <w:spacing w:before="40" w:after="40"/>
        <w:rPr/>
      </w:pPr>
      <w:r>
        <w:rPr>
          <w:rFonts w:eastAsia="Arial" w:cs="Arial"/>
          <w:color w:val="111111"/>
          <w:sz w:val="22"/>
          <w:szCs w:val="22"/>
        </w:rPr>
        <w:t>Damage resulting from use of non-approved chargers or accessories.</w:t>
      </w:r>
    </w:p>
    <w:p>
      <w:pPr>
        <w:pStyle w:val="ListParagraph"/>
        <w:numPr>
          <w:ilvl w:val="0"/>
          <w:numId w:val="2"/>
        </w:numPr>
        <w:spacing w:before="40" w:after="40"/>
        <w:rPr/>
      </w:pPr>
      <w:r>
        <w:rPr>
          <w:rFonts w:eastAsia="Arial" w:cs="Arial"/>
          <w:color w:val="111111"/>
          <w:sz w:val="22"/>
          <w:szCs w:val="22"/>
        </w:rPr>
        <w:t>Devices that have been opened, tampered with, or modified.</w:t>
      </w:r>
    </w:p>
    <w:p>
      <w:pPr>
        <w:pStyle w:val="ListParagraph"/>
        <w:numPr>
          <w:ilvl w:val="0"/>
          <w:numId w:val="2"/>
        </w:numPr>
        <w:spacing w:before="40" w:after="40"/>
        <w:rPr/>
      </w:pPr>
      <w:r>
        <w:rPr>
          <w:rFonts w:eastAsia="Arial" w:cs="Arial"/>
          <w:color w:val="111111"/>
          <w:sz w:val="22"/>
          <w:szCs w:val="22"/>
        </w:rPr>
        <w:t>Normal wear and tear, including cosmetic damage to casing or buttons.</w:t>
      </w:r>
    </w:p>
    <w:p>
      <w:pPr>
        <w:pStyle w:val="ListParagraph"/>
        <w:numPr>
          <w:ilvl w:val="0"/>
          <w:numId w:val="2"/>
        </w:numPr>
        <w:spacing w:before="40" w:after="40"/>
        <w:rPr/>
      </w:pPr>
      <w:r>
        <w:rPr>
          <w:rFonts w:eastAsia="Arial" w:cs="Arial"/>
          <w:color w:val="111111"/>
          <w:sz w:val="22"/>
          <w:szCs w:val="22"/>
        </w:rPr>
        <w:t>Loss or theft.</w:t>
      </w:r>
    </w:p>
    <w:p>
      <w:pPr>
        <w:pStyle w:val="Normal"/>
        <w:spacing w:before="0" w:after="120"/>
        <w:rPr/>
      </w:pPr>
      <w:r>
        <w:rPr/>
      </w:r>
    </w:p>
    <w:p>
      <w:pPr>
        <w:pStyle w:val="Heading2"/>
        <w:spacing w:before="280" w:after="100"/>
        <w:rPr/>
      </w:pPr>
      <w:r>
        <w:rPr>
          <w:rFonts w:eastAsia="Arial" w:cs="Arial" w:ascii="Arial" w:hAnsi="Arial"/>
          <w:b/>
          <w:bCs/>
          <w:color w:val="6C2BD9"/>
          <w:sz w:val="26"/>
          <w:szCs w:val="26"/>
        </w:rPr>
        <w:t>How to Claim Warranty</w:t>
      </w:r>
    </w:p>
    <w:p>
      <w:pPr>
        <w:pStyle w:val="ListParagraph"/>
        <w:numPr>
          <w:ilvl w:val="0"/>
          <w:numId w:val="3"/>
        </w:numPr>
        <w:spacing w:before="40" w:after="40"/>
        <w:rPr/>
      </w:pPr>
      <w:r>
        <w:rPr>
          <w:rFonts w:eastAsia="Arial" w:cs="Arial"/>
          <w:color w:val="111111"/>
          <w:sz w:val="22"/>
          <w:szCs w:val="22"/>
        </w:rPr>
        <w:t>Contact support at support@neurogrid.com with proof of purchase and a description of the issue.</w:t>
      </w:r>
    </w:p>
    <w:p>
      <w:pPr>
        <w:pStyle w:val="ListParagraph"/>
        <w:numPr>
          <w:ilvl w:val="0"/>
          <w:numId w:val="3"/>
        </w:numPr>
        <w:spacing w:before="40" w:after="40"/>
        <w:rPr/>
      </w:pPr>
      <w:r>
        <w:rPr>
          <w:rFonts w:eastAsia="Arial" w:cs="Arial"/>
          <w:color w:val="111111"/>
          <w:sz w:val="22"/>
          <w:szCs w:val="22"/>
        </w:rPr>
        <w:t>Our team will respond within 2 business days with next steps.</w:t>
      </w:r>
    </w:p>
    <w:p>
      <w:pPr>
        <w:pStyle w:val="ListParagraph"/>
        <w:numPr>
          <w:ilvl w:val="0"/>
          <w:numId w:val="3"/>
        </w:numPr>
        <w:spacing w:before="40" w:after="40"/>
        <w:rPr/>
      </w:pPr>
      <w:r>
        <w:rPr>
          <w:rFonts w:eastAsia="Arial" w:cs="Arial"/>
          <w:color w:val="111111"/>
          <w:sz w:val="22"/>
          <w:szCs w:val="22"/>
        </w:rPr>
        <w:t>If approved, ship the device to our service centre. Return shipping for valid warranty claims is covered by us.</w:t>
      </w:r>
    </w:p>
    <w:p>
      <w:pPr>
        <w:pStyle w:val="ListParagraph"/>
        <w:numPr>
          <w:ilvl w:val="0"/>
          <w:numId w:val="3"/>
        </w:numPr>
        <w:spacing w:before="40" w:after="40"/>
        <w:rPr/>
      </w:pPr>
      <w:r>
        <w:rPr>
          <w:rFonts w:eastAsia="Arial" w:cs="Arial"/>
          <w:color w:val="111111"/>
          <w:sz w:val="22"/>
          <w:szCs w:val="22"/>
        </w:rPr>
        <w:t>Repaired or replacement units carry the remainder of the original warranty period.</w:t>
      </w:r>
    </w:p>
    <w:p>
      <w:pPr>
        <w:pStyle w:val="Normal"/>
        <w:spacing w:before="0" w:after="120"/>
        <w:rPr/>
      </w:pPr>
      <w:r>
        <w:rPr/>
      </w:r>
    </w:p>
    <w:tbl>
      <w:tblPr>
        <w:tblW w:w="9360" w:type="dxa"/>
        <w:jc w:val="left"/>
        <w:tblInd w:w="0" w:type="dxa"/>
        <w:tblLayout w:type="fixed"/>
        <w:tblCellMar>
          <w:top w:w="120" w:type="dxa"/>
          <w:left w:w="160" w:type="dxa"/>
          <w:bottom w:w="12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EEFF" w:val="clear"/>
          </w:tcPr>
          <w:p>
            <w:pPr>
              <w:pStyle w:val="Normal"/>
              <w:widowControl w:val="false"/>
              <w:spacing w:before="0" w:after="60"/>
              <w:rPr/>
            </w:pPr>
            <w:r>
              <w:rPr>
                <w:rFonts w:eastAsia="Arial" w:cs="Arial"/>
                <w:b/>
                <w:bCs/>
                <w:color w:val="6C2BD9"/>
                <w:sz w:val="22"/>
                <w:szCs w:val="22"/>
              </w:rPr>
              <w:t xml:space="preserve">📝 </w:t>
            </w:r>
            <w:r>
              <w:rPr>
                <w:rFonts w:eastAsia="Arial" w:cs="Arial"/>
                <w:b/>
                <w:bCs/>
                <w:color w:val="6C2BD9"/>
                <w:sz w:val="22"/>
                <w:szCs w:val="22"/>
              </w:rPr>
              <w:t>Note</w:t>
            </w:r>
          </w:p>
          <w:p>
            <w:pPr>
              <w:pStyle w:val="Normal"/>
              <w:widowControl w:val="false"/>
              <w:spacing w:before="0" w:after="0"/>
              <w:rPr/>
            </w:pPr>
            <w:r>
              <w:rPr>
                <w:rFonts w:eastAsia="Arial" w:cs="Arial"/>
                <w:color w:val="111111"/>
                <w:sz w:val="22"/>
                <w:szCs w:val="22"/>
              </w:rPr>
              <w:t>This warranty gives you specific legal rights. You may also have other rights which vary by country or region. This warranty does not affect your statutory consumer rights.</w:t>
            </w:r>
          </w:p>
        </w:tc>
      </w:tr>
    </w:tbl>
    <w:p>
      <w:pPr>
        <w:pStyle w:val="Normal"/>
        <w:spacing w:before="0" w:after="240"/>
        <w:rPr/>
      </w:pPr>
      <w:r>
        <w:rPr/>
      </w:r>
    </w:p>
    <w:p>
      <w:pPr>
        <w:pStyle w:val="Normal"/>
        <w:pBdr>
          <w:top w:val="single" w:sz="4" w:space="8" w:color="CCCCCC"/>
        </w:pBdr>
        <w:spacing w:before="240" w:after="120"/>
        <w:jc w:val="center"/>
        <w:rPr/>
      </w:pPr>
      <w:r>
        <w:rPr>
          <w:rFonts w:eastAsia="Arial" w:cs="Arial"/>
          <w:color w:val="888888"/>
          <w:sz w:val="20"/>
          <w:szCs w:val="20"/>
        </w:rPr>
        <w:t>NeuroGrid · Model TC26-GF-010 · www.neurogrid.com</w:t>
      </w:r>
    </w:p>
    <w:p>
      <w:pPr>
        <w:pStyle w:val="Normal"/>
        <w:jc w:val="center"/>
        <w:rPr/>
      </w:pPr>
      <w:r>
        <w:rPr>
          <w:rFonts w:eastAsia="Arial" w:cs="Arial"/>
          <w:color w:val="888888"/>
          <w:sz w:val="20"/>
          <w:szCs w:val="20"/>
        </w:rPr>
        <w:t>support@neurogrid.com · © 2026 NeuroGrid. All rights reserved.</w:t>
      </w:r>
    </w:p>
    <w:sectPr>
      <w:headerReference w:type="default" r:id="rId2"/>
      <w:footerReference w:type="default" r:id="rId3"/>
      <w:type w:val="nextPage"/>
      <w:pgSz w:w="12240" w:h="15840"/>
      <w:pgMar w:left="1260" w:right="126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6C2BD9"/>
      </w:pBdr>
      <w:tabs>
        <w:tab w:val="clear" w:pos="720"/>
        <w:tab w:val="right" w:pos="9026" w:leader="none"/>
      </w:tabs>
      <w:spacing w:before="120" w:after="0"/>
      <w:rPr/>
    </w:pPr>
    <w:r>
      <w:rPr>
        <w:rFonts w:eastAsia="Arial" w:cs="Arial"/>
        <w:color w:val="888888"/>
        <w:sz w:val="18"/>
        <w:szCs w:val="18"/>
      </w:rPr>
      <w:t>www.neurogrid.com</w:t>
      <w:tab/>
      <w:t xml:space="preserve">Page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6C2BD9"/>
      </w:pBdr>
      <w:tabs>
        <w:tab w:val="clear" w:pos="720"/>
        <w:tab w:val="right" w:pos="9026" w:leader="none"/>
      </w:tabs>
      <w:spacing w:before="0" w:after="120"/>
      <w:rPr/>
    </w:pPr>
    <w:r>
      <w:rPr>
        <w:rFonts w:eastAsia="Arial" w:cs="Arial"/>
        <w:b/>
        <w:bCs/>
        <w:color w:val="1A1A6E"/>
        <w:sz w:val="18"/>
        <w:szCs w:val="18"/>
      </w:rPr>
      <w:t>NeuroGrid — User Manual</w:t>
    </w:r>
    <w:r>
      <w:rPr>
        <w:rFonts w:eastAsia="Arial" w:cs="Arial"/>
        <w:color w:val="888888"/>
        <w:sz w:val="18"/>
        <w:szCs w:val="18"/>
      </w:rPr>
      <w:tab/>
      <w:t>Model TC26-GF-010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11111"/>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11111"/>
      <w:kern w:val="0"/>
      <w:sz w:val="22"/>
      <w:szCs w:val="22"/>
      <w:lang w:val="en-IN" w:eastAsia="zh-CN" w:bidi="hi-IN"/>
    </w:rPr>
  </w:style>
  <w:style w:type="paragraph" w:styleId="Heading1">
    <w:name w:val="Heading 1"/>
    <w:basedOn w:val="Heading"/>
    <w:qFormat/>
    <w:pPr>
      <w:spacing w:before="360" w:after="120"/>
      <w:outlineLvl w:val="0"/>
    </w:pPr>
    <w:rPr>
      <w:rFonts w:ascii="Arial" w:hAnsi="Arial" w:eastAsia="Arial" w:cs="Arial"/>
      <w:b/>
      <w:bCs/>
      <w:color w:val="1A1A6E"/>
      <w:sz w:val="32"/>
      <w:szCs w:val="32"/>
    </w:rPr>
  </w:style>
  <w:style w:type="paragraph" w:styleId="Heading2">
    <w:name w:val="Heading 2"/>
    <w:basedOn w:val="Heading"/>
    <w:qFormat/>
    <w:pPr>
      <w:spacing w:before="280" w:after="100"/>
      <w:outlineLvl w:val="1"/>
    </w:pPr>
    <w:rPr>
      <w:rFonts w:ascii="Arial" w:hAnsi="Arial" w:eastAsia="Arial" w:cs="Arial"/>
      <w:b/>
      <w:bCs/>
      <w:color w:val="6C2BD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111111"/>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111111"/>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240</TotalTime>
  <Application>LibreOffice/7.4.2.3$Linux_X86_64 LibreOffice_project/40$Build-3</Application>
  <AppVersion>15.0000</AppVersion>
  <Pages>8</Pages>
  <Words>1354</Words>
  <Characters>6928</Characters>
  <CharactersWithSpaces>8072</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2026-03-27T12:02:38Z</dcterms:created>
  <dc:creator>Un-named</dc:creator>
  <dc:description/>
  <dc:language>en-IN</dc:language>
  <cp:lastModifiedBy/>
  <dcterms:modified xsi:type="dcterms:W3CDTF">2026-03-28T01:18:43Z</dcterms:modified>
  <cp:revision>3</cp:revision>
  <dc:subject/>
  <dc:title/>
</cp:coreProperties>
</file>