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First Islamic Bank</w:t>
      </w:r>
    </w:p>
    <w:p>
      <w:pPr>
        <w:pStyle w:val="Normal"/>
        <w:rPr/>
      </w:pPr>
      <w:r>
        <w:rPr/>
      </w:r>
    </w:p>
    <w:p>
      <w:pPr>
        <w:pStyle w:val="Normal"/>
        <w:jc w:val="center"/>
        <w:rPr/>
      </w:pPr>
      <w:r>
        <w:rPr/>
        <w:t>Business Requirements Specification</w:t>
      </w:r>
    </w:p>
    <w:p>
      <w:pPr>
        <w:pStyle w:val="Normal"/>
        <w:jc w:val="center"/>
        <w:rPr/>
      </w:pPr>
      <w:r>
        <w:rPr/>
      </w:r>
    </w:p>
    <w:p>
      <w:pPr>
        <w:pStyle w:val="Normal"/>
        <w:rPr/>
      </w:pPr>
      <w:r>
        <w:rPr/>
        <w:t xml:space="preserve">Title: </w:t>
      </w:r>
      <w:r>
        <w:rPr/>
        <w:t>Jaywan Domestic and Co-Badged Card Scheme – Business Requirements Specification</w:t>
      </w:r>
    </w:p>
    <w:p>
      <w:pPr>
        <w:pStyle w:val="Normal"/>
        <w:rPr/>
      </w:pPr>
      <w:r>
        <w:rPr/>
        <w:t xml:space="preserve">ID: </w:t>
      </w:r>
      <w:r>
        <w:rPr/>
        <w:t>BRS-JAYWAN-COB-001</w:t>
      </w:r>
    </w:p>
    <w:p>
      <w:pPr>
        <w:pStyle w:val="Normal"/>
        <w:rPr/>
      </w:pPr>
      <w:r>
        <w:rPr/>
        <w:t xml:space="preserve">Program: </w:t>
      </w:r>
      <w:r>
        <w:rPr/>
        <w:t>Cards Transformation – Jaywan Domestic Scheme Enablement</w:t>
      </w:r>
    </w:p>
    <w:p>
      <w:pPr>
        <w:pStyle w:val="Normal"/>
        <w:rPr/>
      </w:pPr>
      <w:r>
        <w:rPr/>
        <w:t xml:space="preserve">Type: </w:t>
      </w:r>
      <w:r>
        <w:rPr/>
        <w:t>Business Requirements Specification</w:t>
      </w:r>
    </w:p>
    <w:p>
      <w:pPr>
        <w:pStyle w:val="Normal"/>
        <w:rPr/>
      </w:pPr>
      <w:r>
        <w:rPr/>
      </w:r>
    </w:p>
    <w:p>
      <w:pPr>
        <w:pStyle w:val="Normal"/>
        <w:rPr/>
      </w:pPr>
      <w:r>
        <w:rPr/>
        <w:t>T</w:t>
      </w:r>
      <w:r>
        <w:rPr/>
        <w:t xml:space="preserve">able </w:t>
      </w:r>
      <w:r>
        <w:rPr/>
        <w:t>O</w:t>
      </w:r>
      <w:r>
        <w:rPr/>
        <w:t xml:space="preserve">f </w:t>
      </w:r>
      <w:r>
        <w:rPr/>
        <w:t>C</w:t>
      </w:r>
      <w:r>
        <w:rPr/>
        <w:t xml:space="preserve">ontent: </w:t>
      </w:r>
    </w:p>
    <w:p>
      <w:pPr>
        <w:pStyle w:val="Normal"/>
        <w:rPr>
          <w:b/>
          <w:bCs/>
        </w:rPr>
      </w:pPr>
      <w:r>
        <w:rPr>
          <w:b/>
          <w:bCs/>
        </w:rPr>
      </w:r>
    </w:p>
    <w:p>
      <w:pPr>
        <w:pStyle w:val="Normal"/>
        <w:rPr>
          <w:b/>
          <w:bCs/>
        </w:rPr>
      </w:pPr>
      <w:r>
        <w:rPr>
          <w:b/>
          <w:bCs/>
        </w:rPr>
      </w:r>
    </w:p>
    <w:p>
      <w:pPr>
        <w:pStyle w:val="Normal"/>
        <w:rPr/>
      </w:pPr>
      <w:r>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2282"/>
        <w:gridCol w:w="1974"/>
        <w:gridCol w:w="2139"/>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2282"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197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3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r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t xml:space="preserve">Overview: </w:t>
      </w:r>
      <w:r>
        <w:rPr/>
        <w:t>This Business Requirements Specification (BRS) covers high-level business requirements for enabling the UAE domestic card scheme "Jaywan" for mono-badged (domestic/GCC) and co-badged (domestic + international network) payment cards in alignment with Central Bank of UAE (CBUAE) circular and related mandates. The document focuses on routing configuration for domestic vs. international transactions, support for tokenized transactions, high-level reporting, and regulatory compliance expectations based on the provided context. Only requirements explicitly inferable from the provided context are captured. Several areas remain ambiguous and require further clarification from business and CBUAE/Al Etihad Payments (AEP).</w:t>
      </w:r>
    </w:p>
    <w:p>
      <w:pPr>
        <w:pStyle w:val="Normal"/>
        <w:rPr/>
      </w:pPr>
      <w:r>
        <w:rPr/>
      </w:r>
    </w:p>
    <w:p>
      <w:pPr>
        <w:pStyle w:val="Normal"/>
        <w:rPr/>
      </w:pPr>
      <w:r>
        <w:rPr/>
        <w:t xml:space="preserve">Current constraints: </w:t>
      </w:r>
      <w:r>
        <w:rPr/>
        <w:t>1. Existing card issuance is primarily on international schemes (e.g., Visa, MasterCard), with no or limited support for Jaywan domestic scheme.</w:t>
        <w:br/>
        <w:t>2. Current routing logic is designed around international schemes and may not differentiate domestic vs. international transaction routing in line with Jaywan domestic scheme requirements.</w:t>
        <w:br/>
        <w:t>3. Dual messaging processes (SMS/DMS) and reconciliation/reporting are currently aligned to Visa/MasterCard and existing CBUAE DMS processes; Jaywan-specific processing is not yet implemented.</w:t>
        <w:br/>
        <w:t>4. Support for mobile wallets (e.g., Samsung Wallet, Google Pay, Apple Pay) is in place for existing international schemes but not yet configured for Jaywan cards.</w:t>
        <w:br/>
        <w:t>5. Details of reconciliation processes, GL mapping, and regulatory reporting specific to Jaywan are not yet fully defined in the provided context.</w:t>
      </w:r>
    </w:p>
    <w:p>
      <w:pPr>
        <w:pStyle w:val="Normal"/>
        <w:rPr/>
      </w:pPr>
      <w:r>
        <w:rPr/>
      </w:r>
    </w:p>
    <w:p>
      <w:pPr>
        <w:pStyle w:val="Normal"/>
        <w:rPr/>
      </w:pPr>
      <w:r>
        <w:rPr/>
        <w:t xml:space="preserve">Objective: </w:t>
      </w:r>
      <w:r>
        <w:rPr/>
        <w:t>To comply with the CBUAE circular and central government mandate that all licensed financial institutions must launch Jaywan co-badged cards, ensuring that cards issued by the Bank support both domestic (Jaywan) and international (e.g., Visa or MasterCard) transactions. The Bank shall issue Jaywan mono-badged and co-badged cards, configure transaction routing in line with regulatory requirements, and prepare internal processes and systems for domestic scheme usage, including tokenized and e-commerce transactions where applicable.</w:t>
      </w:r>
    </w:p>
    <w:p>
      <w:pPr>
        <w:pStyle w:val="Normal"/>
        <w:rPr/>
      </w:pPr>
      <w:r>
        <w:rPr/>
      </w:r>
    </w:p>
    <w:p>
      <w:pPr>
        <w:pStyle w:val="Normal"/>
        <w:rPr/>
      </w:pPr>
      <w:r>
        <w:rPr/>
        <w:t xml:space="preserve">In scope: </w:t>
      </w:r>
      <w:r>
        <w:rPr/>
        <w:t>1. Enablement of Jaywan co-badged cards for customers currently eligible for Visa/MasterCard products, in alignment with CBUAE circular reference number 5480 2024 (as referenced in context).</w:t>
        <w:br/>
        <w:t>2. Enablement of Jaywan mono-badged cards for domestic and GCC usage as supported by AEP infrastructure (as per context indicating mono-badge for local and GCC usage).</w:t>
        <w:br/>
        <w:t>3. High-level routing logic configuration to support domestic vs. international transaction routing for co-badged cards.</w:t>
        <w:br/>
        <w:t>4. Consideration of POS tokenized transactions and e-commerce/tokenization flows in context of Jaywan, referencing existing Visa DMS and CBUAE DMS process documentation.</w:t>
        <w:br/>
        <w:t>5. High-level reporting considerations for Jaywan transactions, aligned with existing regulatory and internal reporting where mentioned.</w:t>
        <w:br/>
        <w:t>6. Identification of open questions and ambiguities requiring clarification from AEP/CBUAE and Business.</w:t>
        <w:br/>
        <w:t>7. High-level alignment to readiness of financial infrastructure announced by AEP for Jaywan local and global usage.</w:t>
      </w:r>
    </w:p>
    <w:p>
      <w:pPr>
        <w:pStyle w:val="Normal"/>
        <w:rPr/>
      </w:pPr>
      <w:r>
        <w:rPr/>
      </w:r>
    </w:p>
    <w:p>
      <w:pPr>
        <w:pStyle w:val="Normal"/>
        <w:rPr/>
      </w:pPr>
      <w:r>
        <w:rPr/>
        <w:t xml:space="preserve">Out of scope: </w:t>
      </w:r>
      <w:r>
        <w:rPr/>
        <w:t>1. Detailed technical design, message specifications, interface contracts, and file layouts for Jaywan scheme integration.</w:t>
        <w:br/>
        <w:t>2. Detailed product features (e.g., rewards, fees, interest, loyalty) for Jaywan cards beyond regulatory mandates.</w:t>
        <w:br/>
        <w:t>3. Detailed chargeback, dispute management, refund and reversal processing rules specific to Jaywan (not sufficiently defined in the context).</w:t>
        <w:br/>
        <w:t>4. Detailed reconciliation logic and GL booking rules (beyond confirmation that GL details are ready), as formats and flows for Jaywan-specific postings are not provided.</w:t>
        <w:br/>
        <w:t>5. Customer-facing marketing content, branding, and awareness campaign materials for Jaywan.</w:t>
        <w:br/>
        <w:t>6. Non-card payment instruments (e.g., account-to-account instant payments) not mentioned in the context.</w:t>
        <w:br/>
        <w:t>7. Any assumptions about future bilateral agreements (e.g., India, other countries) beyond acknowledging that global usability is anticipated; detailed requirements are not defined in the context.</w:t>
      </w:r>
    </w:p>
    <w:p>
      <w:pPr>
        <w:pStyle w:val="Normal"/>
        <w:rPr/>
      </w:pPr>
      <w:r>
        <w:rPr/>
      </w:r>
    </w:p>
    <w:p>
      <w:pPr>
        <w:pStyle w:val="Normal"/>
        <w:rPr/>
      </w:pPr>
      <w:r>
        <w:rPr/>
      </w:r>
    </w:p>
    <w:p>
      <w:pPr>
        <w:pStyle w:val="Normal"/>
        <w:rPr/>
      </w:pPr>
      <w:r>
        <w:rPr/>
        <w:t>Business requirements</w:t>
      </w:r>
    </w:p>
    <w:p>
      <w:pPr>
        <w:pStyle w:val="Normal"/>
        <w:rPr/>
      </w:pPr>
      <w:r>
        <w:rPr/>
        <w:t>REQID</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top w:val="single" w:sz="8" w:space="0" w:color="000000"/>
              <w:bottom w:val="single" w:sz="8" w:space="0" w:color="000000"/>
              <w:right w:val="single" w:sz="8" w:space="0" w:color="000000"/>
            </w:tcBorders>
          </w:tcPr>
          <w:p>
            <w:pPr>
              <w:pStyle w:val="Normal"/>
              <w:spacing w:before="0" w:after="160"/>
              <w:rPr/>
            </w:pPr>
            <w:r>
              <w:rPr/>
              <w:t>Jaywan Domestic and Co-Badged Card Scheme – Business Requirements Specification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pPr>
              <w:pStyle w:val="Normal"/>
              <w:spacing w:before="0" w:after="160"/>
              <w:rPr/>
            </w:pPr>
            <w:r>
              <w:rPr/>
              <w:t>High-level business requirements for implementing and supporting the Jaywan domestic card scheme (mono-badged and co-badged) within the Bank’s card issuing and acquiring ecosystem, ensuring compliance with applicable CBUAE mandates and alignment with AEP infrastructure readiness. Requirements focus on co-badging, routing, tokenization scope, reporting, and regulatory adherence based strictly on the provided context.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pPr>
              <w:pStyle w:val="Normal"/>
              <w:spacing w:before="0" w:after="160"/>
              <w:rPr/>
            </w:pPr>
            <w:r>
              <w:rPr/>
              <w:t>1. The Bank issues payment cards primarily on international schemes (e.g., Visa, MasterCard), with routing based on existing scheme rules and without dedicated Jaywan domestic scheme participation.</w:t>
              <w:br/>
              <w:t>2. Current SMS (Single Message System) processing is implemented for ATM and POS transactions according to existing scheme requirements.</w:t>
              <w:br/>
              <w:t>3. Current Visa DMS (Dual Message System) is implemented for Visa e-commerce and tokenization transactions, as per documented process flows.</w:t>
              <w:br/>
              <w:t>4. A CBUAE DMS process is documented as a future (to-be) state for e-commerce and tokenization transactions, but specific Jaywan implementation details are not yet in place.</w:t>
              <w:br/>
              <w:t>5. GL details for existing card operations are confirmed as ready by Finance, but these are aligned to existing scheme processing.</w:t>
              <w:br/>
              <w:t>6. POS tokenized transaction handling is in discussion and may need to be included in future scope; current confirmed implementation status is not clearly defined in the context.</w:t>
              <w:br/>
              <w:t>7. Reporting and reconciliation currently follow existing CBUAE and card scheme reporting mandates; Jaywan-specific reports are not described in detail.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pPr>
              <w:pStyle w:val="Normal"/>
              <w:spacing w:before="0" w:after="160"/>
              <w:rPr/>
            </w:pPr>
            <w:r>
              <w:rPr/>
              <w:t>1. The Bank shall issue Jaywan co-badged cards (Jaywan + an international scheme such as Visa or MasterCard) for customers, ensuring support for both domestic and international transactions, in compliance with CBUAE circular reference number 5480 2024 (as referenced in context).</w:t>
              <w:br/>
              <w:t>2. The Bank shall issue Jaywan mono-badged cards for domestic and GCC usage in line with AEP and CBUAE guidelines, where applicable to customer segments/products.</w:t>
              <w:br/>
              <w:t>3. Transaction routing for co-badged cards shall be configured such that domestic transactions within UAE (and GCC where Jaywan mono-badge is supported) are processed via Jaywan, and international transactions are processed via the corresponding international scheme, subject to regulatory routing rules.</w:t>
              <w:br/>
              <w:t>4. The Bank shall extend its existing process flows (SMS, Visa DMS, CBUAE DMS) to incorporate Jaywan domestic scheme transactions for e-commerce and tokenization, in line with AEP/CBUAE specifications once provided.</w:t>
              <w:br/>
              <w:t>5. POS tokenized transactions involving Jaywan cards shall be brought under scope as indicated in discussions, and shall be processed in alignment with applicable CBUAE DMS and Jaywan scheme rules once defined.</w:t>
              <w:br/>
              <w:t>6. The Bank shall prepare to support Jaywan cards in mobile and digital wallets (e.g., Samsung Wallet at launch, followed by Google Pay and Apple Pay as infrastructure is ready) in accordance with AEP roadmap and applicable wallet agreements; detailed requirements remain subject to AEP specifications.</w:t>
              <w:br/>
              <w:t>7. Reporting and reconciliation capabilities shall be extended to include Jaywan domestic and co-badged transaction data to support regulatory reporting to CBUAE and internal operational and finance reporting, once official formats and content requirements are provided by CBUAE/AEP.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pPr>
              <w:pStyle w:val="Normal"/>
              <w:spacing w:before="0" w:after="160"/>
              <w:rPr/>
            </w:pPr>
            <w:r>
              <w:rPr/>
              <w:t>1. Receipt of formal CBUAE circular(s) and AEP implementation guidelines for Jaywan domestic scheme, including detailed routing, message standards, and compliance requirements.</w:t>
              <w:br/>
              <w:t>2. Availability of Jaywan scheme operating rules, technical specification documents, and certification requirements from AEP.</w:t>
              <w:br/>
              <w:t>3. Confirmation from Finance on GL structure and posting requirements specifically for Jaywan transaction types (issuing and acquiring, where applicable).</w:t>
              <w:br/>
              <w:t>4. Agreement between Business and IT on scope of Jaywan mono-badged and co-badged products, based on regulatory mandate and internal product strategy.</w:t>
              <w:br/>
              <w:t>5. Completion of discovery sessions for additional requirements related to Jaywan mono-badged and co-badged cards as per the scheduled meetings in the context.</w:t>
              <w:br/>
              <w:t>6. Finalization of CBUAE DMS to-be process documentation for e-commerce and tokenization transactions, including Jaywan-specific flows.</w:t>
              <w:br/>
              <w:t>7. Contractual and integration readiness with mobile wallet providers (Samsung Wallet, Google Pay, Apple Pay) for Jaywan, as per AEP roadmap.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pPr>
              <w:pStyle w:val="Normal"/>
              <w:spacing w:before="0" w:after="160"/>
              <w:rPr/>
            </w:pPr>
            <w:r>
              <w:rPr/>
              <w:t>1. The Bank can successfully issue at least one Jaywan co-badged card product and at least one Jaywan mono-badged card product in the production environment, in accordance with confirmed regulatory requirements.</w:t>
              <w:br/>
              <w:t>2. Sample domestic transactions initiated on Jaywan co-badged cards within the UAE are routed and authorized via Jaywan, and international transactions are routed and authorized via the corresponding international scheme, as verified in end-to-end tests.</w:t>
              <w:br/>
              <w:t>3. For defined tokenized and e-commerce transactions, Jaywan card transactions follow the agreed CBUAE DMS/Jaywan flows and are visible in monitoring and operational dashboards.</w:t>
              <w:br/>
              <w:t>4. POS tokenized transactions for Jaywan cards (where in scope) are processed without errors and are correctly reflected in downstream settlement and reconciliation systems.</w:t>
              <w:br/>
              <w:t>5. Jaywan card transactions appear in test regulatory and internal reports in line with AEP/CBUAE sample formats (once provided), with correct segregation between domestic Jaywan and international scheme transactions for co-badged cards.</w:t>
              <w:br/>
              <w:t>6. No critical or high regulatory non-compliance issues are raised during internal compliance review and any external scheme/CBUAE certification related to Jaywan implementation.</w:t>
              <w:br/>
              <w:t>7. All open questions identified in this BRS are either clarified and updated in subsequent versions of the BRS or explicitly deferred and documented as out of current release scope.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pPr>
              <w:pStyle w:val="Normal"/>
              <w:spacing w:before="0" w:after="160"/>
              <w:rPr/>
            </w:pPr>
            <w:r>
              <w:rPr/>
              <w:t xml:space="preserve">1. In the event that Jaywan infrastructure is temporarily unavailable, the Bank’s routing logic for co-badged cards may need to fall back to processing certain domestic transactions via the international scheme, subject to CBUAE and AEP rules. This behavior is not defined in the provided context and requires regulatory clarification. </w:t>
              <w:br/>
              <w:t xml:space="preserve">2. For customers or products where co-badging is not yet feasible due to technical or regulatory constraints, the Bank may temporarily continue issuing single-scheme international cards under existing rules, if permitted by CBUAE during a transition period; this requires explicit regulatory confirmation. </w:t>
              <w:br/>
              <w:t>3. Where mobile wallet enablement for Jaywan (e.g., Google Pay, Apple Pay) is not yet available, customers may use physical Jaywan cards for POS/ATM while wallet enablement is deferred to a later phase aligned with AEP roadmap.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pPr>
              <w:pStyle w:val="Normal"/>
              <w:spacing w:before="0" w:after="160"/>
              <w:rPr/>
            </w:pPr>
            <w:r>
              <w:rPr/>
              <w:t>1. CBUAE Circular – Mandate for Jaywan domestic card scheme and co-badged card issuance (including reference number 5480 2024 as cited in context).</w:t>
              <w:br/>
              <w:t>2. AEP communication: "Jaywan – the UAE's First Domestic Card Scheme Introduced to Strengthen the UAE's Position as a Global Hub for Digital Payments".</w:t>
              <w:br/>
              <w:t>3. AEP readiness communication for Jaywan infrastructure and options (mono-badge for local and GCC, co-badge with international payment networks for local and international usage).</w:t>
              <w:br/>
              <w:t>4. Internal documented process flows: Current SMS (ATM, POS), Current Visa DMS (Visa e-commerce and tokenization transactions), CBUAE DMS (to-be for e-commerce and tokenization transactions).</w:t>
              <w:br/>
              <w:t>5. Internal meeting minutes and discovery session schedules related to Jaywan mono-badged and co-badged card requirements.</w:t>
              <w:br/>
              <w:t>6. Any original reports received from CBUAE relevant to Jaywan and reconciliation (referenced in context but not fully detailed).</w:t>
            </w:r>
          </w:p>
        </w:tc>
      </w:tr>
    </w:tbl>
    <w:p>
      <w:pPr>
        <w:pStyle w:val="Normal"/>
        <w:rPr/>
      </w:pPr>
      <w:r>
        <w:rPr/>
      </w:r>
    </w:p>
    <w:p>
      <w:pPr>
        <w:pStyle w:val="Normal"/>
        <w:rPr/>
      </w:pPr>
      <w:r>
        <w:rPr/>
        <w:t>Requirement Traceability Matrix</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684"/>
        <w:gridCol w:w="1924"/>
        <w:gridCol w:w="1543"/>
        <w:gridCol w:w="1935"/>
        <w:gridCol w:w="1544"/>
      </w:tblGrid>
      <w:tr>
        <w:trPr/>
        <w:tc>
          <w:tcPr>
            <w:tcW w:w="168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REQ ID</w:t>
            </w:r>
          </w:p>
        </w:tc>
        <w:tc>
          <w:tcPr>
            <w:tcW w:w="192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1543"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Source Channel</w:t>
            </w:r>
          </w:p>
        </w:tc>
        <w:tc>
          <w:tcPr>
            <w:tcW w:w="1935"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Impacted System</w:t>
            </w:r>
          </w:p>
        </w:tc>
        <w:tc>
          <w:tcPr>
            <w:tcW w:w="154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Outcome</w:t>
            </w:r>
          </w:p>
        </w:tc>
      </w:tr>
      <w:tr>
        <w:trPr/>
        <w:tc>
          <w:tcPr>
            <w:tcW w:w="1684" w:type="dxa"/>
            <w:tcBorders>
              <w:left w:val="single" w:sz="8" w:space="0" w:color="000000"/>
              <w:bottom w:val="single" w:sz="8" w:space="0" w:color="000000"/>
              <w:right w:val="single" w:sz="8" w:space="0" w:color="000000"/>
            </w:tcBorders>
          </w:tcPr>
          <w:p>
            <w:pPr>
              <w:pStyle w:val="Normal"/>
              <w:spacing w:before="0" w:after="160"/>
              <w:rPr/>
            </w:pPr>
            <w:r>
              <w:rPr/>
              <w:t>REQID1</w:t>
            </w:r>
          </w:p>
        </w:tc>
        <w:tc>
          <w:tcPr>
            <w:tcW w:w="1924" w:type="dxa"/>
            <w:tcBorders>
              <w:bottom w:val="single" w:sz="8" w:space="0" w:color="000000"/>
              <w:right w:val="single" w:sz="8" w:space="0" w:color="000000"/>
            </w:tcBorders>
          </w:tcPr>
          <w:p>
            <w:pPr>
              <w:pStyle w:val="Normal"/>
              <w:spacing w:before="0" w:after="160"/>
              <w:rPr/>
            </w:pPr>
            <w:r>
              <w:rPr/>
              <w:t>High-level business requirements for implementing and supporting the Jaywan domestic card scheme (mono-badged and co-badged) within the Bank’s card issuing and acquiring ecosystem, ensuring compliance with applicable CBUAE mandates and alignment with AEP infrastructure readiness. Requirements focus on co-badging, routing, tokenization scope, reporting, and regulatory adherence based strictly on the provided context.</w:t>
            </w:r>
          </w:p>
        </w:tc>
        <w:tc>
          <w:tcPr>
            <w:tcW w:w="1543" w:type="dxa"/>
            <w:tcBorders>
              <w:bottom w:val="single" w:sz="8" w:space="0" w:color="000000"/>
              <w:right w:val="single" w:sz="8" w:space="0" w:color="000000"/>
            </w:tcBorders>
          </w:tcPr>
          <w:p>
            <w:pPr>
              <w:pStyle w:val="Normal"/>
              <w:spacing w:before="0" w:after="160"/>
              <w:rPr/>
            </w:pPr>
            <w:r>
              <w:rPr/>
              <w:t>Business / Regulatory (CBUAE Circular and AEP Communication)</w:t>
            </w:r>
          </w:p>
        </w:tc>
        <w:tc>
          <w:tcPr>
            <w:tcW w:w="1935" w:type="dxa"/>
            <w:tcBorders>
              <w:bottom w:val="single" w:sz="8" w:space="0" w:color="000000"/>
              <w:right w:val="single" w:sz="8" w:space="0" w:color="000000"/>
            </w:tcBorders>
          </w:tcPr>
          <w:p>
            <w:pPr>
              <w:pStyle w:val="Normal"/>
              <w:spacing w:before="0" w:after="160"/>
              <w:rPr/>
            </w:pPr>
            <w:r>
              <w:rPr/>
              <w:t>Card Management System (CMS), Customer Onboarding/CRM, Card Personalization System, Data Warehouse/Reporting</w:t>
            </w:r>
          </w:p>
        </w:tc>
        <w:tc>
          <w:tcPr>
            <w:tcW w:w="1544" w:type="dxa"/>
            <w:tcBorders>
              <w:bottom w:val="single" w:sz="8" w:space="0" w:color="000000"/>
              <w:right w:val="single" w:sz="8" w:space="0" w:color="000000"/>
            </w:tcBorders>
          </w:tcPr>
          <w:p>
            <w:pPr>
              <w:pStyle w:val="Normal"/>
              <w:spacing w:before="0" w:after="160"/>
              <w:rPr/>
            </w:pPr>
            <w:r>
              <w:rPr/>
              <w:t>The Bank can issue and manage Jaywan co-badged cards in line with CBUAE mandate, ensuring that both domestic and international transactions are supported for applicable cardholders.</w:t>
            </w:r>
          </w:p>
        </w:tc>
      </w:tr>
      <w:tr>
        <w:trPr/>
        <w:tc>
          <w:tcPr>
            <w:tcW w:w="168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1924"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543"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935"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1544"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pPr>
              <w:pStyle w:val="Normal"/>
              <w:spacing w:before="0" w:after="160"/>
              <w:rPr/>
            </w:pPr>
            <w:r>
              <w:rPr/>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pPr>
              <w:pStyle w:val="Normal"/>
              <w:spacing w:before="0" w:after="160"/>
              <w:rPr/>
            </w:pPr>
            <w:r>
              <w:rPr/>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pPr>
              <w:pStyle w:val="Normal"/>
              <w:spacing w:before="0" w:after="160"/>
              <w:rPr/>
            </w:pPr>
            <w:r>
              <w:rPr/>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pPr>
              <w:pStyle w:val="Normal"/>
              <w:spacing w:before="0" w:after="160"/>
              <w:rPr/>
            </w:pPr>
            <w:r>
              <w:rPr/>
            </w:r>
          </w:p>
        </w:tc>
      </w:tr>
    </w:tbl>
    <w:p>
      <w:pPr>
        <w:pStyle w:val="Normal"/>
        <w:rPr/>
      </w:pPr>
      <w:r>
        <w:rPr/>
      </w:r>
    </w:p>
    <w:p>
      <w:pPr>
        <w:pStyle w:val="Normal"/>
        <w:rPr/>
      </w:pPr>
      <w:r>
        <w:rPr/>
        <w:t xml:space="preserve">Impact on Operational process: </w:t>
      </w:r>
      <w:r>
        <w:rPr/>
        <w:t>Card issuance operations shall be updated to include Jaywan co-badged card products, including card ordering, personalization, fulfillment, and lifecycle management processes.</w:t>
      </w:r>
    </w:p>
    <w:p>
      <w:pPr>
        <w:pStyle w:val="Normal"/>
        <w:rPr/>
      </w:pPr>
      <w:r>
        <w:rPr/>
      </w:r>
    </w:p>
    <w:p>
      <w:pPr>
        <w:pStyle w:val="Normal"/>
        <w:rPr/>
      </w:pPr>
      <w:r>
        <w:rPr/>
      </w:r>
    </w:p>
    <w:p>
      <w:pPr>
        <w:pStyle w:val="Normal"/>
        <w:rPr/>
      </w:pPr>
      <w:r>
        <w:rPr/>
        <w:t xml:space="preserve">Regulatory impact: </w:t>
      </w:r>
      <w:r>
        <w:rPr/>
        <w:t>Direct impact due to need to comply with CBUAE circular mandating Jaywan co-badged card issuance.</w:t>
      </w:r>
    </w:p>
    <w:p>
      <w:pPr>
        <w:pStyle w:val="Normal"/>
        <w:rPr/>
      </w:pPr>
      <w:r>
        <w:rPr/>
      </w:r>
    </w:p>
    <w:p>
      <w:pPr>
        <w:pStyle w:val="Normal"/>
        <w:rPr/>
      </w:pPr>
      <w:r>
        <w:rPr/>
      </w:r>
    </w:p>
    <w:p>
      <w:pPr>
        <w:pStyle w:val="Normal"/>
        <w:rPr/>
      </w:pPr>
      <w:r>
        <w:rPr/>
        <w:t xml:space="preserve">Reports requirement: </w:t>
      </w:r>
      <w:r>
        <w:rPr/>
      </w:r>
    </w:p>
    <w:p>
      <w:pPr>
        <w:pStyle w:val="Normal"/>
        <w:rPr/>
      </w:pPr>
      <w:r>
        <w:rPr/>
      </w:r>
    </w:p>
    <w:p>
      <w:pPr>
        <w:pStyle w:val="Normal"/>
        <w:rPr/>
      </w:pPr>
      <w:r>
        <w:rPr/>
      </w:r>
    </w:p>
    <w:p>
      <w:pPr>
        <w:pStyle w:val="Normal"/>
        <w:rPr/>
      </w:pPr>
      <w:r>
        <w:rPr/>
        <w:t xml:space="preserve">Access requirement: </w:t>
      </w:r>
      <w:r>
        <w:rPr/>
      </w:r>
    </w:p>
    <w:p>
      <w:pPr>
        <w:pStyle w:val="Normal"/>
        <w:rPr/>
      </w:pPr>
      <w:r>
        <w:rPr/>
      </w:r>
    </w:p>
    <w:p>
      <w:pPr>
        <w:pStyle w:val="Normal"/>
        <w:rPr/>
      </w:pPr>
      <w:r>
        <w:rPr/>
      </w:r>
    </w:p>
    <w:p>
      <w:pPr>
        <w:pStyle w:val="Normal"/>
        <w:rPr/>
      </w:pPr>
      <w:r>
        <w:rPr/>
        <w:t xml:space="preserve">Security requirement: </w:t>
      </w:r>
      <w:r>
        <w:rPr/>
      </w:r>
    </w:p>
    <w:p>
      <w:pPr>
        <w:pStyle w:val="Normal"/>
        <w:rPr/>
      </w:pPr>
      <w:r>
        <w:rPr/>
      </w:r>
    </w:p>
    <w:p>
      <w:pPr>
        <w:pStyle w:val="Normal"/>
        <w:rPr/>
      </w:pPr>
      <w:r>
        <w:rPr/>
      </w:r>
    </w:p>
    <w:p>
      <w:pPr>
        <w:pStyle w:val="Normal"/>
        <w:rPr/>
      </w:pPr>
      <w:r>
        <w:rPr/>
        <w:t xml:space="preserve">Data requirement: </w:t>
      </w:r>
      <w:r>
        <w:rPr/>
        <w:t>{date _requirement}</w:t>
      </w:r>
    </w:p>
    <w:p>
      <w:pPr>
        <w:pStyle w:val="Normal"/>
        <w:rPr/>
      </w:pPr>
      <w:r>
        <w:rPr/>
      </w:r>
    </w:p>
    <w:p>
      <w:pPr>
        <w:pStyle w:val="Normal"/>
        <w:rPr/>
      </w:pPr>
      <w:r>
        <w:rPr/>
      </w:r>
    </w:p>
    <w:p>
      <w:pPr>
        <w:pStyle w:val="Normal"/>
        <w:rPr/>
      </w:pPr>
      <w:r>
        <w:rPr/>
        <w:t xml:space="preserve">Training requirement: </w:t>
      </w:r>
      <w:r>
        <w:rPr/>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LibreOffice/25.2.7.2$Windows_X86_64 LibreOffice_project/5cbfd1ab6520636bb5f7b99185aa69bd7456825d</Application>
  <AppVersion>15.0000</AppVersion>
  <Pages>3</Pages>
  <Words>125</Words>
  <Characters>1149</Characters>
  <CharactersWithSpaces>1208</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2026-01-23T08:18:44Z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