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First Islamic Bank</w:t>
      </w:r>
    </w:p>
    <w:p>
      <w:pPr>
        <w:pStyle w:val="Normal"/>
        <w:rPr/>
      </w:pPr>
      <w:r/>
    </w:p>
    <w:p>
      <w:pPr>
        <w:pStyle w:val="Normal"/>
        <w:jc w:val="center"/>
        <w:rPr/>
      </w:pPr>
      <w:r>
        <w:t>Business Requirements Specification</w:t>
      </w:r>
    </w:p>
    <w:p>
      <w:pPr>
        <w:pStyle w:val="Normal"/>
        <w:jc w:val="center"/>
        <w:rPr/>
      </w:pPr>
      <w:r/>
    </w:p>
    <w:p>
      <w:pPr>
        <w:pStyle w:val="Normal"/>
        <w:rPr/>
      </w:pPr>
      <w:r>
        <w:t>Title: Business Requirements Document for Jaywan Domestic Card Scheme Enablement and Co-badged Card Issuance</w:t>
      </w:r>
    </w:p>
    <w:p>
      <w:pPr>
        <w:pStyle w:val="Normal"/>
        <w:rPr/>
      </w:pPr>
      <w:r>
        <w:t>ID: BRD-JAYWAN-COB-001</w:t>
      </w:r>
    </w:p>
    <w:p>
      <w:pPr>
        <w:pStyle w:val="Normal"/>
        <w:rPr/>
      </w:pPr>
      <w:r>
        <w:t>Program: Jaywan Domestic Card Scheme Implementation for Licensed Financial Institutions in the UAE</w:t>
      </w:r>
    </w:p>
    <w:p>
      <w:pPr>
        <w:pStyle w:val="Normal"/>
        <w:rPr/>
      </w:pPr>
      <w:r>
        <w:t>Type: Business Requirements Document (BRD)</w:t>
      </w:r>
    </w:p>
    <w:p>
      <w:pPr>
        <w:pStyle w:val="Normal"/>
        <w:rPr/>
      </w:pPr>
      <w:r/>
    </w:p>
    <w:p>
      <w:pPr>
        <w:pStyle w:val="Normal"/>
        <w:rPr/>
      </w:pPr>
      <w:r>
        <w:t>Table Of Content</w:t>
      </w:r>
    </w:p>
    <w:tbl>
      <w:tblPr>
        <w:tblW w:w="5000" w:type="pct"/>
        <w:jc w:val="left"/>
        <w:tblInd w:w="-5" w:type="dxa"/>
        <w:tblLayout w:type="fixed"/>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p>
        </w:tc>
      </w:tr>
    </w:tbl>
    <w:p>
      <w:pPr>
        <w:pStyle w:val="Normal"/>
        <w:rPr>
          <w:b/>
          <w:bCs/>
        </w:rPr>
      </w:pPr>
      <w:r/>
    </w:p>
    <w:p>
      <w:pPr>
        <w:pStyle w:val="Normal"/>
        <w:rPr>
          <w:b/>
          <w:bCs/>
        </w:rPr>
      </w:pPr>
      <w:r/>
    </w:p>
    <w:p>
      <w:pPr>
        <w:pStyle w:val="Normal"/>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Business Requirements Document (BRD) specifies the business, regulatory and operational requirements for implementing the CBUAE-mandated Jaywan domestic payment card scheme, including mono-badge Jaywan cards and Jaywan co-badged cards, within a licensed financial institution in the UAE. The BRD covers the enablement of Jaywan as a domestic scheme for ATM, POS, e-commerce and tokenized transactions, the issuance of Jaywan mono-badge and Jaywan co-badged cards (with Visa or Mastercard), and the necessary changes to routing, clearing, reconciliation and reporting to comply with CBUAE and Al Etihad Payments (AEP) mandates. The BRD also considers readiness for enablement with major digital wallets and alignment with bilateral expansion plans, while ensuring reduced payment costs, financial sovereignty, and a secure and seamless payment experience for customers and merchants in line with the UAE’s position as a global digital payments hub.</w:t>
      </w:r>
    </w:p>
    <w:p>
      <w:pPr>
        <w:pStyle w:val="Normal"/>
        <w:rPr/>
      </w:pPr>
      <w:r/>
    </w:p>
    <w:p>
      <w:pPr>
        <w:pStyle w:val="Normal"/>
        <w:rPr/>
      </w:pPr>
      <w:r>
        <w:t>Current constraints: Currently, the bank issues international scheme cards (e.g. Visa and Mastercard) for domestic and international transactions without a domestic card scheme routing option. Domestic UAE transactions are predominantly routed via international schemes, resulting in higher scheme fees and limited control over domestic payment infrastructure. Existing processes, system configurations and GL structures are aligned to the current SMS (ATM, POS) and Visa Dual Message System (DMS) for e-commerce and tokenization transactions. There is no production-ready enablement of the Jaywan domestic scheme, no mono-badge Jaywan cards in circulation, and no co-badged Jaywan cards configured for dual domestic and international routing. Current card tokenization, digital wallet integration and chargeback, refund and reversal processes are defined for international schemes only. Existing reconciliation processes and reports are aligned to current schemes and may not yet be adapted to CBUAE / AEP requirements for Jaywan. There are open clarifications with AEP regarding detailed process flows, message formats, reporting and reconciliation for Jaywan dual messaging and tokenized POS transactions.</w:t>
      </w:r>
    </w:p>
    <w:p>
      <w:pPr>
        <w:pStyle w:val="Normal"/>
        <w:rPr/>
      </w:pPr>
      <w:r/>
    </w:p>
    <w:p>
      <w:pPr>
        <w:pStyle w:val="Normal"/>
        <w:rPr/>
      </w:pPr>
      <w:r>
        <w:t>Objective: The objective is to implement Jaywan as the national domestic card payment scheme in compliance with CBUAE and Al Etihad Payments mandates, including Central Bank mandate reference number 5480-2024, by enabling issuance and processing of Jaywan mono-badge and Jaywan co-badged cards. The solution shall ensure that domestic transactions in the UAE are routed via the Jaywan domestic scheme, while international transactions continue to be routed via the co-badged international scheme where applicable. The implementation shall reduce domestic payment transaction costs, enhance financial sovereignty, and provide a secure, seamless and inclusive payment experience for both individuals and corporates. The bank shall achieve readiness of financial infrastructure to activate Jaywan locally and support its expansion to GCC and selected international corridors, while maintaining full compliance with CBUAE regulatory, reporting, security and customer protection requirements.</w:t>
      </w:r>
    </w:p>
    <w:p>
      <w:pPr>
        <w:pStyle w:val="Normal"/>
        <w:rPr/>
      </w:pPr>
      <w:r/>
    </w:p>
    <w:p>
      <w:pPr>
        <w:pStyle w:val="Normal"/>
        <w:rPr/>
      </w:pPr>
      <w:r>
        <w:t>In scope: Implementation of Jaywan mono-badge card issuance for domestic and GCC usage as per AEP and CBUAE guidance. Implementation of Jaywan co-badged card issuance in combination with Visa or Mastercard to support both domestic and international transactions. Configuration of card routing rules to ensure that domestic UAE transactions shall be processed via Jaywan and that international transactions shall be routed via the relevant international scheme for co-badged cards. Enablement of Jaywan for ATM, POS, e-commerce and tokenized transactions, including dual messaging as required by AEP. Assessment and potential inclusion of POS tokenized transactions within Jaywan scope. Alignment of GL account structures and posting rules for Jaywan-related transaction flows as confirmed by the Finance team. Design and documentation of to-be process flows for CBUAE DMS for e-commerce and tokenized transactions. Changes to chargeback, reversal and refund processes to incorporate Jaywan-specific rules, SLAs and workflows, aligned to AEP documentation. Setup of reconciliation processes and reports for Jaywan scheme transactions based on original reports received from CBUAE / AEP. Discovery sessions and requirement elaboration for additional needs related to Jaywan mono-badged and co-badged cards, as per the meeting schedule. Integration planning for Jaywan card usage in digital wallets (e.g. Samsung Wallet in initial phase and subsequent enablement on Google Pay and Apple Pay, subject to AEP timelines). Internal and external stakeholder engagement, including clarification of queries with AEP and alignment with CBUAE circulars and guidance notes.</w:t>
      </w:r>
    </w:p>
    <w:p>
      <w:pPr>
        <w:pStyle w:val="Normal"/>
        <w:rPr/>
      </w:pPr>
      <w:r/>
    </w:p>
    <w:p>
      <w:pPr>
        <w:pStyle w:val="Normal"/>
        <w:rPr/>
      </w:pPr>
      <w:r>
        <w:t>Out of scope: Detailed technical design, low-level system architecture and code-level implementation for host systems, switch, CMS, and channel applications. Commercial pricing models, interchange fee negotiations, and revenue-sharing arrangements with AEP or international schemes. Detailed definition of marketing campaign content beyond high-level alignment with AEP awareness initiatives. Implementation of bilateral agreements between AEP and foreign jurisdictions (e.g. India and other countries) beyond ensuring bank readiness to support such corridors when activated. Replacement or decommissioning strategy of existing non-Jaywan cards outside of the minimum changes required to comply with the co-badging mandate. Non-card payment instruments and schemes (e.g. account-to-account, instant payments) except where they intersect with card settlement and GL postings. Development of detailed SOC, infrastructure sizing and capacity planning documents beyond the high-level non-functional requirements specified herein.</w:t>
      </w:r>
    </w:p>
    <w:p>
      <w:pPr>
        <w:pStyle w:val="Normal"/>
        <w:rPr/>
      </w:pPr>
      <w:r/>
    </w:p>
    <w:p>
      <w:pPr>
        <w:pStyle w:val="Normal"/>
        <w:rPr/>
      </w:pPr>
      <w:r/>
    </w:p>
    <w:p>
      <w:pPr>
        <w:pStyle w:val="Normal"/>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pPr>
              <w:pStyle w:val="Normal"/>
              <w:spacing w:before="0" w:after="160"/>
              <w:rPr/>
            </w:pPr>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pPr>
              <w:pStyle w:val="Normal"/>
              <w:spacing w:before="0" w:after="160"/>
              <w:rPr/>
            </w:pPr>
            <w:r>
              <w:t>Issuance of Jaywan Mono-badge Cards for Domestic and GCC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pPr>
              <w:pStyle w:val="Normal"/>
              <w:spacing w:before="0" w:after="160"/>
              <w:rPr/>
            </w:pPr>
            <w:r>
              <w:t>The bank shall enable issuance and lifecycle management of Jaywan mono-badge cards that are usable for domestic UAE and GCC transactions in accordance with CBUAE and AEP mandates.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pPr>
              <w:pStyle w:val="Normal"/>
              <w:spacing w:before="0" w:after="160"/>
              <w:rPr/>
            </w:pPr>
            <w:r>
              <w:t>The bank currently issues only international scheme cards (e.g. Visa, Mastercard) for domestic and international transactions. There is no mono-badge domestic scheme card issuance and no association with the Jaywan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pPr>
              <w:pStyle w:val="Normal"/>
              <w:spacing w:before="0" w:after="160"/>
              <w:rPr/>
            </w:pPr>
            <w:r>
              <w:t>The bank shall configure its Card Management System (CMS) and related channels to issue Jaywan mono-badge cards for eligible customer segments, with scheme parameters, BIN ranges and product attributes as defined by AEP. The cards shall be accepted at domestic and GCC ATMs, POS terminals and other acquiring points that support Jaywan, and transactions shall be routed via the Jaywan domestic scheme infrastructure.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pPr>
              <w:pStyle w:val="Normal"/>
              <w:spacing w:before="0" w:after="160"/>
              <w:rPr/>
            </w:pPr>
            <w:r>
              <w:t>AEP shall allocate Jaywan BINs and product configuration details. CBUAE and AEP scheme rules for mono-badge usage in UAE and GCC shall be received and analysed. Internal product approval and risk assessment for Jaywan mono-badge cards shall be completed.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pPr>
              <w:pStyle w:val="Normal"/>
              <w:spacing w:before="0" w:after="160"/>
              <w:rPr/>
            </w:pPr>
            <w:r>
              <w:t>Test accounts shall be able to successfully perform ATM and POS transactions in UAE using Jaywan mono-badge cards routed via Jaywan. GCC acceptance shall be validated in line with AEP test plans where GCC acceptance is available. Card issuance, PIN management, renewal, replacement and closure shall function as per defined business processes. All relevant GL postings for Jaywan mono-badge transactions shall be correctly recorded.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pPr>
              <w:pStyle w:val="Normal"/>
              <w:spacing w:before="0" w:after="160"/>
              <w:rPr/>
            </w:pPr>
            <w:r>
              <w:t>If GCC acceptance via Jaywan is not yet available at go-live, the bank shall initially restrict Jaywan mono-badge cards to domestic UAE usage only and shall extend to GCC when AEP confirms readiness. If customers require international usage, the bank shall offer Jaywan co-badged cards instead of mono-badge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p>
        </w:tc>
      </w:tr>
    </w:tbl>
    <w:p>
      <w:pPr>
        <w:pStyle w:val="Normal"/>
        <w:rPr/>
      </w:pPr>
      <w:r/>
    </w:p>
    <w:p>
      <w:pPr>
        <w:pStyle w:val="Normal"/>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pPr>
              <w:pStyle w:val="Normal"/>
              <w:spacing w:before="0" w:after="160"/>
              <w:rPr/>
            </w:pPr>
            <w:r>
              <w:t>BR-001</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pPr>
              <w:pStyle w:val="Normal"/>
              <w:spacing w:before="0" w:after="160"/>
              <w:rPr/>
            </w:pPr>
            <w:r>
              <w:t>Issuance of Jaywan Mono-badge Cards for domestic and GCC usage</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pPr>
              <w:pStyle w:val="Normal"/>
              <w:spacing w:before="0" w:after="160"/>
              <w:rPr/>
            </w:pPr>
            <w:r>
              <w:t>CBUAE Circular, AEP Jaywan launch communication, Card Issuing Business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pPr>
              <w:pStyle w:val="Normal"/>
              <w:spacing w:before="0" w:after="160"/>
              <w:rPr/>
            </w:pPr>
            <w:r>
              <w:t>Card Management System, Core Banking, Switch, ATM/POS acquiring interfaces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pPr>
              <w:pStyle w:val="Normal"/>
              <w:spacing w:before="0" w:after="160"/>
              <w:rPr/>
            </w:pPr>
            <w:r>
              <w:t>New Jaywan mono-badge products enabled and compliant with domestic scheme rules</w:t>
            </w:r>
          </w:p>
        </w:tc>
      </w:tr>
    </w:tbl>
    <w:p>
      <w:pPr>
        <w:pStyle w:val="Normal"/>
        <w:rPr/>
      </w:pPr>
      <w:r/>
    </w:p>
    <w:p>
      <w:pPr>
        <w:pStyle w:val="Normal"/>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pPr>
              <w:pStyle w:val="Normal"/>
              <w:spacing w:before="0" w:after="160"/>
              <w:rPr/>
            </w:pPr>
            <w:r>
              <w:t>The solution shall support all existing and new cardholders of the bank who are eligible for Jaywan mono-badge and co-badged cards, including retail and corporate customers, without degradation of service compared to current scheme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pPr>
              <w:pStyle w:val="Normal"/>
              <w:spacing w:before="0" w:after="160"/>
              <w:rPr/>
            </w:pPr>
            <w:r>
              <w:t>The solution shall handle peak domestic transaction volumes during UAE public holidays, salary credit periods and large shopping events at least at parity with current international scheme volumes, with capacity headroom aligned to growth projections agreed with AEP and CBUAE.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pPr>
              <w:pStyle w:val="Normal"/>
              <w:spacing w:before="0" w:after="160"/>
              <w:rPr/>
            </w:pPr>
            <w:r>
              <w:t>The solution shall be designed to support the forecasted monthly Jaywan transaction volumes across ATM, POS, e-commerce and tokenized channels, taking into account migration of a significant proportion of domestic transactions from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pPr>
              <w:pStyle w:val="Normal"/>
              <w:spacing w:before="0" w:after="160"/>
              <w:rPr/>
            </w:pPr>
            <w:r>
              <w:t>Jaywan-related issuing and acquiring services shall meet availability targets aligned with regulatory expectations and existing card services SLAs, with high availability architecture for critical components and defined RTO/RPO for disaster recovery in line with CBUAE standards.</w:t>
            </w:r>
          </w:p>
        </w:tc>
      </w:tr>
    </w:tbl>
    <w:p>
      <w:pPr>
        <w:pStyle w:val="Normal"/>
        <w:rPr/>
      </w:pPr>
      <w:r/>
    </w:p>
    <w:p>
      <w:pPr>
        <w:pStyle w:val="Normal"/>
        <w:rPr/>
      </w:pPr>
      <w:r>
        <w:t>Impact on Operational process: Operations shall be impacted across card issuance, transaction processing, dispute management, reconciliation and customer servicing. Card Operations shall adopt new procedures for Jaywan mono-badge and co-badged card lifecycle events. Dispute teams shall follow Jaywan-specific chargeback and refund flows with updated SLAs. Reconciliation teams shall process new scheme reports from AEP and manage additional GL accounts. Contact centre and branch staff shall respond to customer queries on Jaywan features, usage limitations and co-badging, and shall follow updated scripts. Coordination with ATM/POS acquiring operations shall be required to ensure acceptance and routing alignment for Jaywan cards, including in GCC where applicable.</w:t>
      </w:r>
    </w:p>
    <w:p>
      <w:pPr>
        <w:pStyle w:val="Normal"/>
        <w:rPr/>
      </w:pPr>
      <w:r/>
    </w:p>
    <w:p>
      <w:pPr>
        <w:pStyle w:val="Normal"/>
        <w:rPr/>
      </w:pPr>
      <w:r/>
    </w:p>
    <w:p>
      <w:pPr>
        <w:pStyle w:val="Normal"/>
        <w:rPr/>
      </w:pPr>
      <w:r>
        <w:t>Regulatory impact: The implementation directly responds to CBUAE circulars mandating the introduction of Jaywan as the UAE’s domestic card scheme and the issuance of co-badged cards in accordance with mandate reference 5480-2024. The bank shall comply with CBUAE and AEP scheme rules on routing domestic transactions, consumer protection, dispute handling, reporting and security. Regulatory reporting requirements specific to Jaywan volumes, acceptance, and performance shall be addressed. Non-compliance could trigger supervisory actions; therefore, adherence to timelines, documentation and process standards is mandatory. All changes shall be assessed under applicable CBUAE regulations, including payment systems oversight, outsourcing, AML/CFT and data protection where relevant.</w:t>
      </w:r>
    </w:p>
    <w:p>
      <w:pPr>
        <w:pStyle w:val="Normal"/>
        <w:rPr/>
      </w:pPr>
      <w:r/>
    </w:p>
    <w:p>
      <w:pPr>
        <w:pStyle w:val="Normal"/>
        <w:rPr/>
      </w:pPr>
      <w:r/>
    </w:p>
    <w:p>
      <w:pPr>
        <w:pStyle w:val="Normal"/>
        <w:rPr/>
      </w:pPr>
      <w:r>
        <w:t>Reports requirement: The bank shall produce and maintain reports required by CBUAE and AEP, including domestic vs international routing statistics, Jaywan transaction volumes and values by channel, co-badging adoption metrics, dispute and chargeback statistics, and reconciliation summaries. Internal management reports shall include analysis of payment cost reductions attributable to Jaywan, customer uptake and product performance for mono-badge and co-badged cards, and operational KPIs (e.g. authorization approval rates, fraud indicators). Finance shall receive periodic GL and settlement reports for Jaywan, and Operations shall receive exception and break reports from reconciliation. Where specified by CBUAE, the bank shall submit standardized regulatory returns reflecting Jaywan-related data within defined timelines.</w:t>
      </w:r>
    </w:p>
    <w:p>
      <w:pPr>
        <w:pStyle w:val="Normal"/>
        <w:rPr/>
      </w:pPr>
      <w:r/>
    </w:p>
    <w:p>
      <w:pPr>
        <w:pStyle w:val="Normal"/>
        <w:rPr/>
      </w:pPr>
      <w:r/>
    </w:p>
    <w:p>
      <w:pPr>
        <w:pStyle w:val="Normal"/>
        <w:rPr/>
      </w:pPr>
      <w:r>
        <w:t>Access requirement: Access to Jaywan-related systems and data shall follow role-based access control principles. Only authorized users in Business, Operations, Finance, IT Support and Compliance shall have access to configuration, transaction data, dispute records and reconciliation outputs for Jaywan. Access rights shall be segregated between maker and checker functions for sensitive activities such as routing rule changes, GL mapping updates and dispute decisioning. AEP and scheme connectivity shall be limited to secure interfaces controlled by the bank. Access logs for Jaywan configuration and data views shall be maintained for audit and regulatory review.</w:t>
      </w:r>
    </w:p>
    <w:p>
      <w:pPr>
        <w:pStyle w:val="Normal"/>
        <w:rPr/>
      </w:pPr>
      <w:r/>
    </w:p>
    <w:p>
      <w:pPr>
        <w:pStyle w:val="Normal"/>
        <w:rPr/>
      </w:pPr>
      <w:r/>
    </w:p>
    <w:p>
      <w:pPr>
        <w:pStyle w:val="Normal"/>
        <w:rPr/>
      </w:pPr>
      <w:r>
        <w:t>Security requirement: Jaywan card data and transactions shall be protected in accordance with CBUAE regulations, AEP scheme security requirements and applicable international standards for card data protection. The bank shall ensure secure transmission and processing of cardholder data, including strong encryption, tokenization for wallet channels and secure key management. Authentication and authorization mechanisms for digital channels supporting Jaywan shall be consistent with existing card security practices. Security monitoring and fraud detection systems shall be updated to recognize Jaywan BINs, AIDs and transaction patterns. Incident response procedures shall explicitly cover Jaywan-related security events, with obligations to report significant incidents to CBUAE and AEP as required.</w:t>
      </w:r>
    </w:p>
    <w:p>
      <w:pPr>
        <w:pStyle w:val="Normal"/>
        <w:rPr/>
      </w:pPr>
      <w:r/>
    </w:p>
    <w:p>
      <w:pPr>
        <w:pStyle w:val="Normal"/>
        <w:rPr/>
      </w:pPr>
      <w:r/>
    </w:p>
    <w:p>
      <w:pPr>
        <w:pStyle w:val="Normal"/>
        <w:rPr/>
      </w:pPr>
      <w:r>
        <w:t>Data requirement: The bank shall capture and store Jaywan-related data elements necessary for transaction processing, reconciliation, dispute management and reporting, including scheme identifiers, BINs, routing indicators, wallet tokens and corridor information. Data models in the CMS, switch and data warehouse shall be enhanced to distinguish Jaywan mono-badge and co-badged transactions and to support domestic vs international classification. Retention periods for Jaywan data shall comply with CBUAE records retention regulations and internal policies. Data quality controls shall ensure completeness and accuracy of Jaywan data used for regulatory reporting and MI.</w:t>
      </w:r>
    </w:p>
    <w:p>
      <w:pPr>
        <w:pStyle w:val="Normal"/>
        <w:rPr/>
      </w:pPr>
      <w:r/>
    </w:p>
    <w:p>
      <w:pPr>
        <w:pStyle w:val="Normal"/>
        <w:rPr/>
      </w:pPr>
      <w:r/>
    </w:p>
    <w:p>
      <w:pPr>
        <w:pStyle w:val="Normal"/>
        <w:rPr/>
      </w:pPr>
      <w:r>
        <w:t>Training requirement: The bank shall provide targeted training to all impacted stakeholders, including Card Operations, Contact Centre, Branch staff, Reconciliation, Finance, IT Support, Compliance and Risk. Training shall cover Jaywan scheme fundamentals, regulatory context, differences between mono-badge and co-badged cards, routing logic, customer FAQs, dispute handling rules, reconciliation processes and reporting obligations. Training materials shall align with AEP awareness campaigns and CBUAE communications where appropriate. Refresher training shall be conducted post go-live based on observed issues and feedback, and new joiners in relevant functions shall receive Jaywan training as part of their induction.</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LibreOffice/25.2.7.2$Windows_X86_64 LibreOffice_project/5cbfd1ab6520636bb5f7b99185aa69bd7456825d</Application>
  <AppVersion>15.0000</AppVersion>
  <Pages>4</Pages>
  <Words>125</Words>
  <Characters>1157</Characters>
  <CharactersWithSpaces>1215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2026-01-23T10:43:23Z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