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First Islamic Bank</w:t>
      </w:r>
    </w:p>
    <w:p>
      <w:pPr>
        <w:pStyle w:val="Normal"/>
        <w:rPr/>
      </w:pPr>
      <w:r/>
    </w:p>
    <w:p>
      <w:pPr>
        <w:pStyle w:val="Normal"/>
        <w:jc w:val="center"/>
        <w:rPr/>
      </w:pPr>
      <w:r>
        <w:t>Business Requirements Specification</w:t>
      </w:r>
    </w:p>
    <w:p>
      <w:pPr>
        <w:pStyle w:val="Normal"/>
        <w:jc w:val="center"/>
        <w:rPr/>
      </w:pPr>
      <w:r/>
    </w:p>
    <w:p>
      <w:pPr>
        <w:pStyle w:val="Normal"/>
        <w:rPr/>
      </w:pPr>
      <w:r>
        <w:t>Title: Business Requirements Specification for Jaywan Domestic Card Scheme Enablement and Co‑Badged Card Issuance</w:t>
      </w:r>
    </w:p>
    <w:p>
      <w:pPr>
        <w:pStyle w:val="Normal"/>
        <w:rPr/>
      </w:pPr>
      <w:r>
        <w:t>ID: BRS-JAYWAN-COB-001</w:t>
      </w:r>
    </w:p>
    <w:p>
      <w:pPr>
        <w:pStyle w:val="Normal"/>
        <w:rPr/>
      </w:pPr>
      <w:r>
        <w:t>Program: Jaywan Domestic Card Scheme – CBUAE Mandate Implementation</w:t>
      </w:r>
    </w:p>
    <w:p>
      <w:pPr>
        <w:pStyle w:val="Normal"/>
        <w:rPr/>
      </w:pPr>
      <w:r>
        <w:t>Type: Business Requirement Specification</w:t>
      </w:r>
    </w:p>
    <w:p>
      <w:pPr>
        <w:pStyle w:val="Normal"/>
        <w:rPr/>
      </w:pPr>
      <w:r/>
    </w:p>
    <w:p>
      <w:pPr>
        <w:pStyle w:val="Normal"/>
        <w:rPr/>
      </w:pPr>
      <w:r>
        <w:t>Table Of Content</w:t>
      </w:r>
    </w:p>
    <w:tbl>
      <w:tblPr>
        <w:tblW w:w="5000" w:type="pct"/>
        <w:jc w:val="left"/>
        <w:tblInd w:w="-5" w:type="dxa"/>
        <w:tblLayout w:type="fixed"/>
        <w:tblCellMar>
          <w:top w:w="55" w:type="dxa"/>
          <w:left w:w="55" w:type="dxa"/>
          <w:bottom w:w="55" w:type="dxa"/>
          <w:right w:w="55" w:type="dxa"/>
        </w:tblCellMar>
      </w:tblPr>
      <w:tblGrid>
        <w:gridCol w:w="9360"/>
      </w:tblGrid>
      <w:tr>
        <w:trPr/>
        <w:tc>
          <w:tcPr>
            <w:tcW w:w="9360"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p>
        </w:tc>
      </w:tr>
    </w:tbl>
    <w:p>
      <w:pPr>
        <w:pStyle w:val="Normal"/>
        <w:rPr>
          <w:b/>
          <w:bCs/>
        </w:rPr>
      </w:pPr>
      <w:r/>
    </w:p>
    <w:p>
      <w:pPr>
        <w:pStyle w:val="Normal"/>
        <w:rPr>
          <w:b/>
          <w:bCs/>
        </w:rPr>
      </w:pPr>
      <w:r/>
    </w:p>
    <w:p>
      <w:pPr>
        <w:pStyle w:val="Normal"/>
        <w:rPr/>
      </w:pPr>
      <w: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2282"/>
        <w:gridCol w:w="1974"/>
        <w:gridCol w:w="2139"/>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Version</w:t>
            </w:r>
          </w:p>
        </w:tc>
        <w:tc>
          <w:tcPr>
            <w:tcW w:w="2282"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197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p>
    <w:p>
      <w:pPr>
        <w:pStyle w:val="Normal"/>
        <w:rPr/>
      </w:pPr>
      <w:r>
        <w:t>Overview: This Business Requirement Specification defines the high-level and detailed business requirements for implementing the UAE domestic card payment scheme “Jaywan” in alignment with the Central Bank of the UAE (CBUAE) mandate and Al Etihad Payments (AEP) circulars. The document covers enablement of Jaywan mono-badged cards for domestic and GCC usage, Jaywan co‑badged cards in conjunction with international schemes, domestic routing of transactions, readiness of supporting payment infrastructure, and alignment with existing dual message systems (DMS) and settlement processes. The specification is intended for use by Business, Operations, Payments, Cards, IT, and Compliance functions to ensure a consistent, regulatory-compliant implementation across all impacted channels and systems.</w:t>
      </w:r>
    </w:p>
    <w:p>
      <w:pPr>
        <w:pStyle w:val="Normal"/>
        <w:rPr/>
      </w:pPr>
      <w:r/>
    </w:p>
    <w:p>
      <w:pPr>
        <w:pStyle w:val="Normal"/>
        <w:rPr/>
      </w:pPr>
      <w:r>
        <w:t>Current constraints: The bank currently issues international scheme cards (e.g. Visa and MasterCard) and supports existing dual message systems for e-commerce, tokenisation, and SMS-based ATM/POS transactions. A domestic card scheme (Jaywan) is not yet fully enabled across issuing and acquiring channels. Routing is primarily configured for international card schemes, and domestic transaction cost optimisation via a local scheme is not fully realised. Requirements and rules from AEP for Jaywan, including detailed technical and operational specifications, are partially available and further clarifications are required via discovery sessions and queries to AEP. Integration with mobile wallets (Samsung Wallet currently, Google Pay and Apple Pay planned) and bilateral cross-border arrangements (e.g. India) for Jaywan are not fully defined in the bank’s internal processes. Reconciliation and GL mapping specific to Jaywan are in progress and dependent on final confirmation from Finance and AEP.</w:t>
      </w:r>
    </w:p>
    <w:p>
      <w:pPr>
        <w:pStyle w:val="Normal"/>
        <w:rPr/>
      </w:pPr>
      <w:r/>
    </w:p>
    <w:p>
      <w:pPr>
        <w:pStyle w:val="Normal"/>
        <w:rPr/>
      </w:pPr>
      <w:r>
        <w:t>Objective: The bank shall implement Jaywan as a domestic card payment scheme in compliance with CBUAE circulars and AEP guidance, ensuring that all licensed financial institution obligations are met. The bank shall issue Jaywan co‑badged cards in conjunction with Visa or MasterCard for cards supporting both domestic and international transactions, in line with the central bank mandate reference 5480-2024. The bank shall configure card routing so that domestic and GCC transactions are processed via the Jaywan scheme where applicable, while international transactions are processed via the relevant international scheme. The bank shall enable mono-badged Jaywan cards for domestic and GCC usage as per AEP guidelines. The implementation shall reduce payment transaction costs, support financial sovereignty, and provide a secure, seamless payment experience across physical and digital channels, including POS, ATM, e-commerce, tokenised transactions, and supported mobile wallets.</w:t>
      </w:r>
    </w:p>
    <w:p>
      <w:pPr>
        <w:pStyle w:val="Normal"/>
        <w:rPr/>
      </w:pPr>
      <w:r/>
    </w:p>
    <w:p>
      <w:pPr>
        <w:pStyle w:val="Normal"/>
        <w:rPr/>
      </w:pPr>
      <w:r>
        <w:t>In scope: Implementation of Jaywan mono-badged cards for domestic and GCC usage in accordance with AEP and CBUAE requirements. Implementation of Jaywan co‑badged cards with Visa or MasterCard for domestic and international usage in line with CBUAE mandate 5480-2024. Configuration of card and transaction routing rules so that domestic transactions are processed via Jaywan and international transactions via the appropriate international scheme. Alignment of issuing and acquiring processes, including dual messaging system (DMS) flows for Jaywan e-commerce and tokenised transactions, with existing VISA DMS and SMS flows. Inclusion of POS tokenised transactions for Jaywan where confirmed as in scope by Business and AEP. Definition and documentation of end-to-end process flows for Jaywan-related ATM, POS, e-commerce, reversals, refunds, chargebacks, reconciliation, and GL postings. Setup of operational and regulatory reporting to CBUAE/AEP related to Jaywan transaction volumes, performance, and compliance. Participation in discovery sessions for additional requirements for Jaywan mono-badged and co‑badged cards with Business and IT stakeholders. Enablement of Jaywan cards for supported digital wallets (starting with Samsung Wallet and later Google Pay and Apple Pay when mandated) and alignment with AEP timelines where applicable.</w:t>
      </w:r>
    </w:p>
    <w:p>
      <w:pPr>
        <w:pStyle w:val="Normal"/>
        <w:rPr/>
      </w:pPr>
      <w:r/>
    </w:p>
    <w:p>
      <w:pPr>
        <w:pStyle w:val="Normal"/>
        <w:rPr/>
      </w:pPr>
      <w:r>
        <w:t>Out of scope: Definition of detailed AEP or CBUAE scheme rules beyond what is provided in official circulars and scheme documentation. Technical low-level design (LLD) and solution design for host systems, switches, and external interfaces. Commercial pricing strategy and interchange fee negotiation with AEP and international schemes. Marketing content creation for Jaywan awareness campaigns beyond high-level requirements for customer communication. Definition of bilateral agreement details with foreign jurisdictions (e.g. India) beyond bank-side readiness requirements. Non-card payment channels that are not impacted by Jaywan (e.g. non-card-based instant payments) unless explicitly stated by CBUAE or AEP. Changes to non-UAE regulatory frameworks or requirements not directly linked to CBUAE or AEP guidance.</w:t>
      </w:r>
    </w:p>
    <w:p>
      <w:pPr>
        <w:pStyle w:val="Normal"/>
        <w:rPr/>
      </w:pPr>
      <w:r/>
    </w:p>
    <w:p>
      <w:pPr>
        <w:pStyle w:val="Normal"/>
        <w:rPr/>
      </w:pPr>
      <w:r/>
    </w:p>
    <w:p>
      <w:pPr>
        <w:pStyle w:val="Normal"/>
        <w:rPr/>
      </w:pPr>
      <w: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pPr>
              <w:pStyle w:val="Normal"/>
              <w:spacing w:before="0" w:after="160"/>
              <w:rPr/>
            </w:pPr>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pPr>
              <w:pStyle w:val="Normal"/>
              <w:spacing w:before="0" w:after="160"/>
              <w:rPr/>
            </w:pPr>
            <w:r>
              <w:t>Issuance of Jaywan Co‑Badged Cards in Compliance with CBUAE Mandate 5480-2024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pPr>
              <w:pStyle w:val="Normal"/>
              <w:spacing w:before="0" w:after="160"/>
              <w:rPr/>
            </w:pPr>
            <w:r>
              <w:t>The bank shall issue Jaywan co‑badged cards with Visa or MasterCard for all new and replacement cards that are intended to support both domestic and international transactions, in line with CBUAE mandate reference number 5480-2024. The bank shall ensure that co‑badged cards comply with AEP and CBUAE scheme rules and that cardholders can transact domestically via Jaywan and internationally via the corresponding international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pPr>
              <w:pStyle w:val="Normal"/>
              <w:spacing w:before="0" w:after="160"/>
              <w:rPr/>
            </w:pPr>
            <w:r>
              <w:t>Currently, the bank issues cards that are primarily mono-badged with international schemes (e.g. Visa or MasterCard) and routes all transactions through those schemes. Domestic transactions are not routed through a UAE domestic card scheme, and co‑badging with Jaywan is not yet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pPr>
              <w:pStyle w:val="Normal"/>
              <w:spacing w:before="0" w:after="160"/>
              <w:rPr/>
            </w:pPr>
            <w:r>
              <w:t>The bank shall configure card issuance processes so that new and replacement cards intended for domestic and international usage are issued as Jaywan co‑badged cards with either Visa or MasterCard. The card plastic and personalisation data shall include both Jaywan and the selected international scheme identifiers as per AEP and scheme specifications. Domestic transactions shall be routed through Jaywan, while international transactions shall be routed through the respective international scheme. Card lifecycle events (issuance, renewal, replacement, closure) shall recognise Jaywan co‑badged status and adhere to CBUAE and AEP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pPr>
              <w:pStyle w:val="Normal"/>
              <w:spacing w:before="0" w:after="160"/>
              <w:rPr/>
            </w:pPr>
            <w:r>
              <w:t>Receipt of CBUAE mandate 5480-2024 and related AEP scheme documentation. Agreement with Visa and/or MasterCard on co‑badge implementation approach and BIN configuration. Availability of updated product and card management parameters to support co‑badged products. Confirmation from Compliance and Legal that the co‑badged product design meets regulatory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pPr>
              <w:pStyle w:val="Normal"/>
              <w:spacing w:before="0" w:after="160"/>
              <w:rPr/>
            </w:pPr>
            <w:r>
              <w:t>The system shall allow product setup of at least one Jaywan-Visa co‑badged card product and one Jaywan-MasterCard co‑badged card product. The system shall ensure that all new cards created under the defined product codes carry Jaywan and the respective international scheme identifiers as per scheme rules. The solution shall ensure that a domestic test transaction on a co‑badged card is routed via Jaywan, and an international test transaction is routed via the relevant international scheme. Compliance shall confirm that issuance of co‑badged cards is aligned to CBUAE mandate 5480-2024. A sample of production co‑badged cards shall be validated by Cards Operations and AEP where required prior to full rollout.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pPr>
              <w:pStyle w:val="Normal"/>
              <w:spacing w:before="0" w:after="160"/>
              <w:rPr/>
            </w:pPr>
            <w:r>
              <w:t>If a legacy mono-badged product cannot be immediately converted to a Jaywan co‑badged product, the bank shall define a phased migration plan where existing mono-badged cardholders are migrated to co‑badged cards at renewal or targeted reissuance. If an international scheme is temporarily unavailable, the system shall continue to support domestic transactions via Jaywan where permitted by scheme rules, and appropriate customer communication shall be triggered.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p>
        </w:tc>
      </w:tr>
    </w:tbl>
    <w:p>
      <w:pPr>
        <w:pStyle w:val="Normal"/>
        <w:rPr/>
      </w:pPr>
      <w:r/>
    </w:p>
    <w:p>
      <w:pPr>
        <w:pStyle w:val="Normal"/>
        <w:rPr/>
      </w:pPr>
      <w:r>
        <w:t>Requirement Traceability Matrix</w:t>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pPr>
              <w:pStyle w:val="Normal"/>
              <w:spacing w:before="0" w:after="160"/>
              <w:rPr/>
            </w:pPr>
            <w:r>
              <w:t>BR-001</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pPr>
              <w:pStyle w:val="Normal"/>
              <w:spacing w:before="0" w:after="160"/>
              <w:rPr/>
            </w:pPr>
            <w:r>
              <w:t>Issuance of Jaywan co‑badged cards with Visa or MasterCard for domestic and international transactions in line with CBUAE mandate 5480-2024.</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pPr>
              <w:pStyle w:val="Normal"/>
              <w:spacing w:before="0" w:after="160"/>
              <w:rPr/>
            </w:pPr>
            <w:r>
              <w:t>Card Issuance, Branch, Online Banking, Mobile Banking</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pPr>
              <w:pStyle w:val="Normal"/>
              <w:spacing w:before="0" w:after="160"/>
              <w:rPr/>
            </w:pPr>
            <w:r>
              <w:t>Card Management System, Switch, CRM, Digital Channels, Core Banking</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pPr>
              <w:pStyle w:val="Normal"/>
              <w:spacing w:before="0" w:after="160"/>
              <w:rPr/>
            </w:pPr>
            <w:r>
              <w:t>Enablement of compliant Jaywan co‑badged products and seamless customer onboarding.</w:t>
            </w:r>
          </w:p>
        </w:tc>
      </w:tr>
    </w:tbl>
    <w:p>
      <w:pPr>
        <w:pStyle w:val="Normal"/>
        <w:rPr/>
      </w:pPr>
      <w:r/>
    </w:p>
    <w:p>
      <w:pPr>
        <w:pStyle w:val="Normal"/>
        <w:rPr/>
      </w:pPr>
      <w: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No. of users</w:t>
            </w:r>
          </w:p>
        </w:tc>
        <w:tc>
          <w:tcPr>
            <w:tcW w:w="4314" w:type="dxa"/>
            <w:tcBorders>
              <w:top w:val="single" w:sz="8" w:space="0" w:color="000000"/>
              <w:bottom w:val="single" w:sz="8" w:space="0" w:color="000000"/>
              <w:right w:val="single" w:sz="8" w:space="0" w:color="000000"/>
            </w:tcBorders>
          </w:tcPr>
          <w:p>
            <w:pPr>
              <w:pStyle w:val="Normal"/>
              <w:spacing w:before="0" w:after="160"/>
              <w:rPr/>
            </w:pPr>
            <w:r>
              <w:t>The solution shall be designed to support the bank’s entire active cardholder base, including existing customers migrated to Jaywan co‑badged products, with headroom for growth in line with CBUAE and AEP adoption targets.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Peak Volume</w:t>
            </w:r>
          </w:p>
        </w:tc>
        <w:tc>
          <w:tcPr>
            <w:tcW w:w="4314" w:type="dxa"/>
            <w:tcBorders>
              <w:bottom w:val="single" w:sz="8" w:space="0" w:color="000000"/>
              <w:right w:val="single" w:sz="8" w:space="0" w:color="000000"/>
            </w:tcBorders>
          </w:tcPr>
          <w:p>
            <w:pPr>
              <w:pStyle w:val="Normal"/>
              <w:spacing w:before="0" w:after="160"/>
              <w:rPr/>
            </w:pPr>
            <w:r>
              <w:t>The solution shall be capable of handling peak Jaywan transaction volumes comparable to existing peak loads for domestic card transactions, with capacity planning to be refined based on AEP projections and internal forecasts.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Monthly Volume</w:t>
            </w:r>
          </w:p>
        </w:tc>
        <w:tc>
          <w:tcPr>
            <w:tcW w:w="4314" w:type="dxa"/>
            <w:tcBorders>
              <w:bottom w:val="single" w:sz="8" w:space="0" w:color="000000"/>
              <w:right w:val="single" w:sz="8" w:space="0" w:color="000000"/>
            </w:tcBorders>
          </w:tcPr>
          <w:p>
            <w:pPr>
              <w:pStyle w:val="Normal"/>
              <w:spacing w:before="0" w:after="160"/>
              <w:rPr/>
            </w:pPr>
            <w:r>
              <w:t>The solution shall support monthly Jaywan transaction volumes anticipated for domestic and GCC usage, with actual thresholds to be defined during capacity planning based on business forecasts and regulatory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Availability</w:t>
            </w:r>
          </w:p>
        </w:tc>
        <w:tc>
          <w:tcPr>
            <w:tcW w:w="4314" w:type="dxa"/>
            <w:tcBorders>
              <w:bottom w:val="single" w:sz="8" w:space="0" w:color="000000"/>
              <w:right w:val="single" w:sz="8" w:space="0" w:color="000000"/>
            </w:tcBorders>
          </w:tcPr>
          <w:p>
            <w:pPr>
              <w:pStyle w:val="Normal"/>
              <w:spacing w:before="0" w:after="160"/>
              <w:rPr/>
            </w:pPr>
            <w:r>
              <w:t>Jaywan transaction processing, including authorisation, clearing, settlement, reconciliation, and reporting, shall target high availability levels consistent with critical payment systems in the UAE market, subject to the bank’s enterprise SLAs and CBUAE guidance.</w:t>
            </w:r>
          </w:p>
        </w:tc>
      </w:tr>
    </w:tbl>
    <w:p>
      <w:pPr>
        <w:pStyle w:val="Normal"/>
        <w:rPr/>
      </w:pPr>
      <w:r/>
    </w:p>
    <w:p>
      <w:pPr>
        <w:pStyle w:val="Normal"/>
        <w:rPr/>
      </w:pPr>
      <w:r>
        <w:t>Impact on Operational process: Card Operations, ATM/POS Operations, and GBO-ATM/CDM teams shall update operating procedures to incorporate Jaywan mono‑badged and co‑badged card handling, including card issuance, PIN management, replacements, and closures. Dispute Management teams shall adopt new workflows and reason codes for Jaywan reversals, refunds, and chargebacks. Reconciliation and Finance teams shall implement new daily and periodic routines specific to Jaywan settlement files and GL postings. Contact Centre and Branch staff shall handle Jaywan-related customer queries, disputes, and education, requiring updated scripts and process guides. Monitoring teams shall include Jaywan transaction flows in their day-to-day incident management, capacity monitoring, and performance reporting. Operational readiness checkpoints shall be included in the project plan to ensure Jaywan processes are fully embedded before go-live.</w:t>
      </w:r>
    </w:p>
    <w:p>
      <w:pPr>
        <w:pStyle w:val="Normal"/>
        <w:rPr/>
      </w:pPr>
      <w:r/>
    </w:p>
    <w:p>
      <w:pPr>
        <w:pStyle w:val="Normal"/>
        <w:rPr/>
      </w:pPr>
      <w:r/>
    </w:p>
    <w:p>
      <w:pPr>
        <w:pStyle w:val="Normal"/>
        <w:rPr/>
      </w:pPr>
      <w:r>
        <w:t>Regulatory impact: The implementation of Jaywan is driven by CBUAE and AEP regulatory requirements, including the central bank mandate reference number 5480-2024, which obliges licensed financial institutions to issue Jaywan co‑badged cards for domestic and international transaction support. The bank shall ensure full adherence to CBUAE circulars on domestic card schemes, cost reduction objectives, and digital payments strategy. Regulatory reporting obligations to CBUAE and AEP shall be updated to include Jaywan-specific data elements. Compliance and Legal functions shall review all product documentation, terms and conditions, and process changes to confirm alignment with UAE regulatory expectations on consumer protection, dispute resolution, data privacy, and operational resilience. Any deviations or phased approaches shall be documented, risk-assessed, and, where necessary, communicated to CBUAE or AEP.</w:t>
      </w:r>
    </w:p>
    <w:p>
      <w:pPr>
        <w:pStyle w:val="Normal"/>
        <w:rPr/>
      </w:pPr>
      <w:r/>
    </w:p>
    <w:p>
      <w:pPr>
        <w:pStyle w:val="Normal"/>
        <w:rPr/>
      </w:pPr>
      <w:r/>
    </w:p>
    <w:p>
      <w:pPr>
        <w:pStyle w:val="Normal"/>
        <w:rPr/>
      </w:pPr>
      <w:r>
        <w:t>Reports requirement: The bank shall produce regulatory reports for CBUAE and AEP that capture Jaywan transaction volumes, values, success rates, declines, chargebacks, and other KPIs according to prescribed formats and frequencies. Internal MIS and dashboard reports shall be enhanced to provide separate visibility of Jaywan mono‑badged and co‑badged transactions by channel (ATM, POS, e-commerce, tokenised), product, and customer segment. Finance and Reconciliation teams shall receive daily settlement and reconciliation reports specific to Jaywan, aligned with scheme files. Risk and Fraud teams shall obtain Jaywan-focused monitoring reports highlighting unusual patterns, fraud indicators, and operational incidents. Reports required to support the AEP awareness campaign and internal management reviews of Jaywan adoption, cost savings, and performance shall also be defined and implemented.</w:t>
      </w:r>
    </w:p>
    <w:p>
      <w:pPr>
        <w:pStyle w:val="Normal"/>
        <w:rPr/>
      </w:pPr>
      <w:r/>
    </w:p>
    <w:p>
      <w:pPr>
        <w:pStyle w:val="Normal"/>
        <w:rPr/>
      </w:pPr>
      <w:r/>
    </w:p>
    <w:p>
      <w:pPr>
        <w:pStyle w:val="Normal"/>
        <w:rPr/>
      </w:pPr>
      <w:r>
        <w:t>Access requirement: Access to Jaywan-related configuration, transaction data, and reports shall follow the bank’s role-based access control policies and CBUAE expectations for segregation of duties. Only authorised users in Product, Operations, IT, Finance, Risk, and Compliance shall be able to view or modify Jaywan-specific parameters and data. Administrative access to systems handling Jaywan routing, card setup, reconciliation, and reporting shall be restricted and logged. Access rights for digital wallet configurations, tokenisation, and scheme interfaces for Jaywan shall be carefully controlled and regularly reviewed.</w:t>
      </w:r>
    </w:p>
    <w:p>
      <w:pPr>
        <w:pStyle w:val="Normal"/>
        <w:rPr/>
      </w:pPr>
      <w:r/>
    </w:p>
    <w:p>
      <w:pPr>
        <w:pStyle w:val="Normal"/>
        <w:rPr/>
      </w:pPr>
      <w:r/>
    </w:p>
    <w:p>
      <w:pPr>
        <w:pStyle w:val="Normal"/>
        <w:rPr/>
      </w:pPr>
      <w:r>
        <w:t>Security requirement: Jaywan transaction processing shall comply with CBUAE and AEP security requirements and applicable card industry standards. Cardholder data and tokens for Jaywan cards shall be protected through encryption, tokenisation, and secure key management. Security controls for mobile wallet provisioning and POS tokenised transactions shall prevent unauthorised use and minimise the risk of data compromise. Logging, monitoring, and alerting mechanisms shall detect suspicious activity and potential fraud involving Jaywan cards. Changes to Jaywan-related configurations and connectivity shall be subject to formal security review and change management. Incident response procedures shall explicitly cover Jaywan scheme incidents and communication obligations to CBUAE and AEP.</w:t>
      </w:r>
    </w:p>
    <w:p>
      <w:pPr>
        <w:pStyle w:val="Normal"/>
        <w:rPr/>
      </w:pPr>
      <w:r/>
    </w:p>
    <w:p>
      <w:pPr>
        <w:pStyle w:val="Normal"/>
        <w:rPr/>
      </w:pPr>
      <w:r/>
    </w:p>
    <w:p>
      <w:pPr>
        <w:pStyle w:val="Normal"/>
        <w:rPr/>
      </w:pPr>
      <w:r>
        <w:t>Data requirement: The bank shall ensure that core data elements required by CBUAE and AEP for Jaywan processing, reconciliation, and reporting are captured, stored, and retrievable across systems. Data models shall support identification of Jaywan mono‑badged versus co‑badged cards, domestic versus international transactions, scheme identifiers, tokenisation status, and dispute status. Data retention and archival policies for Jaywan data shall comply with UAE regulatory requirements and the bank’s internal policies. Data quality controls shall be applied to Jaywan-related fields to ensure accuracy for settlement, GL postings, and regulatory submissions.</w:t>
      </w:r>
    </w:p>
    <w:p>
      <w:pPr>
        <w:pStyle w:val="Normal"/>
        <w:rPr/>
      </w:pPr>
      <w:r/>
    </w:p>
    <w:p>
      <w:pPr>
        <w:pStyle w:val="Normal"/>
        <w:rPr/>
      </w:pPr>
      <w:r/>
    </w:p>
    <w:p>
      <w:pPr>
        <w:pStyle w:val="Normal"/>
        <w:rPr/>
      </w:pPr>
      <w:r>
        <w:t>Training requirement: The bank shall provide targeted training to Card Operations, Branch, Contact Centre, Reconciliation, Finance, IT Support, Risk, and Compliance teams on Jaywan scheme fundamentals, product features, processes, and system changes. Training materials shall cover topics such as mono‑badged versus co‑badged product characteristics, domestic routing behaviour, dispute handling rules, reconciliation and GL changes, and use of digital wallets with Jaywan cards. Awareness sessions shall be conducted for relevant stakeholders to reinforce the strategic objectives of Jaywan and the CBUAE mandate. Training completion shall be tracked, and refresher training shall be scheduled in line with major scheme or regulatory updates.</w:t>
      </w:r>
    </w:p>
    <w:p>
      <w:pPr>
        <w:pStyle w:val="Normal"/>
        <w:rPr/>
      </w:pPr>
      <w:r/>
    </w:p>
    <w:p>
      <w:pPr>
        <w:pStyle w:val="Normal"/>
        <w:rPr/>
      </w:pPr>
      <w:r/>
    </w:p>
    <w:p>
      <w:pPr>
        <w:pStyle w:val="Normal"/>
        <w:widowControl/>
        <w:bidi w:val="0"/>
        <w:spacing w:lineRule="auto" w:line="278" w:before="0" w:after="160"/>
        <w:jc w:val="left"/>
        <w:rPr/>
      </w:p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90</TotalTime>
  <Application>LibreOffice/25.2.7.2$Windows_X86_64 LibreOffice_project/5cbfd1ab6520636bb5f7b99185aa69bd7456825d</Application>
  <AppVersion>15.0000</AppVersion>
  <Pages>4</Pages>
  <Words>125</Words>
  <Characters>1157</Characters>
  <CharactersWithSpaces>1215</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2026-01-23T10:43:23Z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