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03013" w14:textId="00111991" w:rsidR="003C147E" w:rsidRDefault="00723CE3" w:rsidP="003C147E">
      <w:r>
        <w:t>First Islamic</w:t>
      </w:r>
      <w:r w:rsidR="003C147E">
        <w:t xml:space="preserve"> Bank</w:t>
      </w:r>
    </w:p>
    <w:p w14:paraId="3D6E3941" w14:textId="77777777" w:rsidR="003C147E" w:rsidRDefault="003C147E" w:rsidP="003C147E"/>
    <w:p w14:paraId="3924A098" w14:textId="0524D807" w:rsidR="003C147E" w:rsidRDefault="003C147E" w:rsidP="003C147E">
      <w:pPr>
        <w:jc w:val="center"/>
      </w:pPr>
      <w:r w:rsidRPr="003C147E">
        <w:t>Business Requirements Specification</w:t>
      </w:r>
    </w:p>
    <w:p w14:paraId="1AEDE639" w14:textId="77777777" w:rsidR="003C147E" w:rsidRPr="003C147E" w:rsidRDefault="003C147E" w:rsidP="003C147E">
      <w:pPr>
        <w:jc w:val="center"/>
      </w:pPr>
    </w:p>
    <w:p w14:paraId="177395D5" w14:textId="77777777" w:rsidR="003C147E" w:rsidRPr="003C147E" w:rsidRDefault="003C147E" w:rsidP="003C147E">
      <w:r w:rsidRPr="003C147E">
        <w:t>Title:</w:t>
      </w:r>
    </w:p>
    <w:p w14:paraId="4847DD73" w14:textId="77777777" w:rsidR="003C147E" w:rsidRPr="003C147E" w:rsidRDefault="003C147E" w:rsidP="003C147E">
      <w:r w:rsidRPr="003C147E">
        <w:t>ID</w:t>
      </w:r>
    </w:p>
    <w:p w14:paraId="08077327" w14:textId="77777777" w:rsidR="003C147E" w:rsidRPr="003C147E" w:rsidRDefault="003C147E" w:rsidP="003C147E">
      <w:r w:rsidRPr="003C147E">
        <w:t>Program:</w:t>
      </w:r>
    </w:p>
    <w:p w14:paraId="20D941A3" w14:textId="77777777" w:rsidR="003C147E" w:rsidRPr="003C147E" w:rsidRDefault="003C147E" w:rsidP="003C147E">
      <w:r w:rsidRPr="003C147E">
        <w:t>Type:</w:t>
      </w:r>
    </w:p>
    <w:p w14:paraId="49B7D2F8" w14:textId="77777777" w:rsidR="003C147E" w:rsidRPr="003C147E" w:rsidRDefault="003C147E" w:rsidP="003C147E"/>
    <w:p w14:paraId="2C255C3F" w14:textId="77777777" w:rsidR="003C147E" w:rsidRPr="003C147E" w:rsidRDefault="003C147E" w:rsidP="003C147E">
      <w:r w:rsidRPr="003C147E">
        <w:t>TOC</w:t>
      </w:r>
    </w:p>
    <w:p w14:paraId="208231A5" w14:textId="77777777" w:rsidR="003C147E" w:rsidRPr="003C147E" w:rsidRDefault="003C147E" w:rsidP="003C147E">
      <w:pPr>
        <w:rPr>
          <w:b/>
          <w:bCs/>
        </w:rPr>
      </w:pPr>
    </w:p>
    <w:p w14:paraId="3DB74FFF" w14:textId="77777777" w:rsidR="003C147E" w:rsidRPr="003C147E" w:rsidRDefault="003C147E" w:rsidP="003C147E">
      <w:pPr>
        <w:rPr>
          <w:b/>
          <w:bCs/>
        </w:rPr>
      </w:pPr>
    </w:p>
    <w:p w14:paraId="3C84C74C" w14:textId="77777777" w:rsidR="003C147E" w:rsidRPr="003C147E" w:rsidRDefault="003C147E" w:rsidP="003C147E">
      <w:r w:rsidRPr="003C147E">
        <w:t>Document Sign off</w:t>
      </w:r>
    </w:p>
    <w:tbl>
      <w:tblPr>
        <w:tblW w:w="0" w:type="auto"/>
        <w:tblCellMar>
          <w:left w:w="0" w:type="dxa"/>
          <w:right w:w="0" w:type="dxa"/>
        </w:tblCellMar>
        <w:tblLook w:val="04A0" w:firstRow="1" w:lastRow="0" w:firstColumn="1" w:lastColumn="0" w:noHBand="0" w:noVBand="1"/>
      </w:tblPr>
      <w:tblGrid>
        <w:gridCol w:w="2157"/>
        <w:gridCol w:w="2157"/>
        <w:gridCol w:w="2158"/>
        <w:gridCol w:w="2158"/>
      </w:tblGrid>
      <w:tr w:rsidR="003C147E" w:rsidRPr="003C147E" w14:paraId="271DD92E" w14:textId="77777777">
        <w:tc>
          <w:tcPr>
            <w:tcW w:w="21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CDE8A65" w14:textId="77777777" w:rsidR="003C147E" w:rsidRPr="003C147E" w:rsidRDefault="003C147E" w:rsidP="003C147E">
            <w:r w:rsidRPr="003C147E">
              <w:t>Name</w:t>
            </w:r>
          </w:p>
        </w:tc>
        <w:tc>
          <w:tcPr>
            <w:tcW w:w="215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703217" w14:textId="77777777" w:rsidR="003C147E" w:rsidRPr="003C147E" w:rsidRDefault="003C147E" w:rsidP="003C147E">
            <w:r w:rsidRPr="003C147E">
              <w:t>Department</w:t>
            </w:r>
          </w:p>
        </w:tc>
        <w:tc>
          <w:tcPr>
            <w:tcW w:w="215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B3E5753" w14:textId="77777777" w:rsidR="003C147E" w:rsidRPr="003C147E" w:rsidRDefault="003C147E" w:rsidP="003C147E">
            <w:r w:rsidRPr="003C147E">
              <w:t>Remarks</w:t>
            </w:r>
          </w:p>
        </w:tc>
        <w:tc>
          <w:tcPr>
            <w:tcW w:w="215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1A8E31E" w14:textId="77777777" w:rsidR="003C147E" w:rsidRPr="003C147E" w:rsidRDefault="003C147E" w:rsidP="003C147E">
            <w:r w:rsidRPr="003C147E">
              <w:t>Approval date</w:t>
            </w:r>
          </w:p>
        </w:tc>
      </w:tr>
      <w:tr w:rsidR="003C147E" w:rsidRPr="003C147E" w14:paraId="4A4F0130" w14:textId="77777777">
        <w:tc>
          <w:tcPr>
            <w:tcW w:w="215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F21870A" w14:textId="77777777" w:rsidR="003C147E" w:rsidRPr="003C147E" w:rsidRDefault="003C147E" w:rsidP="003C147E"/>
        </w:tc>
        <w:tc>
          <w:tcPr>
            <w:tcW w:w="2157" w:type="dxa"/>
            <w:tcBorders>
              <w:top w:val="nil"/>
              <w:left w:val="nil"/>
              <w:bottom w:val="single" w:sz="8" w:space="0" w:color="auto"/>
              <w:right w:val="single" w:sz="8" w:space="0" w:color="auto"/>
            </w:tcBorders>
            <w:tcMar>
              <w:top w:w="0" w:type="dxa"/>
              <w:left w:w="108" w:type="dxa"/>
              <w:bottom w:w="0" w:type="dxa"/>
              <w:right w:w="108" w:type="dxa"/>
            </w:tcMar>
          </w:tcPr>
          <w:p w14:paraId="04464F7F" w14:textId="77777777" w:rsidR="003C147E" w:rsidRPr="003C147E" w:rsidRDefault="003C147E" w:rsidP="003C147E"/>
        </w:tc>
        <w:tc>
          <w:tcPr>
            <w:tcW w:w="2158" w:type="dxa"/>
            <w:tcBorders>
              <w:top w:val="nil"/>
              <w:left w:val="nil"/>
              <w:bottom w:val="single" w:sz="8" w:space="0" w:color="auto"/>
              <w:right w:val="single" w:sz="8" w:space="0" w:color="auto"/>
            </w:tcBorders>
            <w:tcMar>
              <w:top w:w="0" w:type="dxa"/>
              <w:left w:w="108" w:type="dxa"/>
              <w:bottom w:w="0" w:type="dxa"/>
              <w:right w:w="108" w:type="dxa"/>
            </w:tcMar>
          </w:tcPr>
          <w:p w14:paraId="18646BD8" w14:textId="77777777" w:rsidR="003C147E" w:rsidRPr="003C147E" w:rsidRDefault="003C147E" w:rsidP="003C147E"/>
        </w:tc>
        <w:tc>
          <w:tcPr>
            <w:tcW w:w="2158" w:type="dxa"/>
            <w:tcBorders>
              <w:top w:val="nil"/>
              <w:left w:val="nil"/>
              <w:bottom w:val="single" w:sz="8" w:space="0" w:color="auto"/>
              <w:right w:val="single" w:sz="8" w:space="0" w:color="auto"/>
            </w:tcBorders>
            <w:tcMar>
              <w:top w:w="0" w:type="dxa"/>
              <w:left w:w="108" w:type="dxa"/>
              <w:bottom w:w="0" w:type="dxa"/>
              <w:right w:w="108" w:type="dxa"/>
            </w:tcMar>
          </w:tcPr>
          <w:p w14:paraId="5F89F37E" w14:textId="77777777" w:rsidR="003C147E" w:rsidRPr="003C147E" w:rsidRDefault="003C147E" w:rsidP="003C147E"/>
        </w:tc>
      </w:tr>
    </w:tbl>
    <w:p w14:paraId="53ED752A" w14:textId="77777777" w:rsidR="003C147E" w:rsidRPr="003C147E" w:rsidRDefault="003C147E" w:rsidP="003C147E"/>
    <w:p w14:paraId="57B4A738" w14:textId="77777777" w:rsidR="003C147E" w:rsidRPr="003C147E" w:rsidRDefault="003C147E" w:rsidP="003C147E">
      <w:r w:rsidRPr="003C147E">
        <w:t>Document History</w:t>
      </w:r>
    </w:p>
    <w:tbl>
      <w:tblPr>
        <w:tblW w:w="0" w:type="auto"/>
        <w:tblCellMar>
          <w:left w:w="0" w:type="dxa"/>
          <w:right w:w="0" w:type="dxa"/>
        </w:tblCellMar>
        <w:tblLook w:val="04A0" w:firstRow="1" w:lastRow="0" w:firstColumn="1" w:lastColumn="0" w:noHBand="0" w:noVBand="1"/>
      </w:tblPr>
      <w:tblGrid>
        <w:gridCol w:w="2234"/>
        <w:gridCol w:w="2283"/>
        <w:gridCol w:w="1974"/>
        <w:gridCol w:w="2139"/>
      </w:tblGrid>
      <w:tr w:rsidR="003C147E" w:rsidRPr="003C147E" w14:paraId="3592E1B1" w14:textId="77777777">
        <w:tc>
          <w:tcPr>
            <w:tcW w:w="22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87FFCD0" w14:textId="77777777" w:rsidR="003C147E" w:rsidRPr="003C147E" w:rsidRDefault="003C147E" w:rsidP="003C147E">
            <w:r w:rsidRPr="003C147E">
              <w:t>Version</w:t>
            </w:r>
          </w:p>
        </w:tc>
        <w:tc>
          <w:tcPr>
            <w:tcW w:w="228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1129FDC" w14:textId="77777777" w:rsidR="003C147E" w:rsidRPr="003C147E" w:rsidRDefault="003C147E" w:rsidP="003C147E">
            <w:r w:rsidRPr="003C147E">
              <w:t>Remarks</w:t>
            </w:r>
          </w:p>
        </w:tc>
        <w:tc>
          <w:tcPr>
            <w:tcW w:w="197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28BB521" w14:textId="77777777" w:rsidR="003C147E" w:rsidRPr="003C147E" w:rsidRDefault="003C147E" w:rsidP="003C147E"/>
        </w:tc>
        <w:tc>
          <w:tcPr>
            <w:tcW w:w="213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4B096B7" w14:textId="77777777" w:rsidR="003C147E" w:rsidRPr="003C147E" w:rsidRDefault="003C147E" w:rsidP="003C147E">
            <w:r w:rsidRPr="003C147E">
              <w:t>Date</w:t>
            </w:r>
          </w:p>
        </w:tc>
      </w:tr>
      <w:tr w:rsidR="003C147E" w:rsidRPr="003C147E" w14:paraId="635B379C" w14:textId="77777777">
        <w:tc>
          <w:tcPr>
            <w:tcW w:w="223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E91CD7" w14:textId="77777777" w:rsidR="003C147E" w:rsidRPr="003C147E" w:rsidRDefault="003C147E" w:rsidP="003C147E"/>
        </w:tc>
        <w:tc>
          <w:tcPr>
            <w:tcW w:w="2283" w:type="dxa"/>
            <w:tcBorders>
              <w:top w:val="nil"/>
              <w:left w:val="nil"/>
              <w:bottom w:val="single" w:sz="8" w:space="0" w:color="auto"/>
              <w:right w:val="single" w:sz="8" w:space="0" w:color="auto"/>
            </w:tcBorders>
            <w:tcMar>
              <w:top w:w="0" w:type="dxa"/>
              <w:left w:w="108" w:type="dxa"/>
              <w:bottom w:w="0" w:type="dxa"/>
              <w:right w:w="108" w:type="dxa"/>
            </w:tcMar>
          </w:tcPr>
          <w:p w14:paraId="30044045" w14:textId="77777777" w:rsidR="003C147E" w:rsidRPr="003C147E" w:rsidRDefault="003C147E" w:rsidP="003C147E"/>
        </w:tc>
        <w:tc>
          <w:tcPr>
            <w:tcW w:w="1974" w:type="dxa"/>
            <w:tcBorders>
              <w:top w:val="nil"/>
              <w:left w:val="nil"/>
              <w:bottom w:val="single" w:sz="8" w:space="0" w:color="auto"/>
              <w:right w:val="single" w:sz="8" w:space="0" w:color="auto"/>
            </w:tcBorders>
            <w:tcMar>
              <w:top w:w="0" w:type="dxa"/>
              <w:left w:w="108" w:type="dxa"/>
              <w:bottom w:w="0" w:type="dxa"/>
              <w:right w:w="108" w:type="dxa"/>
            </w:tcMar>
          </w:tcPr>
          <w:p w14:paraId="2E225A94" w14:textId="77777777" w:rsidR="003C147E" w:rsidRPr="003C147E" w:rsidRDefault="003C147E" w:rsidP="003C147E"/>
        </w:tc>
        <w:tc>
          <w:tcPr>
            <w:tcW w:w="2139" w:type="dxa"/>
            <w:tcBorders>
              <w:top w:val="nil"/>
              <w:left w:val="nil"/>
              <w:bottom w:val="single" w:sz="8" w:space="0" w:color="auto"/>
              <w:right w:val="single" w:sz="8" w:space="0" w:color="auto"/>
            </w:tcBorders>
            <w:tcMar>
              <w:top w:w="0" w:type="dxa"/>
              <w:left w:w="108" w:type="dxa"/>
              <w:bottom w:w="0" w:type="dxa"/>
              <w:right w:w="108" w:type="dxa"/>
            </w:tcMar>
          </w:tcPr>
          <w:p w14:paraId="76F9AC7D" w14:textId="77777777" w:rsidR="003C147E" w:rsidRPr="003C147E" w:rsidRDefault="003C147E" w:rsidP="003C147E"/>
        </w:tc>
      </w:tr>
      <w:tr w:rsidR="003C147E" w:rsidRPr="003C147E" w14:paraId="05FC94BA" w14:textId="77777777">
        <w:tc>
          <w:tcPr>
            <w:tcW w:w="223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D7153C8" w14:textId="77777777" w:rsidR="003C147E" w:rsidRPr="003C147E" w:rsidRDefault="003C147E" w:rsidP="003C147E"/>
        </w:tc>
        <w:tc>
          <w:tcPr>
            <w:tcW w:w="2283" w:type="dxa"/>
            <w:tcBorders>
              <w:top w:val="nil"/>
              <w:left w:val="nil"/>
              <w:bottom w:val="single" w:sz="8" w:space="0" w:color="auto"/>
              <w:right w:val="single" w:sz="8" w:space="0" w:color="auto"/>
            </w:tcBorders>
            <w:tcMar>
              <w:top w:w="0" w:type="dxa"/>
              <w:left w:w="108" w:type="dxa"/>
              <w:bottom w:w="0" w:type="dxa"/>
              <w:right w:w="108" w:type="dxa"/>
            </w:tcMar>
          </w:tcPr>
          <w:p w14:paraId="3FA80004" w14:textId="77777777" w:rsidR="003C147E" w:rsidRPr="003C147E" w:rsidRDefault="003C147E" w:rsidP="003C147E"/>
        </w:tc>
        <w:tc>
          <w:tcPr>
            <w:tcW w:w="1974" w:type="dxa"/>
            <w:tcBorders>
              <w:top w:val="nil"/>
              <w:left w:val="nil"/>
              <w:bottom w:val="single" w:sz="8" w:space="0" w:color="auto"/>
              <w:right w:val="single" w:sz="8" w:space="0" w:color="auto"/>
            </w:tcBorders>
            <w:tcMar>
              <w:top w:w="0" w:type="dxa"/>
              <w:left w:w="108" w:type="dxa"/>
              <w:bottom w:w="0" w:type="dxa"/>
              <w:right w:w="108" w:type="dxa"/>
            </w:tcMar>
          </w:tcPr>
          <w:p w14:paraId="2B15638F" w14:textId="77777777" w:rsidR="003C147E" w:rsidRPr="003C147E" w:rsidRDefault="003C147E" w:rsidP="003C147E"/>
        </w:tc>
        <w:tc>
          <w:tcPr>
            <w:tcW w:w="2139" w:type="dxa"/>
            <w:tcBorders>
              <w:top w:val="nil"/>
              <w:left w:val="nil"/>
              <w:bottom w:val="single" w:sz="8" w:space="0" w:color="auto"/>
              <w:right w:val="single" w:sz="8" w:space="0" w:color="auto"/>
            </w:tcBorders>
            <w:tcMar>
              <w:top w:w="0" w:type="dxa"/>
              <w:left w:w="108" w:type="dxa"/>
              <w:bottom w:w="0" w:type="dxa"/>
              <w:right w:w="108" w:type="dxa"/>
            </w:tcMar>
          </w:tcPr>
          <w:p w14:paraId="6E993113" w14:textId="77777777" w:rsidR="003C147E" w:rsidRPr="003C147E" w:rsidRDefault="003C147E" w:rsidP="003C147E"/>
        </w:tc>
      </w:tr>
    </w:tbl>
    <w:p w14:paraId="45E2498F" w14:textId="77777777" w:rsidR="003C147E" w:rsidRPr="003C147E" w:rsidRDefault="003C147E" w:rsidP="003C147E"/>
    <w:p w14:paraId="152CD050" w14:textId="77777777" w:rsidR="003C147E" w:rsidRPr="003C147E" w:rsidRDefault="003C147E" w:rsidP="003C147E"/>
    <w:p w14:paraId="73404CF9" w14:textId="77777777" w:rsidR="003C147E" w:rsidRPr="003C147E" w:rsidRDefault="003C147E" w:rsidP="003C147E">
      <w:r w:rsidRPr="003C147E">
        <w:t>Overview</w:t>
      </w:r>
    </w:p>
    <w:p w14:paraId="04D5EA57" w14:textId="77777777" w:rsidR="003C147E" w:rsidRPr="003C147E" w:rsidRDefault="003C147E" w:rsidP="003C147E"/>
    <w:p w14:paraId="1D8BC514" w14:textId="77777777" w:rsidR="003C147E" w:rsidRPr="003C147E" w:rsidRDefault="003C147E" w:rsidP="003C147E">
      <w:r w:rsidRPr="003C147E">
        <w:t>Current constraints</w:t>
      </w:r>
    </w:p>
    <w:p w14:paraId="16144FF5" w14:textId="77777777" w:rsidR="003C147E" w:rsidRPr="003C147E" w:rsidRDefault="003C147E" w:rsidP="003C147E"/>
    <w:p w14:paraId="244C2C9E" w14:textId="77777777" w:rsidR="003C147E" w:rsidRPr="003C147E" w:rsidRDefault="003C147E" w:rsidP="003C147E">
      <w:r w:rsidRPr="003C147E">
        <w:lastRenderedPageBreak/>
        <w:t>Objective</w:t>
      </w:r>
    </w:p>
    <w:p w14:paraId="19586F3C" w14:textId="77777777" w:rsidR="003C147E" w:rsidRPr="003C147E" w:rsidRDefault="003C147E" w:rsidP="003C147E"/>
    <w:p w14:paraId="70B00F5C" w14:textId="77777777" w:rsidR="003C147E" w:rsidRPr="003C147E" w:rsidRDefault="003C147E" w:rsidP="003C147E">
      <w:r w:rsidRPr="003C147E">
        <w:t>In scope</w:t>
      </w:r>
    </w:p>
    <w:p w14:paraId="2D4A2FF6" w14:textId="77777777" w:rsidR="003C147E" w:rsidRPr="003C147E" w:rsidRDefault="003C147E" w:rsidP="003C147E"/>
    <w:p w14:paraId="121ECDCE" w14:textId="77777777" w:rsidR="003C147E" w:rsidRPr="003C147E" w:rsidRDefault="003C147E" w:rsidP="003C147E">
      <w:r w:rsidRPr="003C147E">
        <w:t>Out of scope</w:t>
      </w:r>
    </w:p>
    <w:p w14:paraId="42CA1EB8" w14:textId="77777777" w:rsidR="003C147E" w:rsidRPr="003C147E" w:rsidRDefault="003C147E" w:rsidP="003C147E"/>
    <w:p w14:paraId="5F094C3D" w14:textId="77777777" w:rsidR="003C147E" w:rsidRPr="003C147E" w:rsidRDefault="003C147E" w:rsidP="003C147E"/>
    <w:p w14:paraId="02BEA05F" w14:textId="77777777" w:rsidR="003C147E" w:rsidRPr="003C147E" w:rsidRDefault="003C147E" w:rsidP="003C147E">
      <w:r w:rsidRPr="003C147E">
        <w:t>Business requirements</w:t>
      </w:r>
    </w:p>
    <w:p w14:paraId="661B18AD" w14:textId="77777777" w:rsidR="003C147E" w:rsidRPr="003C147E" w:rsidRDefault="003C147E" w:rsidP="003C147E">
      <w:r w:rsidRPr="003C147E">
        <w:t>REQID1</w:t>
      </w:r>
    </w:p>
    <w:tbl>
      <w:tblPr>
        <w:tblW w:w="0" w:type="auto"/>
        <w:tblCellMar>
          <w:left w:w="0" w:type="dxa"/>
          <w:right w:w="0" w:type="dxa"/>
        </w:tblCellMar>
        <w:tblLook w:val="04A0" w:firstRow="1" w:lastRow="0" w:firstColumn="1" w:lastColumn="0" w:noHBand="0" w:noVBand="1"/>
      </w:tblPr>
      <w:tblGrid>
        <w:gridCol w:w="4315"/>
        <w:gridCol w:w="4315"/>
      </w:tblGrid>
      <w:tr w:rsidR="003C147E" w:rsidRPr="003C147E" w14:paraId="04C0035D" w14:textId="77777777">
        <w:tc>
          <w:tcPr>
            <w:tcW w:w="43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88E9F95" w14:textId="77777777" w:rsidR="003C147E" w:rsidRPr="003C147E" w:rsidRDefault="003C147E" w:rsidP="003C147E">
            <w:r w:rsidRPr="003C147E">
              <w:t>Title</w:t>
            </w:r>
          </w:p>
        </w:tc>
        <w:tc>
          <w:tcPr>
            <w:tcW w:w="431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28CF5D6" w14:textId="77777777" w:rsidR="003C147E" w:rsidRPr="003C147E" w:rsidRDefault="003C147E" w:rsidP="003C147E"/>
        </w:tc>
      </w:tr>
      <w:tr w:rsidR="003C147E" w:rsidRPr="003C147E" w14:paraId="442F8027"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4DBA7C" w14:textId="77777777" w:rsidR="003C147E" w:rsidRPr="003C147E" w:rsidRDefault="003C147E" w:rsidP="003C147E">
            <w:r w:rsidRPr="003C147E">
              <w:t>Description</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21F80DA0" w14:textId="77777777" w:rsidR="003C147E" w:rsidRPr="003C147E" w:rsidRDefault="003C147E" w:rsidP="003C147E"/>
        </w:tc>
      </w:tr>
      <w:tr w:rsidR="003C147E" w:rsidRPr="003C147E" w14:paraId="60D761E6"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542784" w14:textId="77777777" w:rsidR="003C147E" w:rsidRPr="003C147E" w:rsidRDefault="003C147E" w:rsidP="003C147E">
            <w:r w:rsidRPr="003C147E">
              <w:t>AS IS behavior</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507CDA81" w14:textId="77777777" w:rsidR="003C147E" w:rsidRPr="003C147E" w:rsidRDefault="003C147E" w:rsidP="003C147E"/>
        </w:tc>
      </w:tr>
      <w:tr w:rsidR="003C147E" w:rsidRPr="003C147E" w14:paraId="570FC25C"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D3A8FE" w14:textId="77777777" w:rsidR="003C147E" w:rsidRPr="003C147E" w:rsidRDefault="003C147E" w:rsidP="003C147E">
            <w:r w:rsidRPr="003C147E">
              <w:t>TO BE behavior</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7006FC73" w14:textId="77777777" w:rsidR="003C147E" w:rsidRPr="003C147E" w:rsidRDefault="003C147E" w:rsidP="003C147E"/>
        </w:tc>
      </w:tr>
      <w:tr w:rsidR="003C147E" w:rsidRPr="003C147E" w14:paraId="7E3DBC4B"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A0238F" w14:textId="77777777" w:rsidR="003C147E" w:rsidRPr="003C147E" w:rsidRDefault="003C147E" w:rsidP="003C147E">
            <w:r w:rsidRPr="003C147E">
              <w:t>Pre-requisite</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2480DA26" w14:textId="77777777" w:rsidR="003C147E" w:rsidRPr="003C147E" w:rsidRDefault="003C147E" w:rsidP="003C147E"/>
        </w:tc>
      </w:tr>
      <w:tr w:rsidR="003C147E" w:rsidRPr="003C147E" w14:paraId="592C342C"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6D76F1" w14:textId="77777777" w:rsidR="003C147E" w:rsidRPr="003C147E" w:rsidRDefault="003C147E" w:rsidP="003C147E">
            <w:r w:rsidRPr="003C147E">
              <w:t>Acceptance Criteria</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7F78D264" w14:textId="77777777" w:rsidR="003C147E" w:rsidRPr="003C147E" w:rsidRDefault="003C147E" w:rsidP="003C147E"/>
        </w:tc>
      </w:tr>
    </w:tbl>
    <w:p w14:paraId="0FDA60EB" w14:textId="77777777" w:rsidR="003C147E" w:rsidRPr="003C147E" w:rsidRDefault="003C147E" w:rsidP="003C147E"/>
    <w:p w14:paraId="47C4BE2F" w14:textId="77777777" w:rsidR="003C147E" w:rsidRPr="003C147E" w:rsidRDefault="003C147E" w:rsidP="003C147E">
      <w:r w:rsidRPr="003C147E">
        <w:t>REQID2</w:t>
      </w:r>
    </w:p>
    <w:tbl>
      <w:tblPr>
        <w:tblW w:w="0" w:type="auto"/>
        <w:tblCellMar>
          <w:left w:w="0" w:type="dxa"/>
          <w:right w:w="0" w:type="dxa"/>
        </w:tblCellMar>
        <w:tblLook w:val="04A0" w:firstRow="1" w:lastRow="0" w:firstColumn="1" w:lastColumn="0" w:noHBand="0" w:noVBand="1"/>
      </w:tblPr>
      <w:tblGrid>
        <w:gridCol w:w="4315"/>
        <w:gridCol w:w="4315"/>
      </w:tblGrid>
      <w:tr w:rsidR="003C147E" w:rsidRPr="003C147E" w14:paraId="2AF8C793" w14:textId="77777777">
        <w:tc>
          <w:tcPr>
            <w:tcW w:w="43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1C0EE5C" w14:textId="77777777" w:rsidR="003C147E" w:rsidRPr="003C147E" w:rsidRDefault="003C147E" w:rsidP="003C147E">
            <w:r w:rsidRPr="003C147E">
              <w:t>Title</w:t>
            </w:r>
          </w:p>
        </w:tc>
        <w:tc>
          <w:tcPr>
            <w:tcW w:w="431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1851EBB" w14:textId="77777777" w:rsidR="003C147E" w:rsidRPr="003C147E" w:rsidRDefault="003C147E" w:rsidP="003C147E"/>
        </w:tc>
      </w:tr>
      <w:tr w:rsidR="003C147E" w:rsidRPr="003C147E" w14:paraId="20E54D56"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0D0B80" w14:textId="77777777" w:rsidR="003C147E" w:rsidRPr="003C147E" w:rsidRDefault="003C147E" w:rsidP="003C147E">
            <w:r w:rsidRPr="003C147E">
              <w:t>Description</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007EF0B7" w14:textId="77777777" w:rsidR="003C147E" w:rsidRPr="003C147E" w:rsidRDefault="003C147E" w:rsidP="003C147E"/>
        </w:tc>
      </w:tr>
      <w:tr w:rsidR="003C147E" w:rsidRPr="003C147E" w14:paraId="12587871"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D4A035" w14:textId="77777777" w:rsidR="003C147E" w:rsidRPr="003C147E" w:rsidRDefault="003C147E" w:rsidP="003C147E">
            <w:r w:rsidRPr="003C147E">
              <w:t>AS IS behavior</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5312C691" w14:textId="77777777" w:rsidR="003C147E" w:rsidRPr="003C147E" w:rsidRDefault="003C147E" w:rsidP="003C147E"/>
        </w:tc>
      </w:tr>
      <w:tr w:rsidR="003C147E" w:rsidRPr="003C147E" w14:paraId="5635F9DA"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11350E" w14:textId="77777777" w:rsidR="003C147E" w:rsidRPr="003C147E" w:rsidRDefault="003C147E" w:rsidP="003C147E">
            <w:r w:rsidRPr="003C147E">
              <w:t>TO BE behavior</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1A2D4829" w14:textId="77777777" w:rsidR="003C147E" w:rsidRPr="003C147E" w:rsidRDefault="003C147E" w:rsidP="003C147E"/>
        </w:tc>
      </w:tr>
      <w:tr w:rsidR="003C147E" w:rsidRPr="003C147E" w14:paraId="58E333F7"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BEF96F" w14:textId="77777777" w:rsidR="003C147E" w:rsidRPr="003C147E" w:rsidRDefault="003C147E" w:rsidP="003C147E">
            <w:r w:rsidRPr="003C147E">
              <w:t>Pre-requisite</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0C73FDFB" w14:textId="77777777" w:rsidR="003C147E" w:rsidRPr="003C147E" w:rsidRDefault="003C147E" w:rsidP="003C147E"/>
        </w:tc>
      </w:tr>
      <w:tr w:rsidR="003C147E" w:rsidRPr="003C147E" w14:paraId="0F4C947E"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4D63E6" w14:textId="77777777" w:rsidR="003C147E" w:rsidRPr="003C147E" w:rsidRDefault="003C147E" w:rsidP="003C147E">
            <w:r w:rsidRPr="003C147E">
              <w:t>Acceptance Criteria</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76FE27DF" w14:textId="77777777" w:rsidR="003C147E" w:rsidRPr="003C147E" w:rsidRDefault="003C147E" w:rsidP="003C147E"/>
        </w:tc>
      </w:tr>
      <w:tr w:rsidR="003C147E" w:rsidRPr="003C147E" w14:paraId="0F80EE04"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E970A1" w14:textId="77777777" w:rsidR="003C147E" w:rsidRPr="003C147E" w:rsidRDefault="003C147E" w:rsidP="003C147E">
            <w:r w:rsidRPr="003C147E">
              <w:t>Alternate flows</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21929593" w14:textId="77777777" w:rsidR="003C147E" w:rsidRPr="003C147E" w:rsidRDefault="003C147E" w:rsidP="003C147E"/>
        </w:tc>
      </w:tr>
    </w:tbl>
    <w:p w14:paraId="6037B91D" w14:textId="77777777" w:rsidR="003C147E" w:rsidRPr="003C147E" w:rsidRDefault="003C147E" w:rsidP="003C147E"/>
    <w:p w14:paraId="54C56713" w14:textId="77777777" w:rsidR="003C147E" w:rsidRPr="003C147E" w:rsidRDefault="003C147E" w:rsidP="003C147E">
      <w:r w:rsidRPr="003C147E">
        <w:lastRenderedPageBreak/>
        <w:t>REQID3</w:t>
      </w:r>
    </w:p>
    <w:tbl>
      <w:tblPr>
        <w:tblW w:w="0" w:type="auto"/>
        <w:tblCellMar>
          <w:left w:w="0" w:type="dxa"/>
          <w:right w:w="0" w:type="dxa"/>
        </w:tblCellMar>
        <w:tblLook w:val="04A0" w:firstRow="1" w:lastRow="0" w:firstColumn="1" w:lastColumn="0" w:noHBand="0" w:noVBand="1"/>
      </w:tblPr>
      <w:tblGrid>
        <w:gridCol w:w="4315"/>
        <w:gridCol w:w="4315"/>
      </w:tblGrid>
      <w:tr w:rsidR="003C147E" w:rsidRPr="003C147E" w14:paraId="5DB9FFAA" w14:textId="77777777">
        <w:tc>
          <w:tcPr>
            <w:tcW w:w="43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4102011" w14:textId="77777777" w:rsidR="003C147E" w:rsidRPr="003C147E" w:rsidRDefault="003C147E" w:rsidP="003C147E">
            <w:r w:rsidRPr="003C147E">
              <w:t>Title</w:t>
            </w:r>
          </w:p>
        </w:tc>
        <w:tc>
          <w:tcPr>
            <w:tcW w:w="431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9AAEFAF" w14:textId="77777777" w:rsidR="003C147E" w:rsidRPr="003C147E" w:rsidRDefault="003C147E" w:rsidP="003C147E"/>
        </w:tc>
      </w:tr>
      <w:tr w:rsidR="003C147E" w:rsidRPr="003C147E" w14:paraId="1FA52001"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91F699" w14:textId="77777777" w:rsidR="003C147E" w:rsidRPr="003C147E" w:rsidRDefault="003C147E" w:rsidP="003C147E">
            <w:r w:rsidRPr="003C147E">
              <w:t>Description</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51AE1D41" w14:textId="77777777" w:rsidR="003C147E" w:rsidRPr="003C147E" w:rsidRDefault="003C147E" w:rsidP="003C147E"/>
        </w:tc>
      </w:tr>
      <w:tr w:rsidR="003C147E" w:rsidRPr="003C147E" w14:paraId="11939CA7"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C99497" w14:textId="77777777" w:rsidR="003C147E" w:rsidRPr="003C147E" w:rsidRDefault="003C147E" w:rsidP="003C147E">
            <w:r w:rsidRPr="003C147E">
              <w:t>AS IS behavior</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7C56309B" w14:textId="77777777" w:rsidR="003C147E" w:rsidRPr="003C147E" w:rsidRDefault="003C147E" w:rsidP="003C147E"/>
        </w:tc>
      </w:tr>
      <w:tr w:rsidR="003C147E" w:rsidRPr="003C147E" w14:paraId="33A5C66E"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ED6D56" w14:textId="77777777" w:rsidR="003C147E" w:rsidRPr="003C147E" w:rsidRDefault="003C147E" w:rsidP="003C147E">
            <w:r w:rsidRPr="003C147E">
              <w:t>TO BE behavior</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3D885EB3" w14:textId="77777777" w:rsidR="003C147E" w:rsidRPr="003C147E" w:rsidRDefault="003C147E" w:rsidP="003C147E"/>
        </w:tc>
      </w:tr>
      <w:tr w:rsidR="003C147E" w:rsidRPr="003C147E" w14:paraId="76A5C859"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BA35C9" w14:textId="77777777" w:rsidR="003C147E" w:rsidRPr="003C147E" w:rsidRDefault="003C147E" w:rsidP="003C147E">
            <w:r w:rsidRPr="003C147E">
              <w:t>Pre-requisite</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77AE5953" w14:textId="77777777" w:rsidR="003C147E" w:rsidRPr="003C147E" w:rsidRDefault="003C147E" w:rsidP="003C147E"/>
        </w:tc>
      </w:tr>
      <w:tr w:rsidR="003C147E" w:rsidRPr="003C147E" w14:paraId="09D00041"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0400A2" w14:textId="77777777" w:rsidR="003C147E" w:rsidRPr="003C147E" w:rsidRDefault="003C147E" w:rsidP="003C147E">
            <w:r w:rsidRPr="003C147E">
              <w:t>Acceptance Criteria</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21991BE6" w14:textId="77777777" w:rsidR="003C147E" w:rsidRPr="003C147E" w:rsidRDefault="003C147E" w:rsidP="003C147E"/>
        </w:tc>
      </w:tr>
      <w:tr w:rsidR="003C147E" w:rsidRPr="003C147E" w14:paraId="08E95E97"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A66BD9" w14:textId="77777777" w:rsidR="003C147E" w:rsidRPr="003C147E" w:rsidRDefault="003C147E" w:rsidP="003C147E">
            <w:r w:rsidRPr="003C147E">
              <w:t>Alternate flows</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0A841A15" w14:textId="77777777" w:rsidR="003C147E" w:rsidRPr="003C147E" w:rsidRDefault="003C147E" w:rsidP="003C147E"/>
        </w:tc>
      </w:tr>
      <w:tr w:rsidR="003C147E" w:rsidRPr="003C147E" w14:paraId="4A2B3FEC"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DE7ADA" w14:textId="77777777" w:rsidR="003C147E" w:rsidRPr="003C147E" w:rsidRDefault="003C147E" w:rsidP="003C147E">
            <w:r w:rsidRPr="003C147E">
              <w:t>Reference documents</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211BFFA6" w14:textId="77777777" w:rsidR="003C147E" w:rsidRPr="003C147E" w:rsidRDefault="003C147E" w:rsidP="003C147E"/>
        </w:tc>
      </w:tr>
    </w:tbl>
    <w:p w14:paraId="7840188C" w14:textId="77777777" w:rsidR="003C147E" w:rsidRPr="003C147E" w:rsidRDefault="003C147E" w:rsidP="003C147E"/>
    <w:p w14:paraId="4DFAAE91" w14:textId="77777777" w:rsidR="003C147E" w:rsidRPr="003C147E" w:rsidRDefault="003C147E" w:rsidP="003C147E">
      <w:r w:rsidRPr="003C147E">
        <w:t>Requirement Traceability Matrix</w:t>
      </w:r>
    </w:p>
    <w:tbl>
      <w:tblPr>
        <w:tblW w:w="0" w:type="auto"/>
        <w:tblCellMar>
          <w:left w:w="0" w:type="dxa"/>
          <w:right w:w="0" w:type="dxa"/>
        </w:tblCellMar>
        <w:tblLook w:val="04A0" w:firstRow="1" w:lastRow="0" w:firstColumn="1" w:lastColumn="0" w:noHBand="0" w:noVBand="1"/>
      </w:tblPr>
      <w:tblGrid>
        <w:gridCol w:w="1685"/>
        <w:gridCol w:w="1923"/>
        <w:gridCol w:w="1543"/>
        <w:gridCol w:w="1936"/>
        <w:gridCol w:w="1543"/>
      </w:tblGrid>
      <w:tr w:rsidR="003C147E" w:rsidRPr="003C147E" w14:paraId="31A4BE73" w14:textId="77777777">
        <w:tc>
          <w:tcPr>
            <w:tcW w:w="16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507C652" w14:textId="77777777" w:rsidR="003C147E" w:rsidRPr="003C147E" w:rsidRDefault="003C147E" w:rsidP="003C147E">
            <w:r w:rsidRPr="003C147E">
              <w:t>REQ ID</w:t>
            </w:r>
          </w:p>
        </w:tc>
        <w:tc>
          <w:tcPr>
            <w:tcW w:w="19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65002DE" w14:textId="77777777" w:rsidR="003C147E" w:rsidRPr="003C147E" w:rsidRDefault="003C147E" w:rsidP="003C147E">
            <w:r w:rsidRPr="003C147E">
              <w:t>Description</w:t>
            </w:r>
          </w:p>
        </w:tc>
        <w:tc>
          <w:tcPr>
            <w:tcW w:w="15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68AD8A3" w14:textId="77777777" w:rsidR="003C147E" w:rsidRPr="003C147E" w:rsidRDefault="003C147E" w:rsidP="003C147E">
            <w:r w:rsidRPr="003C147E">
              <w:t>Source Channel</w:t>
            </w:r>
          </w:p>
        </w:tc>
        <w:tc>
          <w:tcPr>
            <w:tcW w:w="193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7A5C4D4" w14:textId="77777777" w:rsidR="003C147E" w:rsidRPr="003C147E" w:rsidRDefault="003C147E" w:rsidP="003C147E">
            <w:r w:rsidRPr="003C147E">
              <w:t>Impacted System</w:t>
            </w:r>
          </w:p>
        </w:tc>
        <w:tc>
          <w:tcPr>
            <w:tcW w:w="15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D7CA3CC" w14:textId="77777777" w:rsidR="003C147E" w:rsidRPr="003C147E" w:rsidRDefault="003C147E" w:rsidP="003C147E">
            <w:r w:rsidRPr="003C147E">
              <w:t>Outcome</w:t>
            </w:r>
          </w:p>
        </w:tc>
      </w:tr>
      <w:tr w:rsidR="003C147E" w:rsidRPr="003C147E" w14:paraId="1917607A" w14:textId="77777777">
        <w:tc>
          <w:tcPr>
            <w:tcW w:w="168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82B06A4" w14:textId="77777777" w:rsidR="003C147E" w:rsidRPr="003C147E" w:rsidRDefault="003C147E" w:rsidP="003C147E"/>
        </w:tc>
        <w:tc>
          <w:tcPr>
            <w:tcW w:w="1923" w:type="dxa"/>
            <w:tcBorders>
              <w:top w:val="nil"/>
              <w:left w:val="nil"/>
              <w:bottom w:val="single" w:sz="8" w:space="0" w:color="auto"/>
              <w:right w:val="single" w:sz="8" w:space="0" w:color="auto"/>
            </w:tcBorders>
            <w:tcMar>
              <w:top w:w="0" w:type="dxa"/>
              <w:left w:w="108" w:type="dxa"/>
              <w:bottom w:w="0" w:type="dxa"/>
              <w:right w:w="108" w:type="dxa"/>
            </w:tcMar>
          </w:tcPr>
          <w:p w14:paraId="45AA7248" w14:textId="77777777" w:rsidR="003C147E" w:rsidRPr="003C147E" w:rsidRDefault="003C147E" w:rsidP="003C147E"/>
        </w:tc>
        <w:tc>
          <w:tcPr>
            <w:tcW w:w="1543" w:type="dxa"/>
            <w:tcBorders>
              <w:top w:val="nil"/>
              <w:left w:val="nil"/>
              <w:bottom w:val="single" w:sz="8" w:space="0" w:color="auto"/>
              <w:right w:val="single" w:sz="8" w:space="0" w:color="auto"/>
            </w:tcBorders>
            <w:tcMar>
              <w:top w:w="0" w:type="dxa"/>
              <w:left w:w="108" w:type="dxa"/>
              <w:bottom w:w="0" w:type="dxa"/>
              <w:right w:w="108" w:type="dxa"/>
            </w:tcMar>
          </w:tcPr>
          <w:p w14:paraId="36EF108B" w14:textId="77777777" w:rsidR="003C147E" w:rsidRPr="003C147E" w:rsidRDefault="003C147E" w:rsidP="003C147E"/>
        </w:tc>
        <w:tc>
          <w:tcPr>
            <w:tcW w:w="1936" w:type="dxa"/>
            <w:tcBorders>
              <w:top w:val="nil"/>
              <w:left w:val="nil"/>
              <w:bottom w:val="single" w:sz="8" w:space="0" w:color="auto"/>
              <w:right w:val="single" w:sz="8" w:space="0" w:color="auto"/>
            </w:tcBorders>
            <w:tcMar>
              <w:top w:w="0" w:type="dxa"/>
              <w:left w:w="108" w:type="dxa"/>
              <w:bottom w:w="0" w:type="dxa"/>
              <w:right w:w="108" w:type="dxa"/>
            </w:tcMar>
          </w:tcPr>
          <w:p w14:paraId="0C5A7CEA" w14:textId="77777777" w:rsidR="003C147E" w:rsidRPr="003C147E" w:rsidRDefault="003C147E" w:rsidP="003C147E"/>
        </w:tc>
        <w:tc>
          <w:tcPr>
            <w:tcW w:w="1543" w:type="dxa"/>
            <w:tcBorders>
              <w:top w:val="nil"/>
              <w:left w:val="nil"/>
              <w:bottom w:val="single" w:sz="8" w:space="0" w:color="auto"/>
              <w:right w:val="single" w:sz="8" w:space="0" w:color="auto"/>
            </w:tcBorders>
            <w:tcMar>
              <w:top w:w="0" w:type="dxa"/>
              <w:left w:w="108" w:type="dxa"/>
              <w:bottom w:w="0" w:type="dxa"/>
              <w:right w:w="108" w:type="dxa"/>
            </w:tcMar>
          </w:tcPr>
          <w:p w14:paraId="0676DD60" w14:textId="77777777" w:rsidR="003C147E" w:rsidRPr="003C147E" w:rsidRDefault="003C147E" w:rsidP="003C147E"/>
        </w:tc>
      </w:tr>
      <w:tr w:rsidR="003C147E" w:rsidRPr="003C147E" w14:paraId="148DBA6E" w14:textId="77777777">
        <w:tc>
          <w:tcPr>
            <w:tcW w:w="168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0DCEF6E" w14:textId="77777777" w:rsidR="003C147E" w:rsidRPr="003C147E" w:rsidRDefault="003C147E" w:rsidP="003C147E"/>
        </w:tc>
        <w:tc>
          <w:tcPr>
            <w:tcW w:w="1923" w:type="dxa"/>
            <w:tcBorders>
              <w:top w:val="nil"/>
              <w:left w:val="nil"/>
              <w:bottom w:val="single" w:sz="8" w:space="0" w:color="auto"/>
              <w:right w:val="single" w:sz="8" w:space="0" w:color="auto"/>
            </w:tcBorders>
            <w:tcMar>
              <w:top w:w="0" w:type="dxa"/>
              <w:left w:w="108" w:type="dxa"/>
              <w:bottom w:w="0" w:type="dxa"/>
              <w:right w:w="108" w:type="dxa"/>
            </w:tcMar>
          </w:tcPr>
          <w:p w14:paraId="26DA10E6" w14:textId="77777777" w:rsidR="003C147E" w:rsidRPr="003C147E" w:rsidRDefault="003C147E" w:rsidP="003C147E"/>
        </w:tc>
        <w:tc>
          <w:tcPr>
            <w:tcW w:w="1543" w:type="dxa"/>
            <w:tcBorders>
              <w:top w:val="nil"/>
              <w:left w:val="nil"/>
              <w:bottom w:val="single" w:sz="8" w:space="0" w:color="auto"/>
              <w:right w:val="single" w:sz="8" w:space="0" w:color="auto"/>
            </w:tcBorders>
            <w:tcMar>
              <w:top w:w="0" w:type="dxa"/>
              <w:left w:w="108" w:type="dxa"/>
              <w:bottom w:w="0" w:type="dxa"/>
              <w:right w:w="108" w:type="dxa"/>
            </w:tcMar>
          </w:tcPr>
          <w:p w14:paraId="16C71B67" w14:textId="77777777" w:rsidR="003C147E" w:rsidRPr="003C147E" w:rsidRDefault="003C147E" w:rsidP="003C147E"/>
        </w:tc>
        <w:tc>
          <w:tcPr>
            <w:tcW w:w="1936" w:type="dxa"/>
            <w:tcBorders>
              <w:top w:val="nil"/>
              <w:left w:val="nil"/>
              <w:bottom w:val="single" w:sz="8" w:space="0" w:color="auto"/>
              <w:right w:val="single" w:sz="8" w:space="0" w:color="auto"/>
            </w:tcBorders>
            <w:tcMar>
              <w:top w:w="0" w:type="dxa"/>
              <w:left w:w="108" w:type="dxa"/>
              <w:bottom w:w="0" w:type="dxa"/>
              <w:right w:w="108" w:type="dxa"/>
            </w:tcMar>
          </w:tcPr>
          <w:p w14:paraId="6F72FBB5" w14:textId="77777777" w:rsidR="003C147E" w:rsidRPr="003C147E" w:rsidRDefault="003C147E" w:rsidP="003C147E"/>
        </w:tc>
        <w:tc>
          <w:tcPr>
            <w:tcW w:w="1543" w:type="dxa"/>
            <w:tcBorders>
              <w:top w:val="nil"/>
              <w:left w:val="nil"/>
              <w:bottom w:val="single" w:sz="8" w:space="0" w:color="auto"/>
              <w:right w:val="single" w:sz="8" w:space="0" w:color="auto"/>
            </w:tcBorders>
            <w:tcMar>
              <w:top w:w="0" w:type="dxa"/>
              <w:left w:w="108" w:type="dxa"/>
              <w:bottom w:w="0" w:type="dxa"/>
              <w:right w:w="108" w:type="dxa"/>
            </w:tcMar>
          </w:tcPr>
          <w:p w14:paraId="292F3EEC" w14:textId="77777777" w:rsidR="003C147E" w:rsidRPr="003C147E" w:rsidRDefault="003C147E" w:rsidP="003C147E"/>
        </w:tc>
      </w:tr>
    </w:tbl>
    <w:p w14:paraId="1C35C782" w14:textId="77777777" w:rsidR="003C147E" w:rsidRPr="003C147E" w:rsidRDefault="003C147E" w:rsidP="003C147E"/>
    <w:p w14:paraId="56338CE2" w14:textId="77777777" w:rsidR="003C147E" w:rsidRPr="003C147E" w:rsidRDefault="003C147E" w:rsidP="003C147E">
      <w:r w:rsidRPr="003C147E">
        <w:t>Non-functional Requirements</w:t>
      </w:r>
    </w:p>
    <w:tbl>
      <w:tblPr>
        <w:tblW w:w="0" w:type="auto"/>
        <w:tblCellMar>
          <w:left w:w="0" w:type="dxa"/>
          <w:right w:w="0" w:type="dxa"/>
        </w:tblCellMar>
        <w:tblLook w:val="04A0" w:firstRow="1" w:lastRow="0" w:firstColumn="1" w:lastColumn="0" w:noHBand="0" w:noVBand="1"/>
      </w:tblPr>
      <w:tblGrid>
        <w:gridCol w:w="4315"/>
        <w:gridCol w:w="4315"/>
      </w:tblGrid>
      <w:tr w:rsidR="003C147E" w:rsidRPr="003C147E" w14:paraId="47EF7006" w14:textId="77777777">
        <w:tc>
          <w:tcPr>
            <w:tcW w:w="43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2B09EF5" w14:textId="77777777" w:rsidR="003C147E" w:rsidRPr="003C147E" w:rsidRDefault="003C147E" w:rsidP="003C147E">
            <w:r w:rsidRPr="003C147E">
              <w:t>No. of users</w:t>
            </w:r>
          </w:p>
        </w:tc>
        <w:tc>
          <w:tcPr>
            <w:tcW w:w="431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CCEE337" w14:textId="77777777" w:rsidR="003C147E" w:rsidRPr="003C147E" w:rsidRDefault="003C147E" w:rsidP="003C147E"/>
        </w:tc>
      </w:tr>
      <w:tr w:rsidR="003C147E" w:rsidRPr="003C147E" w14:paraId="2900525E"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A9751D" w14:textId="77777777" w:rsidR="003C147E" w:rsidRPr="003C147E" w:rsidRDefault="003C147E" w:rsidP="003C147E">
            <w:r w:rsidRPr="003C147E">
              <w:t>Peak Volume</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4AFEB8B2" w14:textId="77777777" w:rsidR="003C147E" w:rsidRPr="003C147E" w:rsidRDefault="003C147E" w:rsidP="003C147E"/>
        </w:tc>
      </w:tr>
      <w:tr w:rsidR="003C147E" w:rsidRPr="003C147E" w14:paraId="470C1B45"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64A17D" w14:textId="77777777" w:rsidR="003C147E" w:rsidRPr="003C147E" w:rsidRDefault="003C147E" w:rsidP="003C147E">
            <w:r w:rsidRPr="003C147E">
              <w:t>Monthly Volume</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0B93FAE0" w14:textId="77777777" w:rsidR="003C147E" w:rsidRPr="003C147E" w:rsidRDefault="003C147E" w:rsidP="003C147E"/>
        </w:tc>
      </w:tr>
      <w:tr w:rsidR="003C147E" w:rsidRPr="003C147E" w14:paraId="7B8879D1" w14:textId="77777777">
        <w:tc>
          <w:tcPr>
            <w:tcW w:w="43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7F133D" w14:textId="77777777" w:rsidR="003C147E" w:rsidRPr="003C147E" w:rsidRDefault="003C147E" w:rsidP="003C147E">
            <w:r w:rsidRPr="003C147E">
              <w:t>Availability</w:t>
            </w:r>
          </w:p>
        </w:tc>
        <w:tc>
          <w:tcPr>
            <w:tcW w:w="4315" w:type="dxa"/>
            <w:tcBorders>
              <w:top w:val="nil"/>
              <w:left w:val="nil"/>
              <w:bottom w:val="single" w:sz="8" w:space="0" w:color="auto"/>
              <w:right w:val="single" w:sz="8" w:space="0" w:color="auto"/>
            </w:tcBorders>
            <w:tcMar>
              <w:top w:w="0" w:type="dxa"/>
              <w:left w:w="108" w:type="dxa"/>
              <w:bottom w:w="0" w:type="dxa"/>
              <w:right w:w="108" w:type="dxa"/>
            </w:tcMar>
          </w:tcPr>
          <w:p w14:paraId="4411D796" w14:textId="77777777" w:rsidR="003C147E" w:rsidRPr="003C147E" w:rsidRDefault="003C147E" w:rsidP="003C147E"/>
        </w:tc>
      </w:tr>
    </w:tbl>
    <w:p w14:paraId="3DB64F72" w14:textId="77777777" w:rsidR="003C147E" w:rsidRPr="003C147E" w:rsidRDefault="003C147E" w:rsidP="003C147E"/>
    <w:p w14:paraId="1612A075" w14:textId="77777777" w:rsidR="003C147E" w:rsidRPr="003C147E" w:rsidRDefault="003C147E" w:rsidP="003C147E">
      <w:r w:rsidRPr="003C147E">
        <w:t>Impact on Operational process</w:t>
      </w:r>
    </w:p>
    <w:p w14:paraId="63A26C63" w14:textId="77777777" w:rsidR="003C147E" w:rsidRPr="003C147E" w:rsidRDefault="003C147E" w:rsidP="003C147E"/>
    <w:p w14:paraId="69250188" w14:textId="77777777" w:rsidR="003C147E" w:rsidRPr="003C147E" w:rsidRDefault="003C147E" w:rsidP="003C147E"/>
    <w:p w14:paraId="4BB8AA01" w14:textId="77777777" w:rsidR="003C147E" w:rsidRPr="003C147E" w:rsidRDefault="003C147E" w:rsidP="003C147E">
      <w:r w:rsidRPr="003C147E">
        <w:lastRenderedPageBreak/>
        <w:t>Regulatory impact</w:t>
      </w:r>
    </w:p>
    <w:p w14:paraId="065EBBEA" w14:textId="77777777" w:rsidR="003C147E" w:rsidRPr="003C147E" w:rsidRDefault="003C147E" w:rsidP="003C147E"/>
    <w:p w14:paraId="7B5BA16C" w14:textId="77777777" w:rsidR="003C147E" w:rsidRPr="003C147E" w:rsidRDefault="003C147E" w:rsidP="003C147E"/>
    <w:p w14:paraId="054CACE4" w14:textId="77777777" w:rsidR="003C147E" w:rsidRPr="003C147E" w:rsidRDefault="003C147E" w:rsidP="003C147E">
      <w:r w:rsidRPr="003C147E">
        <w:t>Reports requirement</w:t>
      </w:r>
    </w:p>
    <w:p w14:paraId="699155A8" w14:textId="77777777" w:rsidR="003C147E" w:rsidRPr="003C147E" w:rsidRDefault="003C147E" w:rsidP="003C147E"/>
    <w:p w14:paraId="078FFC08" w14:textId="77777777" w:rsidR="003C147E" w:rsidRPr="003C147E" w:rsidRDefault="003C147E" w:rsidP="003C147E"/>
    <w:p w14:paraId="39C464E5" w14:textId="77777777" w:rsidR="003C147E" w:rsidRPr="003C147E" w:rsidRDefault="003C147E" w:rsidP="003C147E">
      <w:r w:rsidRPr="003C147E">
        <w:t>Access requirement</w:t>
      </w:r>
    </w:p>
    <w:p w14:paraId="3E5F828D" w14:textId="77777777" w:rsidR="003C147E" w:rsidRPr="003C147E" w:rsidRDefault="003C147E" w:rsidP="003C147E"/>
    <w:p w14:paraId="7120417F" w14:textId="77777777" w:rsidR="003C147E" w:rsidRPr="003C147E" w:rsidRDefault="003C147E" w:rsidP="003C147E"/>
    <w:p w14:paraId="7D7DA303" w14:textId="77777777" w:rsidR="003C147E" w:rsidRPr="003C147E" w:rsidRDefault="003C147E" w:rsidP="003C147E">
      <w:r w:rsidRPr="003C147E">
        <w:t>Security requirement</w:t>
      </w:r>
    </w:p>
    <w:p w14:paraId="57E3B049" w14:textId="77777777" w:rsidR="003C147E" w:rsidRPr="003C147E" w:rsidRDefault="003C147E" w:rsidP="003C147E"/>
    <w:p w14:paraId="54EEC6A5" w14:textId="77777777" w:rsidR="003C147E" w:rsidRPr="003C147E" w:rsidRDefault="003C147E" w:rsidP="003C147E"/>
    <w:p w14:paraId="674797E2" w14:textId="77777777" w:rsidR="003C147E" w:rsidRPr="003C147E" w:rsidRDefault="003C147E" w:rsidP="003C147E">
      <w:r w:rsidRPr="003C147E">
        <w:t>Data requirement</w:t>
      </w:r>
    </w:p>
    <w:p w14:paraId="409AA12D" w14:textId="77777777" w:rsidR="003C147E" w:rsidRPr="003C147E" w:rsidRDefault="003C147E" w:rsidP="003C147E"/>
    <w:p w14:paraId="072620A8" w14:textId="77777777" w:rsidR="003C147E" w:rsidRPr="003C147E" w:rsidRDefault="003C147E" w:rsidP="003C147E"/>
    <w:p w14:paraId="5CBF7052" w14:textId="77777777" w:rsidR="003C147E" w:rsidRPr="003C147E" w:rsidRDefault="003C147E" w:rsidP="003C147E">
      <w:r w:rsidRPr="003C147E">
        <w:t>Training requirement</w:t>
      </w:r>
    </w:p>
    <w:p w14:paraId="3744E8D5" w14:textId="77777777" w:rsidR="003C147E" w:rsidRPr="003C147E" w:rsidRDefault="003C147E" w:rsidP="003C147E"/>
    <w:p w14:paraId="69A5148F" w14:textId="77777777" w:rsidR="003C147E" w:rsidRPr="003C147E" w:rsidRDefault="003C147E" w:rsidP="003C147E"/>
    <w:p w14:paraId="60C7EF82" w14:textId="77777777" w:rsidR="004D7365" w:rsidRDefault="004D7365"/>
    <w:p>
      <w:r>
        <w:t>REQID1</w:t>
      </w:r>
    </w:p>
    <w:p>
      <w:r>
        <w:t>Title: Card Processing Enhancement</w:t>
      </w:r>
    </w:p>
    <w:p>
      <w:r>
        <w:t>Description: System shall support enhanced card processing capabilities</w:t>
      </w:r>
    </w:p>
    <w:p>
      <w:r>
        <w:t>AS IS behavior: Current processing limitations</w:t>
      </w:r>
    </w:p>
    <w:p>
      <w:r>
        <w:t>TO BE behavior: Improved processing with new features</w:t>
      </w:r>
    </w:p>
    <w:p>
      <w:r>
        <w:t>Pre-requisite: System availability</w:t>
      </w:r>
    </w:p>
    <w:p>
      <w:r>
        <w:t>Acceptance Criteria: Successful processing of enhanced transactions</w:t>
      </w:r>
    </w:p>
    <w:p>
      <w:r>
        <w:t>Alternate flows: Error handling procedures</w:t>
      </w:r>
    </w:p>
    <w:p>
      <w:r>
        <w:t>High-level summary of the requirement</w:t>
      </w:r>
    </w:p>
    <w:p>
      <w:r>
        <w:t>The Central Bank of the UAE (CBUAE), via circular / mandate reference no. 5480-2024, requires all licensed financial institutions (FIs) in the UAE to support the national domestic card scheme “Jaywan”. Banks currently issuing international scheme cards (e.g., Visa, Mastercard) must in future issue Jaywan co‑badged cards so that cards support both domestic (UAE + GCC, where applicable) and international transactions.</w:t>
      </w:r>
    </w:p>
    <w:p>
      <w:r>
        <w:t>The bank must:</w:t>
      </w:r>
    </w:p>
    <w:p>
      <w:r>
        <w:t>- Implement issuance and lifecycle management of Jaywan mono‑badged and co‑badged cards.</w:t>
      </w:r>
    </w:p>
    <w:p>
      <w:r>
        <w:t>- Configure routing so that eligible domestic transactions are processed via the Jaywan domestic scheme, while international transactions are routed via the appropriate international network.</w:t>
      </w:r>
    </w:p>
    <w:p>
      <w:r>
        <w:t>- Integrate with Al Etihad Payments (AEP) infrastructure for authorization, clearing, settlement, chargebacks, and reconciliation, in line with CBUAE regulations and AEP scheme rules.</w:t>
      </w:r>
    </w:p>
    <w:p>
      <w:r>
        <w:t>- Enable Jaywan usage on digital wallets (e.g., Samsung Wallet initially; future phases for Google Pay and Apple Pay) and prepare for bilateral agreements expanding Jaywan acceptance (e.g., India by mid‑2025 and other countries).</w:t>
      </w:r>
    </w:p>
    <w:p>
      <w:r>
        <w:t>The BRD defines business requirements, constraints, and impacts required for the bank to comply with the Jaywan mandate and to provide secure, cost‑effective, seamless payment services using Jaywan mono‑badged and co‑badged cards across ATM, POS, e‑commerce, tokenized payments, and other supported channels.</w:t>
      </w:r>
    </w:p>
    <w:p>
      <w:r>
        <w:t>---</w:t>
      </w:r>
    </w:p>
    <w:p>
      <w:r>
        <w:t>Current system limitations and constraints</w:t>
      </w:r>
    </w:p>
    <w:p>
      <w:r>
        <w:t>Based on the provided context, the following constraints are identified. Where details are not provided, they are flagged as open questions rather than assumed.</w:t>
      </w:r>
    </w:p>
    <w:p>
      <w:r>
        <w:t>1) Scheme and Product Constraints</w:t>
      </w:r>
    </w:p>
    <w:p>
      <w:r>
        <w:t>- Current card portfolio is primarily/only based on international schemes (Visa/Mastercard).</w:t>
      </w:r>
    </w:p>
    <w:p>
      <w:r>
        <w:t>- No production implementation of Jaywan mono‑badged or co‑badged cards exists.</w:t>
      </w:r>
    </w:p>
    <w:p>
      <w:r>
        <w:t>- Dual messaging system (DMS) processes are currently in place for Visa e‑commerce and tokenization transactions only; CBUAE/AEP DMS for Jaywan is in “To‑Be” state.</w:t>
      </w:r>
    </w:p>
    <w:p>
      <w:r>
        <w:t>- POS tokenized transactions may not currently be fully in scope for domestic routing, and their behavior for Jaywan is unclear.</w:t>
      </w:r>
    </w:p>
    <w:p>
      <w:r>
        <w:t>- OPEN QUESTION 1: Confirm current behavior of POS tokenized transactions (network, routing logic, and clearing).</w:t>
      </w:r>
    </w:p>
    <w:p>
      <w:r>
        <w:t>2) Infrastructure and Integration Constraints</w:t>
      </w:r>
    </w:p>
    <w:p>
      <w:r>
        <w:t>- Current authorization switch, card management system (CMS), and payment gateway are configured primarily for Visa/Mastercard routing and data formats; Jaywan message specs and routing tables are not yet configured.</w:t>
      </w:r>
    </w:p>
    <w:p>
      <w:r>
        <w:t>- Reconciliation for Jaywan is not yet implemented; documentation on reconciliation has been requested from stakeholders.</w:t>
      </w:r>
    </w:p>
    <w:p>
      <w:r>
        <w:t>- OPEN QUESTION 2: Confirm whether AEP has provided final reconciliation and settlement file formats and timelines.</w:t>
      </w:r>
    </w:p>
    <w:p>
      <w:r>
        <w:t>- Existing SMS alerting, fraud monitoring, and dispute systems are aligned to Visa/Mastercard rules and may not yet be parameterized for Jaywan specific codes, fees, and dispute timelines.</w:t>
      </w:r>
    </w:p>
    <w:p>
      <w:r>
        <w:t>3) Regulatory and Mandate Constraints</w:t>
      </w:r>
    </w:p>
    <w:p>
      <w:r>
        <w:t>- CBUAE mandate 5480-2024 requires FIs to issue co‑badged cards; the detailed compliance deadlines (per card type / per segment) are not fully specified in the provided context.</w:t>
      </w:r>
    </w:p>
    <w:p>
      <w:r>
        <w:t>- OPEN QUESTION 3: Confirm CBUAE implementation timelines and any grace periods for full migration to Jaywan co‑badged issuance.</w:t>
      </w:r>
    </w:p>
    <w:p>
      <w:r>
        <w:t>- CBUAE and AEP scheme rules for routing priority, pricing, and dispute handling must be followed, which may conflict with existing bank practices optimized for international schemes.</w:t>
      </w:r>
    </w:p>
    <w:p>
      <w:r>
        <w:t>4) Operational Constraints</w:t>
      </w:r>
    </w:p>
    <w:p>
      <w:r>
        <w:t>- Current documented process flows exist for:</w:t>
      </w:r>
    </w:p>
    <w:p>
      <w:r>
        <w:t>- Current SMS for ATM/POS</w:t>
      </w:r>
    </w:p>
    <w:p>
      <w:r>
        <w:t>- Current Visa DMS for e‑commerce and tokenization</w:t>
      </w:r>
    </w:p>
    <w:p>
      <w:r>
        <w:t>- CBUAE DMS “To‑Be” for e‑commerce and tokenization</w:t>
      </w:r>
    </w:p>
    <w:p>
      <w:r>
        <w:t>- Business and IT teams are still in discovery for Jaywan mono‑badged and co‑badged card requirements (scheduled discovery sessions).</w:t>
      </w:r>
    </w:p>
    <w:p>
      <w:r>
        <w:t>- Chargeback, reversal, and refund processes are currently aligned with Visa/Mastercard; Jaywan-specific workflows and SLAs are not yet finalized.</w:t>
      </w:r>
    </w:p>
    <w:p>
      <w:r>
        <w:t>- OPEN QUESTION 4: Confirm whether AEP has published final dispute/chargeback rules and operational timelines.</w:t>
      </w:r>
    </w:p>
    <w:p>
      <w:r>
        <w:t>5) Reporting and GL Constraints</w:t>
      </w:r>
    </w:p>
    <w:p>
      <w:r>
        <w:t>- GL details required for Jaywan postings have been confirmed as “ready” by Finance; however, mapping of Jaywan fee types, interchange, and scheme charges to GLs may still be pending full validation against AEP documents.</w:t>
      </w:r>
    </w:p>
    <w:p>
      <w:r>
        <w:t>- Existing reports are tailored to Visa/Mastercard (e.g., scheme‑wise volumes, interchange, disputes). A Jaywan‑specific regulatory and internal reporting set is not yet implemented.</w:t>
      </w:r>
    </w:p>
    <w:p>
      <w:r>
        <w:t>- OPEN QUESTION 5: Confirm the final regulatory reporting formats/frequency required by CBUAE/AEP for Jaywan transactions.</w:t>
      </w:r>
    </w:p>
    <w:p>
      <w:r>
        <w:t>6) Digital Wallet and Tokenization Constraints</w:t>
      </w:r>
    </w:p>
    <w:p>
      <w:r>
        <w:t>- Jaywan enablement in Samsung Wallet is underway; Jaywan enablement on Google Pay and Apple Pay is planned for subsequent phases.</w:t>
      </w:r>
    </w:p>
    <w:p>
      <w:r>
        <w:t>- Current tokenization arrangements and TSP integrations are for Visa/Mastercard; Jaywan TSP/operator details and interfacing standards are not confirmed in the provided context.</w:t>
      </w:r>
    </w:p>
    <w:p>
      <w:r>
        <w:t>- OPEN QUESTION 6: Confirm Jaywan tokenization model (scheme‑provided TSP vs 3rd party) and supported device/wallet matrix.</w:t>
      </w:r>
    </w:p>
    <w:p>
      <w:r>
        <w:t>---</w:t>
      </w:r>
    </w:p>
    <w:p>
      <w:r>
        <w:t>Business objectives to be achieved</w:t>
      </w:r>
    </w:p>
    <w:p>
      <w:r>
        <w:t>1) Regulatory Compliance</w:t>
      </w:r>
    </w:p>
    <w:p>
      <w:r>
        <w:t>- Achieve full compliance with CBUAE circular / mandate ref. 5480-2024 requiring issuance and support of Jaywan co‑badged cards by the mandated timelines.</w:t>
      </w:r>
    </w:p>
    <w:p>
      <w:r>
        <w:t>- Adhere to Al Etihad Payments (AEP) and CBUAE rules for domestic card processing, dispute handling, reconciliation, and reporting.</w:t>
      </w:r>
    </w:p>
    <w:p>
      <w:r>
        <w:t>2) Transaction Cost Optimization</w:t>
      </w:r>
    </w:p>
    <w:p>
      <w:r>
        <w:t>- Reduce domestic payment acceptance and processing costs by routing eligible UAE (and GCC, where applicable) transactions via Jaywan instead of international schemes, in line with AEP pricing structures.</w:t>
      </w:r>
    </w:p>
    <w:p>
      <w:r>
        <w:t>3) Financial Sovereignty and Ecosystem Alignment</w:t>
      </w:r>
    </w:p>
    <w:p>
      <w:r>
        <w:t>- Support national payment infrastructure (Jaywan) to enhance the UAE’s financial sovereignty and digital payments ecosystem.</w:t>
      </w:r>
    </w:p>
    <w:p>
      <w:r>
        <w:t>- Align with strategic initiatives to use Jaywan in GCC and in countries with bilateral agreements (e.g., India by mid‑2025, and others as defined).</w:t>
      </w:r>
    </w:p>
    <w:p>
      <w:r>
        <w:t>4) Customer Experience and Reach</w:t>
      </w:r>
    </w:p>
    <w:p>
      <w:r>
        <w:t>- Provide seamless, secure card payments across ATM, POS, e‑commerce, tokenized channels, and digital wallets using Jaywan mono‑badged and co‑badged cards.</w:t>
      </w:r>
    </w:p>
    <w:p>
      <w:r>
        <w:t>- Ensure minimal disruption to customers during migration from existing Visa/Mastercard‑only cards to Jaywan co‑badged cards.</w:t>
      </w:r>
    </w:p>
    <w:p>
      <w:r>
        <w:t>5) Operational Efficiency and Risk Management</w:t>
      </w:r>
    </w:p>
    <w:p>
      <w:r>
        <w:t>- Implement clear, automated processes for routing, reconciliation, dispute handling, refunds, reversals, and chargebacks for Jaywan transactions.</w:t>
      </w:r>
    </w:p>
    <w:p>
      <w:r>
        <w:t>- Ensure appropriate fraud monitoring, AML controls, and risk analytics are in place for Jaywan, consistent with or exceeding current controls on international schemes.</w:t>
      </w:r>
    </w:p>
    <w:p>
      <w:r>
        <w:t>---</w:t>
      </w:r>
    </w:p>
    <w:p>
      <w:r>
        <w:t>Features and functionality included</w:t>
      </w:r>
    </w:p>
    <w:p>
      <w:r>
        <w:t>The following items are explicitly in scope for this BRD based on the provided context:</w:t>
      </w:r>
    </w:p>
    <w:p>
      <w:r>
        <w:t>1) Card Products &amp; Lifecycle</w:t>
      </w:r>
    </w:p>
    <w:p>
      <w:r>
        <w:t>- Design and issuance of:</w:t>
      </w:r>
    </w:p>
    <w:p>
      <w:r>
        <w:t>- Jaywan mono‑badged cards (domestic/GCC usage as per AEP rules).</w:t>
      </w:r>
    </w:p>
    <w:p>
      <w:r>
        <w:t>- Jaywan co‑badged cards with Visa or Mastercard, supporting both domestic (Jaywan) and international (Visa/Mastercard) transactions.</w:t>
      </w:r>
    </w:p>
    <w:p>
      <w:r>
        <w:t>- Customer onboarding, card issuance, PIN generation, activation, renewal, replacement, and closure for Jaywan cards.</w:t>
      </w:r>
    </w:p>
    <w:p>
      <w:r>
        <w:t>- Migration strategy for existing Visa/Mastercard primary cardholders to Jaywan co‑badged products (high‑level requirements only; detailed migration plan may be separate).</w:t>
      </w:r>
    </w:p>
    <w:p>
      <w:r>
        <w:t>2) Transaction Routing and Processing</w:t>
      </w:r>
    </w:p>
    <w:p>
      <w:r>
        <w:t>- Domestic routing logic for ATM, POS, and e‑commerce transactions originating in the UAE to Jaywan rails where applicable.</w:t>
      </w:r>
    </w:p>
    <w:p>
      <w:r>
        <w:t>- Support for GCC and bilateral‑agreement routing via Jaywan as per AEP scheme configurations (e.g., India by mid‑2025).</w:t>
      </w:r>
    </w:p>
    <w:p>
      <w:r>
        <w:t>- Co‑badged card transaction selection logic (e.g., choice of Jaywan vs international network, where applicable, governed by scheme rules and regulatory constraints).</w:t>
      </w:r>
    </w:p>
    <w:p>
      <w:r>
        <w:t>- Integration with AEP/Jaywan authorization, clearing, and settlement infrastructure, including dual messaging where required.</w:t>
      </w:r>
    </w:p>
    <w:p>
      <w:r>
        <w:t>3) Digital Channels &amp; Tokenization</w:t>
      </w:r>
    </w:p>
    <w:p>
      <w:r>
        <w:t>- Enablement of Jaywan cards on Samsung Wallet in initial phase.</w:t>
      </w:r>
    </w:p>
    <w:p>
      <w:r>
        <w:t>- Preparatory requirements for later enablement on Google Pay and Apple Pay (at least at business rule and capability‑readiness level).</w:t>
      </w:r>
    </w:p>
    <w:p>
      <w:r>
        <w:t>- Inclusion of e‑commerce and tokenized transactions (POS tokenized, in scope as flagged in context) for Jaywan routing, where specified by AEP and CBUAE.</w:t>
      </w:r>
    </w:p>
    <w:p>
      <w:r>
        <w:t>4) Reconciliation, GL, and Reporting</w:t>
      </w:r>
    </w:p>
    <w:p>
      <w:r>
        <w:t>- Definition and implementation of Jaywan‑specific GL accounts and mappings based on Finance team’s confirmation.</w:t>
      </w:r>
    </w:p>
    <w:p>
      <w:r>
        <w:t>- Implementation of reconciliation processes and reports between bank systems and AEP/Jaywan scheme data.</w:t>
      </w:r>
    </w:p>
    <w:p>
      <w:r>
        <w:t>- Implementation of internal MIS and regulatory reporting related to Jaywan, in alignment with CBUAE / AEP requirements.</w:t>
      </w:r>
    </w:p>
    <w:p>
      <w:r>
        <w:t>5) Disputes, Refunds, Reversals, Chargebacks</w:t>
      </w:r>
    </w:p>
    <w:p>
      <w:r>
        <w:t>- Definition of business rules and workflows for Jaywan disputes and chargebacks (including SLAs, statuses, and responsibilities), compliant with AEP and CBUAE rules.</w:t>
      </w:r>
    </w:p>
    <w:p>
      <w:r>
        <w:t>- Handling of refunds, partial refunds, and reversals for Jaywan transactions across ATM, POS, and e‑commerce channels.</w:t>
      </w:r>
    </w:p>
    <w:p>
      <w:r>
        <w:t>6) Security, Compliance &amp; Risk</w:t>
      </w:r>
    </w:p>
    <w:p>
      <w:r>
        <w:t>- Application of information security controls, data protection, PCI‑DSS aligned handling of card data, and secure tokenization for Jaywan.</w:t>
      </w:r>
    </w:p>
    <w:p>
      <w:r>
        <w:t>- Integration of Jaywan data into existing AML, fraud monitoring, and sanction screening processes with appropriate Jaywan‑specific parameters and rule sets.</w:t>
      </w:r>
    </w:p>
    <w:p>
      <w:r>
        <w:t>7) Discovery and Additional Requirement Capture</w:t>
      </w:r>
    </w:p>
    <w:p>
      <w:r>
        <w:t>- Conduct of scheduled discovery sessions covering detailed functional requirements for Jaywan mono‑badged and co‑badged cards across business and IT teams.</w:t>
      </w:r>
    </w:p>
    <w:p>
      <w:r>
        <w:t>- Consolidation of queries to AEP regarding unclear scheme rules and technical specifications.</w:t>
      </w:r>
    </w:p>
    <w:p>
      <w:r>
        <w:t>---</w:t>
      </w:r>
    </w:p>
    <w:p>
      <w:r>
        <w:t>Features and functionality excluded</w:t>
      </w:r>
    </w:p>
    <w:p>
      <w:r>
        <w:t>The following items are explicitly excluded from this BRD:</w:t>
      </w:r>
    </w:p>
    <w:p>
      <w:r>
        <w:t>1) Non‑Cards Payment Products</w:t>
      </w:r>
    </w:p>
    <w:p>
      <w:r>
        <w:t>- UPI‑like instant payment services, account‑to‑account transfers, and non‑card based domestic schemes, unless explicitly linked to Jaywan card transactions.</w:t>
      </w:r>
    </w:p>
    <w:p>
      <w:r>
        <w:t>2) Detailed Technical Design</w:t>
      </w:r>
    </w:p>
    <w:p>
      <w:r>
        <w:t>- Low‑level technical design, interface specifications, database schemas, and code‑level changes. These will be addressed in separate Solution Design / Technical Design Documents.</w:t>
      </w:r>
    </w:p>
    <w:p>
      <w:r>
        <w:t>3) Non‑Mandated Card Products</w:t>
      </w:r>
    </w:p>
    <w:p>
      <w:r>
        <w:t>- Introduction of new, non‑Jaywan card brands or alternative schemes beyond what is mandated (e.g., JCB, UnionPay), unless later directed by CBUAE or management.</w:t>
      </w:r>
    </w:p>
    <w:p>
      <w:r>
        <w:t>- Card‑based products unrelated to Jaywan mandate (e.g., store cards, private label cards) unless they are to be co‑badged with Jaywan per future policy.</w:t>
      </w:r>
    </w:p>
    <w:p>
      <w:r>
        <w:t>4) Non‑Card‑Related Operational Changes</w:t>
      </w:r>
    </w:p>
    <w:p>
      <w:r>
        <w:t>- Changes to KYC, customer due diligence, or AML policies not specifically required by Jaywan or CBUAE circular 5480-2024.</w:t>
      </w:r>
    </w:p>
    <w:p>
      <w:r>
        <w:t>- HR, staffing, or organizational restructuring activities, other than training requirements described in this BRD.</w:t>
      </w:r>
    </w:p>
    <w:p>
      <w:r>
        <w:t>5) Third‑Party Merchant Acquirer Enhancements</w:t>
      </w:r>
    </w:p>
    <w:p>
      <w:r>
        <w:t>- Detailed requirements for external merchant acquirers or third‑party payment gateways outside the bank’s direct control, beyond necessary interfacing and routing from the bank’s systems.</w:t>
      </w:r>
    </w:p>
    <w:p>
      <w:r>
        <w:t>---</w:t>
      </w:r>
    </w:p>
    <w:p>
      <w:r>
        <w:t>6. BUSINESS_REQUIREMENTS</w:t>
      </w:r>
    </w:p>
    <w:p>
      <w:r>
        <w:t>Format: Table with REQID, Title, Description, AS IS, TO BE, Pre‑requisite, Acceptance Criteria, Alternate Flows.</w:t>
      </w:r>
    </w:p>
    <w:p>
      <w:r>
        <w:t>Note: No missing information is assumed; ambiguities are flagged as open questions.</w:t>
      </w:r>
    </w:p>
    <w:p>
      <w:r>
        <w:t>| REQ ID | Title | Description | AS IS Behavior | TO BE Behavior | Pre‑requisite | Acceptance Criteria | Alternate Flows |</w:t>
      </w:r>
    </w:p>
    <w:p>
      <w:r>
        <w:t>|--------|-------|-------------|----------------|----------------|---------------|---------------------|-----------------|</w:t>
      </w:r>
    </w:p>
    <w:p>
      <w:r>
        <w:t>| REQID1 | Regulatory Compliance with CBUAE Jaywan Mandate | The bank shall comply with CBUAE circular / mandate ref. 5480-2024 requiring issuance and support of Jaywan co‑badged cards, adhering to all scheme and regulatory rules. | Bank issues only Visa/Mastercard cards and processes transactions via international schemes; no Jaywan issuance. | The bank shall issue Jaywan co‑badged cards (with Visa or Mastercard) for eligible customers and ensure domestic transactions are processed via Jaywan in line with CBUAE/AEP rules. | Final CBUAE circular 5480-2024 and AEP Jaywan scheme rulebook are available and approved by Compliance. | 1) Compliance sign‑off confirms that the implemented card products and routing behaviors meet CBUAE circular 5480-2024. 2) Internal compliance review finds no material gaps against Jaywan scheme rules. 3) Any CBUAE/AEP audit findings related to Jaywan issuance and routing are addressed within agreed timelines. | If Jaywan infrastructure is temporarily unavailable at AEP, transactions may be routed through international scheme per CBUAE/AEP fallback rules (OPEN QUESTION 7: confirm permitted fallback behavior). |</w:t>
      </w:r>
    </w:p>
    <w:p>
      <w:r>
        <w:t>| REQID2 | Jaywan Mono‑Badged Card Issuance | The bank shall support issuance of Jaywan mono‑badged cards for domestic (and GCC where allowed) usage in accordance with AEP rules. | Currently only Visa/Mastercard cards are issued; no domestic‑only card product exists. | The bank shall configure at least one Jaywan mono‑badged card product in the CMS, supporting issuance, activation, lifecycle events, and usage at domestic (and permitted GCC) ATMs, POS, and e‑commerce. | Product setup parameters, fees, limits, and target customer segments for Jaywan mono‑badged cards are defined and approved by Product, Risk, and Compliance. | 1) Test issuance of Jaywan mono‑badged cards is successful in SIT and UAT. 2) Transactions with these cards are accepted on domestic Jaywan rail and declined on non‑permitted international rails. 3) Card lifecycle events (activation, replacement, renewal, closure) function end‑to‑end without error. | If customer attempts cross‑border transaction in a region not supported by Jaywan mono‑badged card, transaction shall be declined with appropriate reason code and customer messaging. |</w:t>
      </w:r>
    </w:p>
    <w:p>
      <w:r>
        <w:t>| REQID3 | Jaywan Co‑Badged Card Issuance | The bank shall issue co‑badged cards (Jaywan + Visa or Jaywan + Mastercard) to support both domestic and international usage. | Bank issues Visa/Mastercard cards without domestic co‑badge; routing is entirely through international schemes. | The bank shall define and implement Jaywan co‑badged card products where the same plastic/PAN is enabled for Jaywan domestic usage and international scheme usage for cross‑border / non‑domestic transactions. | Co‑badging framework agreed with AEP and selected international scheme (Visa/Mastercard); BIN allocation and certification processes initiated. | 1) Co‑badged cards pass scheme certification tests for both Jaywan and international scheme. 2) Domestic transactions from co‑badged cards route to Jaywan; international transactions route to Visa/Mastercard as per routing rules. 3) Card plastics and statements clearly indicate co‑badge presence as per scheme branding guidelines. | For certain merchant categories or geographies, specific routing preferences may apply (OPEN QUESTION 8: confirm any CBUAE constraints on cardholder/merchant choice of rail). |</w:t>
      </w:r>
    </w:p>
    <w:p>
      <w:r>
        <w:t>| REQID4 | Domestic Routing Logic for Co‑Badged Cards | The bank shall configure routing so that eligible domestic transactions on co‑badged cards are processed through Jaywan. | Routing is determined mainly by current switch configuration favoring Visa/Mastercard; no Jaywan routing exists. | The bank shall implement business rules in the switch/payment gateway such that: (a) transactions originating within UAE (and specific GCC, if mandated) are routed through Jaywan, and (b) cross‑border transactions are routed via the international scheme. | Final routing rules and decision matrix from AEP and card schemes; switch supports multi‑scheme routing configuration. | 1) Domestic test transactions (ATM, POS, e‑com) using co‑badged cards are correctly routed to Jaywan in SIT/UAT. 2) International test transactions are correctly routed to Visa/Mastercard. 3) No production domestic transaction bypasses Jaywan except where explicitly allowed by regulation/scheme rule. | In case Jaywan network outage is detected, system may temporarily route domestic transactions via international scheme if allowed by AEP/CBUAE; such events must be logged and reported (OPEN QUESTION 7). |</w:t>
      </w:r>
    </w:p>
    <w:p>
      <w:r>
        <w:t>| REQID5 | Jaywan Integration for E‑commerce and Tokenized Transactions | The bank shall support Jaywan processing for e‑commerce and tokenized transactions, including POS tokenized transactions, as per CBUAE DMS “To‑Be” flows. | Current Visa DMS is implemented for e‑commerce and tokenization; CBUAE DMS for Jaywan is only documented as “To‑Be” and POS tokenized inclusion is unclear. | The bank shall implement Jaywan DMS processing for e‑commerce and tokenized transactions, aligning message flows and routing with CBUAE DMS documentation, and include POS tokenized transactions in scope if required by AEP. | AEP provides final technical specifications for CBUAE DMS for e‑commerce and tokenization; decision on POS tokenized in scope is confirmed. | 1) End‑to‑end tests show successful authorization, clearing, and settlement for Jaywan e‑commerce and tokenized transactions. 2) POS tokenized transactions behave in accordance with confirmed scope (routed via Jaywan for domestic use if mandated). 3) No regression observed in existing Visa e‑commerce and tokenization flows. | If a merchant PSP/gateway does not yet support Jaywan, e‑commerce transactions may fall back to international scheme per agreed business rules; such behavior must be documented and monitored. |</w:t>
      </w:r>
    </w:p>
    <w:p>
      <w:r>
        <w:t>| REQID6 | Reconciliation and GL Posting for Jaywan | The bank shall implement reconciliation, GL mapping, and settlement accounting for Jaywan scheme transactions. | GL details are indicated as “ready” by Finance, but current reconciliation is for Visa/Mastercard only; Jaywan reconciliation is not implemented. | The bank shall set up Jaywan‑specific GL accounts and implement daily/periodic reconciliation processes between internal systems and AEP settlement files, covering principal, fees, interchange, and chargebacks. | Receipt of official settlement and reconciliation file specifications from AEP; Finance approves GL design and mappings. | 1) Daily reconciliation reports identify no unexplained variances beyond predefined tolerance levels. 2) All Jaywan entries (principal, fees, interchange, chargebacks) are posted to appropriate GLs. 3) Periodic Finance sign‑off confirms accuracy and completeness of Jaywan postings. | In case of missing or delayed settlement files from AEP, system generates exception reports and Finance follows a defined manual/contingency process to reconcile when files arrive. |</w:t>
      </w:r>
    </w:p>
    <w:p>
      <w:r>
        <w:t>| REQID7 | Dispute, Refund, and Chargeback Processing for Jaywan | The bank shall implement dispute, refund, reversal, and chargeback processing for Jaywan transactions in accordance with AEP and CBUAE guidelines. | Current processes are aligned with Visa/Mastercard rules, statuses, and timelines; no Jaywan specific flows exist. | The bank shall configure dispute workflows in the dispute management system with Jaywan‑specific reason codes, timelines, documentary requirements, and statuses, and integrate them into Card Ops and Customer Service processes. | AEP provides Jaywan dispute/chargeback rules; Operations and Legal agree on SLA and documentation standards. | 1) Sample Jaywan disputes and chargebacks can be logged, processed, and closed end‑to‑end following scheme timelines. 2) System supports refunds and reversals for Jaywan transactions with accurate GL impact and notifications to customers. 3) Monitoring reports show compliance with Jaywan dispute SLA (e.g., percentage resolved within mandated timeframe). | If the counterparty bank/acquirer is non‑Jaywan or cross‑border under bilateral agreements, hybrid dispute handling rules may apply (OPEN QUESTION 9: confirm cross‑scheme dispute procedures). |</w:t>
      </w:r>
    </w:p>
    <w:p>
      <w:r>
        <w:t>| REQID8 | Reporting and Regulatory Submissions for Jaywan | The bank shall generate internal and external (regulatory) reports for Jaywan volumes, values, and performance metrics. | Current reporting is primarily for Visa/Mastercard; no scheme‑specific Jaywan reports exist. | The bank shall implement Jaywan‑specific reports, including but not limited to volume/value by channel, interchange/fees, dispute statistics, and any CBUAE‑mandated templates. | CBUAE/AEP provides required reporting formats, periodicity, and submission channels; Data Warehouse/BI capabilities available. | 1) All mandatory Jaywan reports are generated in correct format and frequency and submitted to CBUAE/AEP on time. 2) Internal stakeholders (Product, Finance, Risk) have access to standard MIS on Jaywan performance. 3) Test report runs show completeness and data consistency against transaction systems. | In case of report generation failure, an alert is raised and a manual backup process for data extraction is followed until automated reporting is restored. |</w:t>
      </w:r>
    </w:p>
    <w:p>
      <w:r>
        <w:t>| REQID9 | Jaywan Digital Wallet Enablement (Samsung Wallet, later Google/Apple Pay) | The bank shall enable Jaywan cards to be provisioned and used via Samsung Wallet initially, with readiness for Google Pay and Apple Pay in subsequent phases. | Current wallet enablement (if any) is for Visa/Mastercard; Jaywan is not yet integrated into digital wallets. | The bank shall integrate with Jaywan/TSP and relevant wallet providers to allow secure tokenization, provisioning, and usage of Jaywan mono and co‑badged cards in Samsung Wallet, and define roadmap requirements for Google Pay and Apple Pay. | Technical and contractual arrangements with AEP, TSP, and Samsung/other wallet providers; PCI‑DSS and security controls in place. | 1) Jaywan cards can be successfully provisioned to Samsung Wallet in SIT/UAT and used at POS and in‑app where Jaywan acceptance exists. 2) Fraud controls and transaction alerts function correctly for wallet‑based Jaywan transactions. 3) High‑level requirements for Google Pay and Apple Pay integration are documented and approved for subsequent phases. | If a device/OS does not support Jaywan wallet functionality, customer shall be informed appropriately and offered physical card usage or another supported wallet option. |</w:t>
      </w:r>
    </w:p>
    <w:p>
      <w:r>
        <w:t>| REQID10 | Risk, Fraud and AML Controls for Jaywan | The bank shall integrate Jaywan transactions into existing risk, fraud monitoring, and AML/sanctions screening frameworks. | Current monitoring rules and models are calibrated for Visa/Mastercard; Jaywan is not yet included. | The bank shall ensure that all Jaywan transaction data is fed into the fraud and AML systems, with rules calibrated to Jaywan patterns and any AEP‑mandated controls (e.g., domestic transaction limits, MCC restrictions). | Fraud/AML systems can ingest new transaction fields; AEP provides Jaywan‑specific risk guidance, if any. | 1) Jaywan transactions appear in fraud/AML monitoring dashboards and alerts are generated for suspicious patterns. 2) Sanction screening continues to be applied to cross‑border Jaywan transactions as required. 3) No deterioration in fraud KPIs attributable to inadequate Jaywan controls in post‑implementation review. | For transactions processed under bilateral agreements (e.g., India), additional country‑specific AML rules may apply and must be configured where required by Compliance. |</w:t>
      </w:r>
    </w:p>
    <w:p>
      <w:r>
        <w:t>| REQID11 | Customer Communication and Awareness for Jaywan | The bank shall inform customers about Jaywan features, co‑badging, and routing implications, aligning with the national awareness campaign led by AEP. | No Jaywan‑specific communication currently exists; general card communication references Visa/Mastercard only. | The bank shall update customer communication (T&amp;Cs, FAQs, website, statements, SMS templates) to explain Jaywan mono and co‑badged cards, domestic routing, and any impact on fees, acceptance, and dispute handling. | AEP awareness materials and branding guidelines available; Marketing and Legal approve communication content. | 1) Updated T&amp;Cs and FAQs are published before Jaywan card launch. 2) Contact center scripts cover key Jaywan queries (domestic usage, co‑badging, cross‑border usage). 3) Customer feedback and complaints related to Jaywan understanding are monitored and within acceptable limits post‑launch. | In case of regulatory change to Jaywan routing/fees, the bank shall update customer communication in line with notice periods mandated by CBUAE. |</w:t>
      </w:r>
    </w:p>
    <w:p>
      <w:r>
        <w:t>---</w:t>
      </w:r>
    </w:p>
    <w:p>
      <w:r>
        <w:t>7. REFERENCE_DOCUMENTS</w:t>
      </w:r>
    </w:p>
    <w:p>
      <w:r>
        <w:t>1) CBUAE Circular / Mandate</w:t>
      </w:r>
    </w:p>
    <w:p>
      <w:r>
        <w:t>- Title: CBUAE Circular Mandating Jaywan Co‑Badged Card Issuance</w:t>
      </w:r>
    </w:p>
    <w:p>
      <w:r>
        <w:t>- Reference: 5480-2024 (as provided in context)</w:t>
      </w:r>
    </w:p>
    <w:p>
      <w:r>
        <w:t>- Classification: Public (per context)</w:t>
      </w:r>
    </w:p>
    <w:p>
      <w:r>
        <w:t>2) AEP / Jaywan Scheme Documents</w:t>
      </w:r>
    </w:p>
    <w:p>
      <w:r>
        <w:t>- Document: “Jaywan: UAE's new domestic card payment scheme; all your questions answered” – Al Etihad Payments</w:t>
      </w:r>
    </w:p>
    <w:p>
      <w:r>
        <w:t>- Document: “Jaywan – the UAE's First Domestic Card Scheme Introduced to Strengthen the UAE's Position as a Global Hub for Digital Payments” – Al Etihad Payments</w:t>
      </w:r>
    </w:p>
    <w:p>
      <w:r>
        <w:t>- Document: Jaywan Scheme Rulebook and Technical Specifications (authorization, clearing, settlement, dispute) – OPEN QUESTION 10: final version details and version number.</w:t>
      </w:r>
    </w:p>
    <w:p>
      <w:r>
        <w:t>3) Internal Bank Documents</w:t>
      </w:r>
    </w:p>
    <w:p>
      <w:r>
        <w:t>- Process Flows:</w:t>
      </w:r>
    </w:p>
    <w:p>
      <w:r>
        <w:t>- Current SMS flows for ATM and POS transactions.</w:t>
      </w:r>
    </w:p>
    <w:p>
      <w:r>
        <w:t>- Current Visa DMS flows for e‑commerce and tokenization transactions.</w:t>
      </w:r>
    </w:p>
    <w:p>
      <w:r>
        <w:t>- CBUAE DMS “To‑Be” flows for e‑commerce and tokenization transactions (Jaywan).</w:t>
      </w:r>
    </w:p>
    <w:p>
      <w:r>
        <w:t>- Finance GL Design:</w:t>
      </w:r>
    </w:p>
    <w:p>
      <w:r>
        <w:t>- GL details for Jaywan as confirmed by Finance team.</w:t>
      </w:r>
    </w:p>
    <w:p>
      <w:r>
        <w:t>- MOMs and Email Threads:</w:t>
      </w:r>
    </w:p>
    <w:p>
      <w:r>
        <w:t>- Minutes of Meeting on Dual Messaging System process steps with Card Ops, GBO‑ATM/CDM, etc.</w:t>
      </w:r>
    </w:p>
    <w:p>
      <w:r>
        <w:t>- Email from TCS (TCS Confidential) summarizing current progress and queries.</w:t>
      </w:r>
    </w:p>
    <w:p>
      <w:r>
        <w:t>- Email/memo regarding reconciliation documentation request and original CBUAE report.</w:t>
      </w:r>
    </w:p>
    <w:p>
      <w:r>
        <w:t>4) Discovery and Planning Artifacts</w:t>
      </w:r>
    </w:p>
    <w:p>
      <w:r>
        <w:t>- “Discovery sessions for additional requirements for Jaywan Mono‑badged cards, Jaywan Co‑badged cards” schedule.</w:t>
      </w:r>
    </w:p>
    <w:p>
      <w:r>
        <w:t>- List of open queries to be raised to AEP.</w:t>
      </w:r>
    </w:p>
    <w:p>
      <w:r>
        <w:t>---</w:t>
      </w:r>
    </w:p>
    <w:p>
      <w:r>
        <w:t>8. REQUIREMENT_TRACEABILITY_MATRIX</w:t>
      </w:r>
    </w:p>
    <w:p>
      <w:r>
        <w:t>| REQ ID | Description | Source Channel | Impacted System(s) | Outcome |</w:t>
      </w:r>
    </w:p>
    <w:p>
      <w:r>
        <w:t>|--------|-------------|----------------|---------------------|---------|</w:t>
      </w:r>
    </w:p>
    <w:p>
      <w:r>
        <w:t>| REQID1 | Regulatory Compliance with CBUAE Jaywan Mandate | CBUAE Circular 5480-2024, AEP announcements | Enterprise Compliance, Product Systems, Card Operations | Bank is compliant with Jaywan mandate; able to pass CBUAE/AEP compliance reviews. |</w:t>
      </w:r>
    </w:p>
    <w:p>
      <w:r>
        <w:t>| REQID2 | Jaywan Mono‑Badged Card Issuance | AEP Scheme Overview, Product Strategy Discussions | Card Management System (CMS), Card Embossing, CRM | New domestic Jaywan mono‑badged product available to customers. |</w:t>
      </w:r>
    </w:p>
    <w:p>
      <w:r>
        <w:t>| REQID3 | Jaywan Co‑Badged Card Issuance | CBUAE Mandate 5480-2024, AEP communications | CMS, Card Personalization, Switch, CRM | Co‑badged cards supporting domestic via Jaywan and international via Visa/Mastercard. |</w:t>
      </w:r>
    </w:p>
    <w:p>
      <w:r>
        <w:t>| REQID4 | Domestic Routing Logic for Co‑Badged Cards | Technical MOM on Dual Messaging, CBUAE DMS To‑Be | Card Switch/Authorization Host, POS/ATM Network, Payment Gateway | Domestic transactions are routed correctly via Jaywan; cost optimization achieved. |</w:t>
      </w:r>
    </w:p>
    <w:p>
      <w:r>
        <w:t>| REQID5 | Jaywan Integration for E‑commerce and Tokenized Transactions | CBUAE DMS “To‑Be” doc, Business MOMs (POS tokenized in scope) | E‑commerce Gateway, Tokenization Platform/TSP, Switch | Jaywan supported for e‑commerce and tokenized POS transactions where required. |</w:t>
      </w:r>
    </w:p>
    <w:p>
      <w:r>
        <w:t>| REQID6 | Reconciliation and GL Posting for Jaywan | Finance confirmation of GL details, CBUAE original report | Reconciliation Engine, Core Banking/GL, Data Warehouse | Accurate Jaywan settlement postings and reconciliations; financial integrity maintained. |</w:t>
      </w:r>
    </w:p>
    <w:p>
      <w:r>
        <w:t>| REQID7 | Dispute, Refund, and Chargeback Processing for Jaywan | Operations MOM (reversals/refunds/chargebacks updates), AEP rules | Dispute Management System, CMS, Core Banking | End‑to‑end disputes handling for Jaywan in line with scheme rules. |</w:t>
      </w:r>
    </w:p>
    <w:p>
      <w:r>
        <w:t>| REQID8 | Reporting and Regulatory Submissions for Jaywan | CBUAE/AEP reporting requirements, Internal MIS needs | Data Warehouse/BI, Regulatory Reporting Engine | Timely, accurate Jaywan reporting to regulators and internal stakeholders. |</w:t>
      </w:r>
    </w:p>
    <w:p>
      <w:r>
        <w:t>| REQID9 | Jaywan Digital Wallet Enablement | AEP announcements (Samsung Wallet, future Google/Apple Pay) | Mobile Banking App, TSP/Wallet Integrations, Switch | Jaywan cardholders can use Samsung Wallet (and later other wallets) for payments. |</w:t>
      </w:r>
    </w:p>
    <w:p>
      <w:r>
        <w:t>| REQID10 | Risk, Fraud and AML Controls for Jaywan | Risk/Compliance discussions, Scheme security guidance | Fraud Monitoring System, AML System, Sanctions Screening | Jaywan transactions are monitored and controlled with adequate risk defenses. |</w:t>
      </w:r>
    </w:p>
    <w:p>
      <w:r>
        <w:t>| REQID11 | Customer Communication and Awareness for Jaywan | AEP awareness campaign, Bank Marketing strategy | CRM, Contact Center, Web/Mobile Channels, Print Collateral | Customers are informed about Jaywan features, routing, and implications. |</w:t>
      </w:r>
    </w:p>
    <w:p>
      <w:r>
        <w:t>---</w:t>
      </w:r>
    </w:p>
    <w:p>
      <w:r>
        <w:t>9. NON_FUNCTIONAL_REQUIREMENTS</w:t>
      </w:r>
    </w:p>
    <w:p>
      <w:r>
        <w:t>The following NFRs are defined at a business level; numerical values requiring exact sizing are flagged as open questions.</w:t>
      </w:r>
    </w:p>
    <w:p>
      <w:r>
        <w:t>1) No. of Users</w:t>
      </w:r>
    </w:p>
    <w:p>
      <w:r>
        <w:t>- The system shall support all existing and new retail and corporate cardholders who will be issued Jaywan mono‑badged or co‑badged cards.</w:t>
      </w:r>
    </w:p>
    <w:p>
      <w:r>
        <w:t>- OPEN QUESTION 11: Provide projected number of Jaywan cardholders by year (Year 1–3) for capacity planning.</w:t>
      </w:r>
    </w:p>
    <w:p>
      <w:r>
        <w:t>2) Peak Volume</w:t>
      </w:r>
    </w:p>
    <w:p>
      <w:r>
        <w:t>- The system shall support peak domestic transaction volume equivalent to at least current Visa/Mastercard domestic load, with additional headroom for growth due to migration to Jaywan.</w:t>
      </w:r>
    </w:p>
    <w:p>
      <w:r>
        <w:t>- OPEN QUESTION 12: Confirm projected TPS (transactions per second) and peak daily transaction counts for Jaywan across ATM, POS, and e‑commerce.</w:t>
      </w:r>
    </w:p>
    <w:p>
      <w:r>
        <w:t>3) Monthly Volume</w:t>
      </w:r>
    </w:p>
    <w:p>
      <w:r>
        <w:t>- The system shall handle monthly Jaywan transaction volumes in line with CBUAE mandate adoption targets with a minimum of 99.5% of domestic card transactions routable via Jaywan (where eligible and supported).</w:t>
      </w:r>
    </w:p>
    <w:p>
      <w:r>
        <w:t>- OPEN QUESTION 13: Provide targeted monthly transaction volume and value estimates for Jaywan for Year 1–3.</w:t>
      </w:r>
    </w:p>
    <w:p>
      <w:r>
        <w:t>4) Availability</w:t>
      </w:r>
    </w:p>
    <w:p>
      <w:r>
        <w:t>- Jaywan‑related services (authorization routing, CMS functions, reconciliation, disputes) shall adhere to the bank’s critical payments SLA:</w:t>
      </w:r>
    </w:p>
    <w:p>
      <w:r>
        <w:t>- Authorization and routing components: minimum 99.9% availability (excluding scheduled maintenance), aligned with AEP availability.</w:t>
      </w:r>
    </w:p>
    <w:p>
      <w:r>
        <w:t>- Back‑office functions (reconciliation, reporting, disputes): minimum 99.5% availability during business hours.</w:t>
      </w:r>
    </w:p>
    <w:p>
      <w:r>
        <w:t>5) Impact on Operational Process</w:t>
      </w:r>
    </w:p>
    <w:p>
      <w:r>
        <w:t>- The system shall minimize manual interventions in Jaywan processing; &gt;95% of transactions, postings, and reconciliations shall be automated.</w:t>
      </w:r>
    </w:p>
    <w:p>
      <w:r>
        <w:t>- Operational procedures (SOPs) for Card Ops, Reconciliation, and Contact Center shall be updated to include Jaywan specific steps.</w:t>
      </w:r>
    </w:p>
    <w:p>
      <w:r>
        <w:t>6) Regulatory Impact</w:t>
      </w:r>
    </w:p>
    <w:p>
      <w:r>
        <w:t>- All Jaywan data capture, storage, and reporting shall comply with CBUAE regulations, AEP scheme rules, and applicable UAE data privacy laws.</w:t>
      </w:r>
    </w:p>
    <w:p>
      <w:r>
        <w:t>- Any change in Jaywan or CBUAE rules that impacts the system shall be assessable and implementable within regulatory timelines (e.g., within 90 days, unless otherwise specified by regulator).</w:t>
      </w:r>
    </w:p>
    <w:p>
      <w:r>
        <w:t>7) Reports Requirement</w:t>
      </w:r>
    </w:p>
    <w:p>
      <w:r>
        <w:t>- The system shall support:</w:t>
      </w:r>
    </w:p>
    <w:p>
      <w:r>
        <w:t>- Daily operational reports on Jaywan transactions by channel, card type (mono/co‑badged), and status.</w:t>
      </w:r>
    </w:p>
    <w:p>
      <w:r>
        <w:t>- Daily reconciliation reports vs AEP settlement files.</w:t>
      </w:r>
    </w:p>
    <w:p>
      <w:r>
        <w:t>- Monthly/quarterly regulatory reports as per CBUAE/AEP standards.</w:t>
      </w:r>
    </w:p>
    <w:p>
      <w:r>
        <w:t>- Exception reports for failed transactions, unmatched items in reconciliation, and dispute SLA breaches.</w:t>
      </w:r>
    </w:p>
    <w:p>
      <w:r>
        <w:t>8) Access Requirement</w:t>
      </w:r>
    </w:p>
    <w:p>
      <w:r>
        <w:t>- Access to Jaywan product setup, routing configuration, reconciliation, and dispute tools shall be role‑based with least‑privilege principles.</w:t>
      </w:r>
    </w:p>
    <w:p>
      <w:r>
        <w:t>- All configuration changes (e.g., routing tables, GL mappings) shall be captured in an audit log with user, timestamp, change details.</w:t>
      </w:r>
    </w:p>
    <w:p>
      <w:r>
        <w:t>- Only authorized staff in Product, IT, Operations, Finance, Risk and Compliance may access Jaywan‑related functions, as defined in the bank’s access control matrix.</w:t>
      </w:r>
    </w:p>
    <w:p>
      <w:r>
        <w:t>9) Security Requirement</w:t>
      </w:r>
    </w:p>
    <w:p>
      <w:r>
        <w:t>- Card data processing for Jaywan shall comply with PCI‑DSS and bank’s internal information security policies.</w:t>
      </w:r>
    </w:p>
    <w:p>
      <w:r>
        <w:t>- Network and application communication with AEP and wallet providers shall use industry‑standard encryption (e.g., TLS 1.2+).</w:t>
      </w:r>
    </w:p>
    <w:p>
      <w:r>
        <w:t>- Strong customer authentication standards shall apply for e‑commerce and wallet transactions as mandated by CBUAE/AEP.</w:t>
      </w:r>
    </w:p>
    <w:p>
      <w:r>
        <w:t>- Security monitoring shall include detection of anomalous traffic or behavior on Jaywan interfaces.</w:t>
      </w:r>
    </w:p>
    <w:p>
      <w:r>
        <w:t>10) Data Requirement</w:t>
      </w:r>
    </w:p>
    <w:p>
      <w:r>
        <w:t>- The system shall store Jaywan transaction records, logs, and reconciliation data for at least the minimum retention period specified by CBUAE and local law (OPEN QUESTION 14: confirm mandated retention duration for card transaction and dispute data).</w:t>
      </w:r>
    </w:p>
    <w:p>
      <w:r>
        <w:t>- All Jaywan transactions shall be identifiable via scheme code/indicator to allow separate reporting and analytics.</w:t>
      </w:r>
    </w:p>
    <w:p>
      <w:r>
        <w:t>- Data lineage from source transactions to GL entries and regulatory reports shall be traceable and auditable.</w:t>
      </w:r>
    </w:p>
    <w:p>
      <w:r>
        <w:t>11) Training Requirement</w:t>
      </w:r>
    </w:p>
    <w:p>
      <w:r>
        <w:t>- Relevant staff (Card Operations, Reconciliation, Contact Center, IT Support, Fraud/AML, Branch staff) shall be trained on:</w:t>
      </w:r>
    </w:p>
    <w:p>
      <w:r>
        <w:t>- Jaywan mono and co‑badged product features.</w:t>
      </w:r>
    </w:p>
    <w:p>
      <w:r>
        <w:t>- New/changed processes for routing, reconciliation, disputes, and reporting.</w:t>
      </w:r>
    </w:p>
    <w:p>
      <w:r>
        <w:t>- Use of any new tools or dashboards specific to Jaywan.</w:t>
      </w:r>
    </w:p>
    <w:p>
      <w:r>
        <w:t>- At least one training session and supporting material (e.g., user guides, FAQs) shall be provided prior to go‑live, with refreshers after go‑live based on observed issues.</w:t>
      </w:r>
    </w:p>
    <w:p>
      <w:r>
        <w:t>---</w:t>
      </w:r>
    </w:p>
    <w:p>
      <w:r>
        <w:t>Open questions have been highlighted where the provided context is insufficient; these must be resolved with CBUAE, AEP, and internal stakeholders during subsequent discovery sessions and clarification rounds.</w:t>
      </w:r>
    </w:p>
    <w:p>
      <w:r>
        <w:t>REQID1</w:t>
      </w:r>
    </w:p>
    <w:p>
      <w:r>
        <w:t>Title: Card Processing Enhancement</w:t>
      </w:r>
    </w:p>
    <w:p>
      <w:r>
        <w:t>Description: System shall support enhanced card processing capabilities</w:t>
      </w:r>
    </w:p>
    <w:p>
      <w:r>
        <w:t>AS IS behavior: Current processing limitations</w:t>
      </w:r>
    </w:p>
    <w:p>
      <w:r>
        <w:t>TO BE behavior: Improved processing with new features</w:t>
      </w:r>
    </w:p>
    <w:p>
      <w:r>
        <w:t>Pre-requisite: System availability</w:t>
      </w:r>
    </w:p>
    <w:p>
      <w:r>
        <w:t>Acceptance Criteria: Successful processing of enhanced transactions</w:t>
      </w:r>
    </w:p>
    <w:p>
      <w:r>
        <w:t>Alternate flows: Error handling procedures</w:t>
      </w:r>
    </w:p>
    <w:p>
      <w:r>
        <w:t>REQID1 | Card Processing Enhancement | Business Requirements | Card Processing System | Enhanced transaction processing</w:t>
      </w:r>
    </w:p>
    <w:p>
      <w:r>
        <w:t>No. of users: 1000+</w:t>
      </w:r>
    </w:p>
    <w:p>
      <w:r>
        <w:t>Peak Volume: 10,000 transactions/hour</w:t>
      </w:r>
    </w:p>
    <w:p>
      <w:r>
        <w:t>Monthly Volume: 500,000 transactions</w:t>
      </w:r>
    </w:p>
    <w:p>
      <w:r>
        <w:t>Availability: 99.9%</w:t>
      </w:r>
    </w:p>
    <w:p>
      <w:r>
        <w:t>Impact on Operational process: Minimal disruption during implementation</w:t>
      </w:r>
    </w:p>
    <w:p>
      <w:r>
        <w:t>Regulatory impact: Compliance with CBUAE regulations</w:t>
      </w:r>
    </w:p>
    <w:p>
      <w:r>
        <w:t>Reports requirement: Transaction reports and audit trails</w:t>
      </w:r>
    </w:p>
    <w:p>
      <w:r>
        <w:t>Access requirement: Role-based access control</w:t>
      </w:r>
    </w:p>
    <w:p>
      <w:r>
        <w:t>Security requirement: PCI DSS compliance</w:t>
      </w:r>
    </w:p>
    <w:p>
      <w:r>
        <w:t>Data requirement: Secure data encryption</w:t>
      </w:r>
    </w:p>
    <w:p>
      <w:r>
        <w:t>Training requirement: Staff training on new features</w:t>
      </w:r>
    </w:p>
    <w:sectPr w:rsidR="004D7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7E"/>
    <w:rsid w:val="002F642F"/>
    <w:rsid w:val="003C147E"/>
    <w:rsid w:val="004D7365"/>
    <w:rsid w:val="00723CE3"/>
    <w:rsid w:val="007A1DD0"/>
    <w:rsid w:val="0098572D"/>
    <w:rsid w:val="00EA4F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8BAB7"/>
  <w15:chartTrackingRefBased/>
  <w15:docId w15:val="{4C9EA11A-F58B-4631-A0BC-D8B25C9FD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4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4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4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4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4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4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4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4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47E"/>
    <w:rPr>
      <w:rFonts w:eastAsiaTheme="majorEastAsia" w:cstheme="majorBidi"/>
      <w:color w:val="272727" w:themeColor="text1" w:themeTint="D8"/>
    </w:rPr>
  </w:style>
  <w:style w:type="paragraph" w:styleId="Title">
    <w:name w:val="Title"/>
    <w:basedOn w:val="Normal"/>
    <w:next w:val="Normal"/>
    <w:link w:val="TitleChar"/>
    <w:uiPriority w:val="10"/>
    <w:qFormat/>
    <w:rsid w:val="003C1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47E"/>
    <w:pPr>
      <w:spacing w:before="160"/>
      <w:jc w:val="center"/>
    </w:pPr>
    <w:rPr>
      <w:i/>
      <w:iCs/>
      <w:color w:val="404040" w:themeColor="text1" w:themeTint="BF"/>
    </w:rPr>
  </w:style>
  <w:style w:type="character" w:customStyle="1" w:styleId="QuoteChar">
    <w:name w:val="Quote Char"/>
    <w:basedOn w:val="DefaultParagraphFont"/>
    <w:link w:val="Quote"/>
    <w:uiPriority w:val="29"/>
    <w:rsid w:val="003C147E"/>
    <w:rPr>
      <w:i/>
      <w:iCs/>
      <w:color w:val="404040" w:themeColor="text1" w:themeTint="BF"/>
    </w:rPr>
  </w:style>
  <w:style w:type="paragraph" w:styleId="ListParagraph">
    <w:name w:val="List Paragraph"/>
    <w:basedOn w:val="Normal"/>
    <w:uiPriority w:val="34"/>
    <w:qFormat/>
    <w:rsid w:val="003C147E"/>
    <w:pPr>
      <w:ind w:left="720"/>
      <w:contextualSpacing/>
    </w:pPr>
  </w:style>
  <w:style w:type="character" w:styleId="IntenseEmphasis">
    <w:name w:val="Intense Emphasis"/>
    <w:basedOn w:val="DefaultParagraphFont"/>
    <w:uiPriority w:val="21"/>
    <w:qFormat/>
    <w:rsid w:val="003C147E"/>
    <w:rPr>
      <w:i/>
      <w:iCs/>
      <w:color w:val="0F4761" w:themeColor="accent1" w:themeShade="BF"/>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47E"/>
    <w:rPr>
      <w:i/>
      <w:iCs/>
      <w:color w:val="0F4761" w:themeColor="accent1" w:themeShade="BF"/>
    </w:rPr>
  </w:style>
  <w:style w:type="character" w:styleId="IntenseReference">
    <w:name w:val="Intense Reference"/>
    <w:basedOn w:val="DefaultParagraphFont"/>
    <w:uiPriority w:val="32"/>
    <w:qFormat/>
    <w:rsid w:val="003C14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151</Words>
  <Characters>861</Characters>
  <Application>Microsoft Office Word</Application>
  <DocSecurity>0</DocSecurity>
  <Lines>7</Lines>
  <Paragraphs>2</Paragraphs>
  <ScaleCrop>false</ScaleCrop>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Anwar</dc:creator>
  <cp:keywords/>
  <dc:description/>
  <cp:lastModifiedBy>SWADHIN MOHANTY</cp:lastModifiedBy>
  <cp:revision>3</cp:revision>
  <dcterms:created xsi:type="dcterms:W3CDTF">2026-01-21T10:44:00Z</dcterms:created>
  <dcterms:modified xsi:type="dcterms:W3CDTF">2026-01-22T16:17:00Z</dcterms:modified>
</cp:coreProperties>
</file>