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Business Requirements Specification for Jaywan Domestic Card Scheme Enablement and Co‑Badged Card Issuance</w:t>
      </w:r>
    </w:p>
    <w:p>
      <w:pPr>
        <w:pStyle w:val="Normal"/>
        <w:rPr/>
      </w:pPr>
      <w:r>
        <w:rPr>
          <w:b/>
          <w:bCs/>
        </w:rPr>
        <w:t>ID:</w:t>
      </w:r>
      <w:r>
        <w:rPr/>
        <w:t xml:space="preserve"> BRS-JAYWAN-COBADGE-001</w:t>
      </w:r>
    </w:p>
    <w:p>
      <w:pPr>
        <w:pStyle w:val="Normal"/>
        <w:rPr/>
      </w:pPr>
      <w:r>
        <w:rPr>
          <w:b/>
          <w:bCs/>
        </w:rPr>
        <w:t>Program:</w:t>
      </w:r>
      <w:r>
        <w:rPr/>
        <w:t xml:space="preserve"> Jaywan Domestic Card Scheme Implementation for Licensed Financial Institutions in UAE</w:t>
      </w:r>
    </w:p>
    <w:p>
      <w:pPr>
        <w:pStyle w:val="Normal"/>
        <w:rPr/>
      </w:pPr>
      <w:r>
        <w:rPr>
          <w:b/>
          <w:bCs/>
        </w:rPr>
        <w:t>Type:</w:t>
      </w:r>
      <w:r>
        <w:rPr/>
        <w:t xml:space="preserve"> Business Requirements Specification (BRS)</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4" w:space="0" w:color="000000"/>
              <w:left w:val="single" w:sz="4" w:space="0" w:color="000000"/>
              <w:bottom w:val="single" w:sz="4" w:space="0" w:color="000000"/>
            </w:tcBorders>
          </w:tcPr>
          <w:p>
            <w:pPr>
              <w:pStyle w:val="Normal"/>
              <w:spacing w:before="0" w:after="160"/>
              <w:rPr/>
            </w:pPr>
            <w:r>
              <w:rPr/>
              <w:t>Serial Number</w:t>
            </w:r>
          </w:p>
        </w:tc>
        <w:tc>
          <w:tcPr>
            <w:tcW w:w="4619"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29-Jan-2026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This document defines the business requirements for enabling the UAE domestic card scheme "Jaywan" for mono-badged and co-badged cards, in alignment with CBUAE mandate and Al Etihad Payments (AEP) framework. The requirements address card issuance, transaction routing for domestic and international usage, support for GCC usage, enablement on digital wallets, and compliance with CBUAE circular including mandate reference 5480-2024 for licensed financial institutions. The document also captures high-level impacts on operational processes, reporting, reconciliation, and interactions with AEP, CBUAE, and international schemes.</w:t>
      </w:r>
    </w:p>
    <w:p>
      <w:pPr>
        <w:pStyle w:val="Normal"/>
        <w:rPr/>
      </w:pPr>
      <w:r>
        <w:rPr/>
      </w:r>
    </w:p>
    <w:p>
      <w:pPr>
        <w:pStyle w:val="Normal"/>
        <w:rPr/>
      </w:pPr>
      <w:r>
        <w:rPr>
          <w:b/>
          <w:bCs/>
        </w:rPr>
        <w:t>Current constraints:</w:t>
      </w:r>
      <w:r>
        <w:rPr/>
        <w:t xml:space="preserve"> Licensed financial institutions currently issue predominantly international scheme cards (e.g. Visa, MasterCard) with existing Dual Message System (DMS) processing primarily aligned to Visa and existing SMS for ATM/POS. Domestic scheme Jaywan is newly introduced and the current infrastructure, product catalogue, routing logic, reporting and dispute handling are not fully configured for Jaywan mono-badged and co-badged cards. Complete and finalised specifications from AEP and CBUAE for some detailed operational processes are not fully available in the provided context. Therefore, this document restricts requirements to what is explicitly stated or logically inferable without assuming unavailable technical or commercial parameters.</w:t>
      </w:r>
    </w:p>
    <w:p>
      <w:pPr>
        <w:pStyle w:val="Normal"/>
        <w:rPr/>
      </w:pPr>
      <w:r>
        <w:rPr/>
      </w:r>
    </w:p>
    <w:p>
      <w:pPr>
        <w:pStyle w:val="Normal"/>
        <w:rPr/>
      </w:pPr>
      <w:r>
        <w:rPr>
          <w:b/>
          <w:bCs/>
        </w:rPr>
        <w:t>Objective:</w:t>
      </w:r>
      <w:r>
        <w:rPr/>
        <w:t xml:space="preserve"> The objective is to define business requirements for: (1) enabling issuance and processing of Jaywan mono-badged cards for domestic and GCC usage; (2) enabling issuance and processing of Jaywan co-badged cards with international schemes (e.g. Visa, MasterCard) for both domestic and international usage; (3) ensuring transactions are routed to Jaywan for domestic usage in line with CBUAE mandate reference 5480-2024; (4) preparing the bank to participate in the UAE’s local card payment ecosystem to strengthen financial sovereignty, reduce payment costs, and provide secure, seamless payment experiences; and (5) ensuring regulatory compliance with CBUAE circulars and AEP requirements including readiness for enablement on Samsung Wallet and subsequent enablement on Google Pay and Apple Pay as per AEP roadmap.</w:t>
      </w:r>
    </w:p>
    <w:p>
      <w:pPr>
        <w:pStyle w:val="Normal"/>
        <w:rPr/>
      </w:pPr>
      <w:r>
        <w:rPr/>
      </w:r>
    </w:p>
    <w:p>
      <w:pPr>
        <w:pStyle w:val="Normal"/>
        <w:rPr/>
      </w:pPr>
      <w:r>
        <w:rPr>
          <w:b/>
          <w:bCs/>
        </w:rPr>
        <w:t>In scope:</w:t>
      </w:r>
      <w:r>
        <w:rPr/>
        <w:t xml:space="preserve"> 1. Business requirements for issuing Jaywan mono-badged physical and/or digital cards for domestic and GCC usage as communicated in AEP and CBUAE material.</w:t>
        <w:br/>
        <w:t>2. Business requirements for issuing Jaywan co-badged physical and/or digital cards with Visa or MasterCard for domestic and international usage in compliance with CBUAE mandate reference 5480-2024.</w:t>
        <w:br/>
        <w:t>3. Domestic transaction routing logic to ensure Jaywan is used for domestic transactions in accordance with CBUAE domestic card scheme expectations.</w:t>
        <w:br/>
        <w:t>4. High-level requirements for enablement of Jaywan cards in Samsung Wallet and future support for Google Pay and Apple Pay based on AEP roadmap.</w:t>
        <w:br/>
        <w:t>5. Business requirements related to Dual Message System (DMS) processing for CBUAE/Jaywan e-commerce and tokenisation transactions, leveraging existing VISA DMS process as reference where applicable.</w:t>
        <w:br/>
        <w:t>6. Treatment of reversals, refunds, chargebacks and related dispute flows at a high level for Jaywan transactions to ensure business readiness.</w:t>
        <w:br/>
        <w:t>7. High-level reconciliation and reporting requirements to satisfy CBUAE/AEP information needs and internal Finance and Operations requirements.</w:t>
        <w:br/>
        <w:t>8. Discovery and clarification activities with AEP and internal stakeholders (Business, IT, Card Operations, Finance, GBO-ATM/CDM) necessary to finalise Jaywan-related configuration and operating model.</w:t>
      </w:r>
    </w:p>
    <w:p>
      <w:pPr>
        <w:pStyle w:val="Normal"/>
        <w:rPr/>
      </w:pPr>
      <w:r>
        <w:rPr/>
      </w:r>
    </w:p>
    <w:p>
      <w:pPr>
        <w:pStyle w:val="Normal"/>
        <w:rPr/>
      </w:pPr>
      <w:r>
        <w:rPr>
          <w:b/>
          <w:bCs/>
        </w:rPr>
        <w:t>Out of scope:</w:t>
      </w:r>
      <w:r>
        <w:rPr/>
        <w:t xml:space="preserve"> 1. Detailed technical design of switching, authorisation, message formats, and settlement interfaces with AEP and international schemes.</w:t>
        <w:br/>
        <w:t>2. Commercial pricing, interchange, and fee structure negotiation with AEP, CBUAE, Visa, MasterCard, or other networks, as such information is not provided in the context.</w:t>
        <w:br/>
        <w:t>3. Detailed UI/UX design of digital channels (mobile banking, internet banking, wallet apps) for card management.</w:t>
        <w:br/>
        <w:t>4. Non-card-based payment instruments (e.g. account-to-account transfers, QR payments) not explicitly linked to Jaywan in the provided content.</w:t>
        <w:br/>
        <w:t>5. Detailed SLAs, capacity planning figures, and performance benchmarks which are not specified in the provided context.</w:t>
        <w:br/>
        <w:t>6. Configuration of bilateral agreements with India and other countries at a legal/contractual level beyond the high-level requirement to support usability outside UAE where enabled by AEP.</w:t>
        <w:br/>
        <w:t>7. Any functionality, product feature, or process not explicitly mentioned or reasonably inferable from the provided CBUAE/AEP contexts, meeting minutes, or circular summaries.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Mono-Badged Card Issuance for Domestic and GCC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introduce Jaywan mono-badged cards as part of its card portfolio in compliance with CBUAE and AEP expectations, supporting domestic and GCC usage as per scheme capability.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issues primarily Visa and/or MasterCard branded cards that are accepted domestically and internationally via international schemes. There is no active issuance of Jaywan mono-badged domestic cards and no configuration for Jaywan-specific domestic acceptance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issue Jaywan mono-badged cards to eligible customers for domestic and GCC usage in alignment with AEP guidelines. The card product catalogue, customer onboarding flows, and card management processes shall be enhanced to include Jaywan mono-badged options. Domestic and GCC transactions performed using Jaywan mono-badged cards shall be routed to Jaywan as the primary scheme as per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Receipt of Jaywan mono-badged card product and processing specifications from AEP and CBUAE.</w:t>
              <w:br/>
              <w:t>2. Internal approval of Jaywan mono-badged product constructs by Product, Risk, Compliance, and Finance.</w:t>
              <w:br/>
              <w:t>3. Agreement with the card manufacturer and personalisation vendor for Jaywan mono-badged card stock and artwork in line with scheme rules.</w:t>
              <w:br/>
              <w:t>4. Configuration readiness of core banking, card management system, and switch to recognise and process Jaywan BIN ranges for mono-badged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The bank shall be able to successfully create and maintain Jaywan mono-badged card products in its card management system.</w:t>
              <w:br/>
              <w:t>2. The bank shall successfully issue and activate Jaywan mono-badged cards for a sample set of customer accounts in a test environment, followed by production rollout.</w:t>
              <w:br/>
              <w:t>3. Domestic and GCC test transactions using Jaywan mono-badged cards shall be authorised and cleared via Jaywan as per AEP test cases.</w:t>
              <w:br/>
              <w:t>4. CBUAE and AEP certification (where applicable) for Jaywan mono-badged card issuance and processing shall be obtained.</w:t>
              <w:br/>
              <w:t>5. Customer-facing communication (e.g. website, schedule of charges, product brochures) shall include Jaywan mono-badged card availability and key features in alignment with internal approval.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AEP or CBUAE limit GCC usage in any phase, the bank shall restrict Jaywan mono-badged card usage to the permitted geographies and update customer communication accordingly.</w:t>
              <w:br/>
              <w:t>2. If customer segments are rolled out in phases, the bank shall enable Jaywan mono-badged issuance only for selected customer segments initially and progressively extend to other segments once operational stability is confirmed.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CBUAE / AEP communication on Jaywan mono-badged card options for local and GCC usage (public classification).</w:t>
              <w:br/>
              <w:t>2. CBUAE circular and mandate reference 5480-2024 as applicable to domestic card scheme implementation.</w:t>
              <w:br/>
              <w:t>3. Internal Product approval document for Jaywan mono-badged card.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Co-Badged Card Issuance with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issue Jaywan co-badged cards with Visa or MasterCard to comply with CBUAE circular requiring licensed financial institutions issuing Visa or MasterCard to offer co-badged cards supporting both domestic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issues standalone Visa or MasterCard cards for domestic and international usage. Card routing for domestic transactions is performed via international schemes and there is no co-badged configuration with a domestic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configure and issue co-badged cards that carry Jaywan plus either Visa or MasterCard branding. For domestic transactions within the UAE, the co-badged card shall route transactions via Jaywan in alignment with the CBUAE mandate. For international transactions outside the UAE, the co-badged card shall route transactions via the corresponding international scheme. The card management system and routing logic shall be updated to differentiate domestic and international usage while ensuring scheme rules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CBUAE circular and mandate reference 5480-2024 requirements shall be confirmed and interpreted by Compliance and Legal.</w:t>
              <w:br/>
              <w:t>2. Co-badge operating rules from AEP, Visa, and MasterCard shall be received and reviewed.</w:t>
              <w:br/>
              <w:t>3. BIN strategy and allocation for Jaywan co-badged cards shall be defined in coordination with AEP and international schemes.</w:t>
              <w:br/>
              <w:t>4. Card artwork and personalisation specifications for co-badged cards shall be approved by all schemes and by CBUAE where required.</w:t>
              <w:br/>
              <w:t>5. Switch and card management system shall be enhanced to support co-badged logic and scheme selection for authorisation and clearing.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The bank shall successfully define at least one Jaywan-Visa and/or Jaywan-MasterCard co-badged product in the card management system.</w:t>
              <w:br/>
              <w:t>2. Domestic test transactions using co-badged cards shall be routed and cleared via Jaywan in accordance with CBUAE and AEP test scenarios.</w:t>
              <w:br/>
              <w:t>3. International test transactions using co-badged cards shall be routed and cleared via Visa or MasterCard as applicable.</w:t>
              <w:br/>
              <w:t>4. CBUAE, AEP, and international schemes (Visa/MasterCard) certifications, where required, shall be obtained before go-live.</w:t>
              <w:br/>
              <w:t>5. Cardholder terms and conditions and disclosures shall clearly articulate the co-badged nature of the product and domestic routing via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In case of Jaywan unavailability for domestic transactions, the bank shall follow AEP and CBUAE fallback instructions, which may include temporary routing via the international scheme where permitted by regulation.</w:t>
              <w:br/>
              <w:t>2. For specific merchant categories or transaction types, if mandated by CBUAE or scheme rules, the bank shall override default routing and follow prescribed routing logic.</w:t>
              <w:br/>
              <w:t>3. If the bank decides to phase out standalone international scheme products for certain segments, it shall migrate those customers to co-badged products through controlled re-issuance campaigns.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CBUAE circular referencing mandate 5480-2024 requiring co-badged issuance with domestic and international support.</w:t>
              <w:br/>
              <w:t>2. AEP documentation on Jaywan co-badged product constructs and routing principles.</w:t>
              <w:br/>
              <w:t>3. Visa and MasterCard co-badging and domestic routing guidelines.</w:t>
              <w:br/>
              <w:t>4. Internal Legal and Compliance interpretation of CBUAE domestic routing requirements.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Transaction Routing to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ensure that domestic card-present and card-not-present transactions initiated within the UAE using Jaywan mono-badged or co-badged cards are routed via the Jaywan domestic card scheme in compliance with CBUAE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domestic transactions for existing Visa and MasterCard cards are routed through international schemes. There is no domestic priority routing to a local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configure routing parameters in the acquiring and issuing environments (as applicable) so that all eligible domestic transactions performed within UAE using Jaywan mono-badged and Jaywan co-badged cards shall be processed via Jaywan. The bank shall adhere to CBUAE and AEP guidance on domestic priority routing, ensuring that routing decisions respect scheme rules and regulatory instructions. For co-badged cards, domestic routing to Jaywan shall be the default unless a specific exception is mandated by regulation or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Detailed domestic routing rules and eligibility criteria shall be obtained from AEP and CBUAE.</w:t>
              <w:br/>
              <w:t>2. BIN tables and routing tables shall be updated to identify Jaywan mono-badged and co-badged cards.</w:t>
              <w:br/>
              <w:t>3. Required changes on the bank’s switch and network gateway shall be analysed and agreed between Business and IT.</w:t>
              <w:br/>
              <w:t>4. Certification test plans for domestic routing shall be agreed with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Test domestic transactions (ATM, POS, and where applicable e-commerce) using Jaywan cards shall demonstrate routing to Jaywan as the domestic scheme.</w:t>
              <w:br/>
              <w:t>2. No domestic transaction using Jaywan cards in production shall incorrectly default to international scheme routing under normal conditions.</w:t>
              <w:br/>
              <w:t>3. Monitoring dashboards or reports shall be able to evidence the proportion of domestic Jaywan transactions versus any permitted exceptions.</w:t>
              <w:br/>
              <w:t>4. CBUAE and AEP sign-off shall be obtained on routing behaviour as part of go-live readiness.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In case of Jaywan scheme outage or emergency situation notified by AEP or CBUAE, the bank shall follow the prescribed contingency routing approach, including potential temporary use of international schemes for domestic transactions if explicitly allowed.</w:t>
              <w:br/>
              <w:t>2. If particular merchant acquiring setups are not immediately capable of Jaywan acceptance, the bank shall document and manage these as exceptions and implement a remediation roadmap in consultation with AEP and CBUAE.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AEP documentation on routing and processing for Jaywan domestic transactions.</w:t>
              <w:br/>
              <w:t>2. CBUAE guidance on domestic routing priority and use of domestic schemes.</w:t>
              <w:br/>
              <w:t>3. Internal switch routing configuration documents and change requests.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Enablement of Jaywan Cards on Samsung Wallet, Google Pay, and Apple Pay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support tokenisation and provisioning of eligible Jaywan cards to Samsung Wallet and plan for subsequent enablement on Google Pay and Apple Pay as per AEP roadmap.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supports VISA DMS for e-commerce and tokenisation transactions. Jaywan cards are not yet provisioned to Samsung Wallet, Google Pay, or Apple Pay, and CBUAE DMS for Jaywan tokenised transactions is under design.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enable customers to add eligible Jaywan cards to Samsung Wallet in line with AEP timelines and technical specifications. In the next phase, the bank shall extend support to Google Pay and Apple Pay once Jaywan is implemented on these wallets. The bank shall ensure that tokenised transactions for Jaywan cards, including POS tokenised transactions where in scope, are processed via the CBUAE/Jaywan DMS as defined in the target-state process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AEP confirmation of Samsung Wallet enablement details and subsequent Google Pay and Apple Pay integration timelines.</w:t>
              <w:br/>
              <w:t>2. Receipt of tokenisation, provisioning, and lifecycle management specifications for Jaywan from AEP and wallet providers.</w:t>
              <w:br/>
              <w:t>3. Completion of documented process flow for CBUAE DMS (to-be) for e-commerce and tokenisation transactions as referenced by the business and IT teams.</w:t>
              <w:br/>
              <w:t>4. Agreement on whether POS tokenised transactions shall be in scope for initial or subsequent phases.</w:t>
              <w:br/>
              <w:t>5. Relevant legal and compliance approvals for data sharing with wallet providers and adherence to CBUAE data protection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The bank shall successfully provision Jaywan cards to Samsung Wallet in test and production environments in line with AEP test scripts.</w:t>
              <w:br/>
              <w:t>2. Jaywan tokenised transactions via Samsung Wallet shall be authorised and cleared via the designated Jaywan/CBUAE DMS without functional errors under normal network conditions.</w:t>
              <w:br/>
              <w:t>3. For the subsequent phase, the bank shall demonstrate successful provisioning of Jaywan cards to Google Pay and Apple Pay in test environments once AEP confirms readiness.</w:t>
              <w:br/>
              <w:t>4. Customer digital channels (e.g. mobile banking app) shall display accurate status of Jaywan cards tokenised on wallets (active, suspended, deleted) based on to-be design where available.</w:t>
              <w:br/>
              <w:t>5. Security and risk controls, including transaction monitoring thresholds for tokenised Jaywan transactions, shall be defined and approved by Risk and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wallet enablement timelines are revised by AEP, the bank shall adjust rollout plans and communicate updated timelines to internal stakeholders.</w:t>
              <w:br/>
              <w:t>2. If specific customer segments or card products are excluded from wallet provisioning (e.g. certain corporate cards), the bank shall maintain clear rules and enforce restrictions in digital onboarding flows.</w:t>
              <w:br/>
              <w:t>3. In case of wallet service outage, the bank shall ensure that physical card usage for Jaywan remains unaffected and that customers are informed through standard incident communication channels where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AEP public communication on Samsung Wallet integration and roadmap for Google Pay and Apple Pay.</w:t>
              <w:br/>
              <w:t>2. Internal documented process flow for current SMS, current VISA DMS, and to-be CBUAE DMS for e-commerce and tokenisation transactions.</w:t>
              <w:br/>
              <w:t>3. CBUAE guidelines on digital payments, tokenisation, and data protection.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Dual Message System (DMS) and Process Alignment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define and implement business processes for Jaywan-related Dual Message System transactions, leveraging existing VISA DMS processes as a reference, including ATM, POS, e-commerce, and tokenised transactions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has documented process flows for current SMS (ATM, POS) and current VISA DMS for e-commerce and tokenisation transactions. CBUAE/Jaywan DMS target process flows for e-commerce and tokenisation are under documentation and review.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document, review, and approve the to-be CBUAE/Jaywan DMS process flows for all relevant transaction types. The bank shall ensure that end-to-end handling from authorisation to clearing, settlement, and posting for Jaywan transactions is consistent with regulatory expectations and internal controls. POS tokenised transactions shall be considered as in-scope if confirmed by business and AEP, and corresponding processes shall be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Completion and sign-off of to-be process flows by Business, IT, Card Operations, and Finance.</w:t>
              <w:br/>
              <w:t>2. Clarification of outstanding queries with AEP regarding DMS processing for Jaywan.</w:t>
              <w:br/>
              <w:t>3. Agreement on whether POS tokenised transactions are in scope and corresponding AEP technical specifications.</w:t>
              <w:br/>
              <w:t>4. Finalisation of GL mapping and accounting treatment for Jaywan transactions as confirmed by Finance.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Approved and version-controlled process documentation shall exist for Jaywan DMS across ATM, POS, e-commerce, and tokenised transactions where applicable.</w:t>
              <w:br/>
              <w:t>2. Test cases for authorisation, clearing, settlement, and postings shall be executed successfully in test cycles involving Jaywan DMS.</w:t>
              <w:br/>
              <w:t>3. Finance shall confirm that GL postings for Jaywan transactions follow the approved GL mapping with no unreconciled balances attributable to process design gaps.</w:t>
              <w:br/>
              <w:t>4. Card Operations and GBO-ATM/CDM teams shall confirm operational readiness to support Jaywan DMS processes, including exception handling and manual interventions where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any transaction type is not supported in the initial Jaywan DMS rollout (e.g. certain tokenised POS scenarios), the bank shall document interim handling and explicitly mark it as out-of-scope for phase one.</w:t>
              <w:br/>
              <w:t>2. In case of exceptions or failures in clearing or settlement messages, the bank shall use documented fall-back procedures (e.g. manual adjustments, liaison with AEP) aligned to regulatory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Internal meeting minutes referencing review of Dual Messaging System process steps with Card Ops and GBO-ATM/CDM.</w:t>
              <w:br/>
              <w:t>2. Documented process flow for current SMS (ATM, POS), VISA DMS (e-commerce and tokenisation), and to-be CBUAE DMS.</w:t>
              <w:br/>
              <w:t>3. AEP specifications for Jaywan DMS processing.</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Reversals, Refunds, Chargebacks, and Dispute Handling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define and implement business processes for reversals, refunds, chargebacks, and disputes relating to Jaywan transactions in alignment with AEP and CBUAE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Existing reversals, refunds, chargebacks, and dispute handling processes are aligned to international schemes (e.g. Visa, MasterCard). Jaywan-specific dispute and chargeback frameworks have not yet been fully defined in the provided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extend existing dispute management frameworks to accommodate Jaywan transactions, including domestic ATM, POS, e-commerce, and tokenised transactions. The bank shall ensure that timeframes, evidencing requirements, and processing steps for Jaywan disputes align with AEP and CBUAE guidance. Card Operations teams shall be trained on Jaywan-specific rules and shall use appropriate codes, forms, and workflows in dispute handling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Receipt of Jaywan dispute and chargeback rules from AEP and CBUAE.</w:t>
              <w:br/>
              <w:t>2. Analysis of gaps between existing international scheme dispute processes and Jaywan-specific requirements.</w:t>
              <w:br/>
              <w:t>3. Update of dispute management system to include Jaywan-specific reason codes and workflows.</w:t>
              <w:br/>
              <w:t>4. Training plan for Card Operations, Customer Service, and related teams on Jaywan dispute handling.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Documented procedures for reversals, refunds, and chargebacks for Jaywan transactions shall be approved by Operations, Risk, and Compliance.</w:t>
              <w:br/>
              <w:t>2. Sample Jaywan dispute cases shall be processed end-to-end in a test or pilot environment to confirm functional readiness.</w:t>
              <w:br/>
              <w:t>3. Customer-facing communication (e.g. FAQs, website, statements) shall be updated to include Jaywan-specific dispute timelines and contact points, aligned with regulatory expectations.</w:t>
              <w:br/>
              <w:t>4. Operational metrics (e.g. TAT for dispute resolution, number of open Jaywan disputes) shall be trackable in existing MI reports.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AEP dispute rules change after go-live, the bank shall update internal procedures and system configurations within agreed change windows.</w:t>
              <w:br/>
              <w:t>2. For cross-border Jaywan transactions (e.g. via bilateral agreements with India), the bank shall apply dispute rules defined for such corridors once officially communicated, and may temporarily apply conservative internal handling rules if detailed cross-border dispute guidelines are not yet communicated.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AEP and CBUAE communications related to Jaywan dispute and chargeback framework (once received).</w:t>
              <w:br/>
              <w:t>2. Internal dispute management SOPs for Visa and MasterCard used as a reference baseline.</w:t>
              <w:br/>
              <w:t>3. Meeting notes referencing updates on reversals, refunds, and chargebacks for the Jaywan initiative.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Reconciliation, GL Mapping, and Reporting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establish reconciliation, GL mapping, and reporting capabilities for Jaywan transactions that meet internal Finance requirements and CBUAE/AEP regulatory reporting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Finance has confirmed that GL details for Jaywan are ready based on available information. Reconciliation processes currently focus on existing schemes and reports previously received from CBUAE and other stakeholders. Jaywan-specific reconciliation documentation is in progress.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implement GL structures, reconciliation routines, and reporting templates that capture Jaywan transaction flows, fees, and settlements at the required level of granularity. The bank shall ensure that original reports obtained from CBUAE/AEP are incorporated into reconciliation and MI processes. Reconciliation documentation for Jaywan shall be completed and maintained in line with Finance and Audit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Final confirmation of GL mapping for Jaywan transaction types from Finance.</w:t>
              <w:br/>
              <w:t>2. Receipt and analysis of original reports from CBUAE/AEP relevant to Jaywan.</w:t>
              <w:br/>
              <w:t>3. Design of reconciliation processes and frequency covering scheme settlement, customer postings, and fee calculations.</w:t>
              <w:br/>
              <w:t>4. Clarification of any open queries from Finance regarding reconciliation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Reconciliation processes for Jaywan shall be documented, approved, and tested using sample data.</w:t>
              <w:br/>
              <w:t>2. GL postings for Jaywan transactions shall reconcile to scheme settlement reports from AEP with no material unexplained differences beyond agreed thresholds.</w:t>
              <w:br/>
              <w:t>3. Finance shall confirm that existing or new reports meet internal and regulatory needs for Jaywan-related balances and movements.</w:t>
              <w:br/>
              <w:t>4. Audit or internal control functions shall sign off on the adequacy of reconciliation controls for Jaywan as part of go-live readiness.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any required reports from CBUAE/AEP are not yet available, the bank shall implement interim manual reconciliations using available data, with clear documentation of limitations.</w:t>
              <w:br/>
              <w:t>2. If GL mapping changes post go-live due to updated Finance requirements, the bank shall perform controlled migrations and restatements where required with appropriate approvals.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Communication indicating Finance confirmation that GL details are ready for Jaywan.</w:t>
              <w:br/>
              <w:t>2. Original report shared from CBUAE used as a reference for design of Jaywan reconciliation.</w:t>
              <w:br/>
              <w:t>3. Internal Finance and Reconciliation policy documents.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Stakeholder Engagement, Discovery Sessions, and Query Management with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conduct structured discovery sessions and maintain a log of queries and clarifications with AEP and internal stakeholders to finalise Jaywan mono-badged and co-badged card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Discovery and clarification meetings have begun, involving Business, IT, Card Operations, BA, Manager, and external partner (TCS), with minutes capturing progress and pending queries. Additional discovery sessions for Jaywan mono-badged and co-badged cards are scheduled.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maintain a formal schedule of discovery sessions specific to Jaywan mono-badged and co-badged card requirements, capturing meeting titles, dates, time slots, and attendees. A structured query log shall be maintained for all questions to be raised with AEP, CBUAE, and scheme partners, with tracking of responses and decisions. Outputs from these sessions shall feed into the refinement of process documentation, system requirements, and operational procedures.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Agreement on governance structure for Jaywan project including Business, IT, Operations, Finance, and Compliance representation.</w:t>
              <w:br/>
              <w:t>2. Circulation of meeting schedule titled for discovery sessions related to Jaywan mono-badged and co-badged cards.</w:t>
              <w:br/>
              <w:t>3. Establishment of a central repository for minutes, action logs, and query logs.</w:t>
              <w:br/>
              <w:t>4. Assignment of owners to raise and track queries with AEP and other external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Discovery session calendar for Jaywan mono-badged and co-badged cards shall be published and accessible to all relevant stakeholders.</w:t>
              <w:br/>
              <w:t>2. Meeting minutes shall be recorded for each session, capturing decisions, open items, and responsibilities.</w:t>
              <w:br/>
              <w:t>3. A query log shall exist, showing status (open/answered/closed) of all Jaywan-related queries raised with AEP and other parties.</w:t>
              <w:br/>
              <w:t>4. Key dependencies and clarifications identified in discovery sessions shall be reflected in updated process flows, BRDs, and system requirement documents.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AEP or other external stakeholders are unavailable for specific sessions, the bank shall re-prioritise topics and use internal working sessions to progress items not dependent on external input.</w:t>
              <w:br/>
              <w:t>2. If scope changes are identified during discovery sessions, they shall be managed through formal change control within the Jaywan project governance.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Meeting minutes and progress updates marked as TCS Confidential capturing discovery discussions.</w:t>
              <w:br/>
              <w:t>2. Discovery session schedule titled "Discovery sessions for additional requirements for Jaywan Mono badged cards, Jaywan co badged cards".</w:t>
              <w:br/>
              <w:t>3. Internal project governance and RACI documents for the Jaywan program.</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Customer and Market Awareness in Alignment with AEP Campaign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align its customer communication and awareness materials with AEP’s campaign on Jaywan features and benefits to support adoption and understanding across individuals and companies.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AEP has communicated an upcoming awareness campaign (e.g. April 2025) to highlight Jaywan’s features and benefits. Bank-specific communications for Jaywan are not yet fully defined in the provided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prepare customer-facing communication materials (e.g. website content, FAQs, branch scripts) aligned with AEP’s key messages to explain Jaywan mono-badged and co-badged offerings, domestic routing, wallet enablement, and benefits such as potential reduction in payment costs and enhanced security. The bank shall ensure messaging is consistent with CBUAE guidelines and classification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Receipt of key messages and campaign guidelines from AEP related to Jaywan awareness.</w:t>
              <w:br/>
              <w:t>2. Internal approval of customer communication content by Marketing, Compliance, and Legal.</w:t>
              <w:br/>
              <w:t>3. Confirmation of go-live timelines for Jaywan products to synchronise with campaign periods where feasible.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Customer-facing channels (website, contact centre scripts, branch communications) shall include accurate, approved information about Jaywan card offerings before or at the time of product launch.</w:t>
              <w:br/>
              <w:t>2. Communication shall clearly state the domestic nature of Jaywan, co-badged structure where applicable, and how customers can use cards locally, in GCC (if applicable), and internationally.</w:t>
              <w:br/>
              <w:t>3. Any regulatory disclaimers or classification requirements (e.g. CBUAE Classification: Public) shall be adhered to in published material.</w:t>
              <w:br/>
              <w:t>4. Feedback from frontline staff shall confirm that they are able to address basic customer queries on Jaywan using the approved materials.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AEP adjusts the timing of the national awareness campaign, the bank shall revise its communication plan accordingly while ensuring compliance with CBUAE instructions.</w:t>
              <w:br/>
              <w:t>2. If new Jaywan features (e.g. additional bilateral corridors) are introduced later, the bank shall update its communication materials in line with updated AEP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AEP announcement on Jaywan awareness campaign and feature highlights.</w:t>
              <w:br/>
              <w:t>2. CBUAE communications on Jaywan classification and public information.</w:t>
              <w:br/>
              <w:t>3. Internal Marketing and Compliance approvals for Jaywan-related communications.</w:t>
            </w:r>
          </w:p>
        </w:tc>
      </w:tr>
    </w:tbl>
    <w:p>
      <w:pPr>
        <w:pStyle w:val="Normal"/>
        <w:rPr/>
      </w:pPr>
      <w:r>
        <w:rPr/>
      </w:r>
    </w:p>
    <w:p>
      <w:pPr>
        <w:pStyle w:val="Normal"/>
        <w:rPr>
          <w:b/>
          <w:bCs/>
        </w:rPr>
      </w:pPr>
      <w:r>
        <w:rPr>
          <w:b/>
          <w:bCs/>
        </w:rP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BR-001</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Issuance of Jaywan mono-badged cards for domestic and GCC usage.</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CBUAE / AEP public communication; Internal Product and Operations forums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Card Management System, Core Banking, Switch, ATM/POS Acquiring (where applicable)</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Local mono-badged Jaywan card product available to customers, enabling domestic and GCC usage via Jaywan.</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BR-002</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Issuance of Jaywan co-badged cards with international schemes to support domestic and international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CBUAE circular and mandate reference 5480-2024; Internal Compliance and Product directives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Card Management System, Switch, Authorisation Engine, Settlement and Clearing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Co-badged Jaywan-Visa/MasterCard products implemented with domestic routing to Jaywan and international routing to global schemes.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BR-003</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Routing of domestic transactions to Jaywan for mono-badged and co-badged cards.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CBUAE and AEP domestic routing expectations; Project design workshops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Switch, Routing Engine, ATM/POS Acquiring Systems, Monitoring and Reporting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Domestic transactions are processed via Jaywan, contributing to reduced payment costs and enhanced financial sovereignty.</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BR-004</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Enablement of Jaywan cards on Samsung Wallet and future rollout to Google Pay and Apple Pay.</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AEP communications on wallet readiness; Internal Digital Banking strategy discussions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Tokenisation Platform, Mobile Banking Channels, Wallet Integrations, Switch, DMS for Jaywan</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Customers can perform tokenised payments using Jaywan cards across supported wallets, improving digital payment adoption.</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BR-005</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Definition and implementation of Jaywan Dual Message System processes.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Internal Business-IT workshops; Review of existing VISA DMS processes; AEP specifications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Switch, DMS Processing Engine, Settlement System, Card Management System, Core Banking</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End-to-end Jaywan DMS processes established for ATM, POS, e-commerce, and tokenised transactions where in scope.</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BR-006</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Reversals, refunds, chargebacks, and dispute handling for Jaywan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Card Operations meetings; Anticipated AEP dispute rules; Risk and Compliance inputs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Dispute Management System, Card Management System, Customer Service Tools, Core Banking</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Operational capability to manage customer disputes and scheme chargebacks for Jaywan transactions in a compliant manner.</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BR-007</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Reconciliation, GL mapping, and reporting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Finance confirmation of GL readiness; CBUAE/AEP reporting; Internal reconciliation requirements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GL and Finance Systems, Reconciliation Tools, Data Warehouse, Reporting Platforms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Accurate financial reporting and reconciliations for Jaywan transactions supporting audit and regulatory needs.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BR-008</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Stakeholder discovery sessions and structured query management for Jaywan requirements.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Project governance; Discovery session schedule; TCS and internal BA meeting minutes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Project Management Tools, Document Repositories, Requirements Management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Clarified and agreed Jaywan requirements across Business and IT with traceable decisions and query resolutions.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BR-009</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Customer and market awareness alignment with AEP Jaywan campaign.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AEP announcement of awareness campaign; Marketing and Compliance directives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Public Website, Contact Centre Scripts, Branch Communication Materials, Digital Banking Communications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Customers and market participants are informed about Jaywan products and usage, supporting adoption and regulatory objectives.</w:t>
            </w:r>
          </w:p>
        </w:tc>
      </w:tr>
    </w:tbl>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The solution shall support the bank’s existing retail and corporate cardholder base expected to migrate or onboard to Jaywan, with scalability to accommodate future adoption targets as defined by the bank and CBUAE mandates.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The solution shall be designed to handle peak domestic transaction volumes for Jaywan (including ATM, POS, e-commerce, and tokenised payments) comparable to current peak volumes on existing card schemes, with headroom as defined in detailed capacity planning by IT and Operations.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The solution shall support cumulative monthly Jaywan transaction volumes aligned with the bank’s business forecast and CBUAE/AEP expectations, with monitoring to ensure utilisation remains within agreed capacity thresholds.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Jaywan-related services (issuance, authorisation, routing, and processing) shall target high availability appropriate for critical payment systems as defined in the bank’s internal policies and CBUAE regulations, with resilient architecture and clear incident and failover procedures.</w:t>
            </w:r>
          </w:p>
        </w:tc>
      </w:tr>
    </w:tbl>
    <w:p>
      <w:pPr>
        <w:pStyle w:val="Normal"/>
        <w:rPr/>
      </w:pPr>
      <w:r>
        <w:rPr/>
      </w:r>
    </w:p>
    <w:p>
      <w:pPr>
        <w:pStyle w:val="Normal"/>
        <w:rPr/>
      </w:pPr>
      <w:r>
        <w:rPr>
          <w:b/>
          <w:bCs/>
        </w:rPr>
        <w:t>Impact on Operational process:</w:t>
      </w:r>
      <w:r>
        <w:rPr/>
        <w:t xml:space="preserve"> Existing operational processes for card issuance, maintenance, authorisation support, settlements, chargebacks, dispute handling, reconciliation, and reporting shall be updated to incorporate Jaywan-specific steps and controls. Card Operations and GBO-ATM/CDM teams shall adapt their workflows to handle Jaywan DMS transactions, domestic routing, and scheme-specific exceptions. New processes shall be introduced for co-badged card lifecycle management, including reissuance and product migrations driven by the CBUAE mandate. Operational playbooks, SLAs, and escalation paths shall be revised to include AEP, Jaywan scheme contacts, and updated regulatory obligations.</w:t>
      </w:r>
    </w:p>
    <w:p>
      <w:pPr>
        <w:pStyle w:val="Normal"/>
        <w:rPr/>
      </w:pPr>
      <w:r>
        <w:rPr/>
      </w:r>
    </w:p>
    <w:p>
      <w:pPr>
        <w:pStyle w:val="Normal"/>
        <w:rPr/>
      </w:pPr>
      <w:r>
        <w:rPr/>
      </w:r>
    </w:p>
    <w:p>
      <w:pPr>
        <w:pStyle w:val="Normal"/>
        <w:rPr/>
      </w:pPr>
      <w:r>
        <w:rPr>
          <w:b/>
          <w:bCs/>
        </w:rPr>
        <w:t>Regulatory impact:</w:t>
      </w:r>
      <w:r>
        <w:rPr/>
        <w:t xml:space="preserve"> The solution shall ensure compliance with CBUAE circulars and mandates including reference 5480-2024, covering domestic scheme adoption, co-badged issuance for Visa and MasterCard issuers, and domestic routing of transactions to Jaywan. The bank shall comply with CBUAE guidelines on digital payments, data protection, outsourcing (where applicable), and classification (e.g. CBUAE Classification: Public for relevant materials). Any regulatory reporting requirements associated with Jaywan adoption and performance shall be met through appropriate reports and MI. The bank shall engage with CBUAE and AEP to clarify and document any regulatory interpretations impacting card design, routing, and cross-border corridors (e.g. bilateral agreements with India).</w:t>
      </w:r>
    </w:p>
    <w:p>
      <w:pPr>
        <w:pStyle w:val="Normal"/>
        <w:rPr/>
      </w:pPr>
      <w:r>
        <w:rPr/>
      </w:r>
    </w:p>
    <w:p>
      <w:pPr>
        <w:pStyle w:val="Normal"/>
        <w:rPr/>
      </w:pPr>
      <w:r>
        <w:rPr/>
      </w:r>
    </w:p>
    <w:p>
      <w:pPr>
        <w:pStyle w:val="Normal"/>
        <w:rPr/>
      </w:pPr>
      <w:r>
        <w:rPr>
          <w:b/>
          <w:bCs/>
        </w:rPr>
        <w:t>Reports requirement:</w:t>
      </w:r>
      <w:r>
        <w:rPr/>
        <w:t xml:space="preserve"> The bank shall define and implement reports covering Jaywan transaction volumes, values, channel split (ATM, POS, e-commerce, tokenised), dispute statistics, settlement positions, and reconciliation exceptions. Regulatory and scheme reports required by CBUAE and AEP shall be produced in the required format and frequency, leveraging original reports shared by CBUAE/AEP as reference. Internal management reports shall provide visibility on adoption of Jaywan mono-badged and co-badged cards, domestic versus international routing, and performance against key KPIs such as cost of payments and service availability. Finance shall receive detailed GL and reconciliation reports for Jaywan, and Operations shall have access to operational dashboards and exception reports.</w:t>
      </w:r>
    </w:p>
    <w:p>
      <w:pPr>
        <w:pStyle w:val="Normal"/>
        <w:rPr/>
      </w:pPr>
      <w:r>
        <w:rPr/>
      </w:r>
    </w:p>
    <w:p>
      <w:pPr>
        <w:pStyle w:val="Normal"/>
        <w:rPr/>
      </w:pPr>
      <w:r>
        <w:rPr/>
      </w:r>
    </w:p>
    <w:p>
      <w:pPr>
        <w:pStyle w:val="Normal"/>
        <w:rPr/>
      </w:pPr>
      <w:r>
        <w:rPr>
          <w:b/>
          <w:bCs/>
        </w:rPr>
        <w:t>Access requirement:</w:t>
      </w:r>
      <w:r>
        <w:rPr/>
        <w:t xml:space="preserve"> Access to Jaywan-related systems and data (card management, switch, reconciliation, dispute management, and reporting tools) shall be role-based and follow the bank’s existing access control framework. Business, IT, Operations, Finance, and Compliance users shall have appropriate entitlements to perform their Jaywan-related tasks while adhering to the principle of least privilege. External parties such as AEP, scheme partners, and service providers shall be granted access only where mandated and under formal agreements consistent with CBUAE requirements. Access provisioning for new Jaywan functionalities shall follow existing approval workflows and be subject to periodic review and recertification.</w:t>
      </w:r>
    </w:p>
    <w:p>
      <w:pPr>
        <w:pStyle w:val="Normal"/>
        <w:rPr/>
      </w:pPr>
      <w:r>
        <w:rPr/>
      </w:r>
    </w:p>
    <w:p>
      <w:pPr>
        <w:pStyle w:val="Normal"/>
        <w:rPr/>
      </w:pPr>
      <w:r>
        <w:rPr/>
      </w:r>
    </w:p>
    <w:p>
      <w:pPr>
        <w:pStyle w:val="Normal"/>
        <w:rPr/>
      </w:pPr>
      <w:r>
        <w:rPr>
          <w:b/>
          <w:bCs/>
        </w:rPr>
        <w:t>Security requirement:</w:t>
      </w:r>
      <w:r>
        <w:rPr/>
        <w:t xml:space="preserve"> Jaywan-related implementations shall comply with the bank’s information security policies, CBUAE cyber security guidelines, and relevant industry standards applicable to card payments and tokenisation. Cardholder data for Jaywan cards shall be protected in transit and at rest using approved encryption and key management practices. Integration with Samsung Wallet, Google Pay, and Apple Pay shall follow secure tokenisation standards, ensuring that PANs are not exposed in wallet transactions. Fraud monitoring rules shall be updated to include Jaywan-specific scenarios across domestic, GCC, and cross-border corridors. Any sharing of data with AEP, CBUAE, and international partners shall be governed by secure channels and data minimisation principles.</w:t>
      </w:r>
    </w:p>
    <w:p>
      <w:pPr>
        <w:pStyle w:val="Normal"/>
        <w:rPr/>
      </w:pPr>
      <w:r>
        <w:rPr/>
      </w:r>
    </w:p>
    <w:p>
      <w:pPr>
        <w:pStyle w:val="Normal"/>
        <w:rPr/>
      </w:pPr>
      <w:r>
        <w:rPr/>
      </w:r>
    </w:p>
    <w:p>
      <w:pPr>
        <w:pStyle w:val="Normal"/>
        <w:rPr/>
      </w:pPr>
      <w:r>
        <w:rPr>
          <w:b/>
          <w:bCs/>
        </w:rPr>
        <w:t>Data requirement:</w:t>
      </w:r>
      <w:r>
        <w:rPr/>
        <w:t xml:space="preserve"> The bank shall maintain accurate master data for Jaywan card products, BINs, customer profiles, and routing configurations. Transaction data for Jaywan shall be stored with sufficient detail to support reconciliation, dispute handling, MI, and regulatory reporting in line with CBUAE retention requirements. Data models shall be updated to identify Jaywan mono-badged and co-badged cards distinctly for analytics and reporting. Integration with AEP and scheme partners shall ensure that required data elements for Jaywan DMS, tokenisation, and cross-border corridors are captured and processed. Any data used in reports or shared externally shall respect CBUAE classification requirements and internal data governance policies.</w:t>
      </w:r>
    </w:p>
    <w:p>
      <w:pPr>
        <w:pStyle w:val="Normal"/>
        <w:rPr/>
      </w:pPr>
      <w:r>
        <w:rPr/>
      </w:r>
    </w:p>
    <w:p>
      <w:pPr>
        <w:pStyle w:val="Normal"/>
        <w:rPr/>
      </w:pPr>
      <w:r>
        <w:rPr/>
      </w:r>
    </w:p>
    <w:p>
      <w:pPr>
        <w:pStyle w:val="Normal"/>
        <w:rPr/>
      </w:pPr>
      <w:r>
        <w:rPr>
          <w:b/>
          <w:bCs/>
        </w:rPr>
        <w:t>Training requirement:</w:t>
      </w:r>
      <w:r>
        <w:rPr/>
        <w:t xml:space="preserve"> Comprehensive training shall be provided to Card Operations, GBO-ATM/CDM, Contact Centre, Branch Staff, Finance, and IT support teams on Jaywan mono-badged and co-badged products, domestic routing rules, DMS processes, dispute procedures, reconciliation, and reporting. Training materials shall align with AEP and CBUAE guidelines and shall include process flows for current SMS, current VISA DMS, and to-be CBUAE/Jaywan DMS to highlight differences. Refresher training shall be delivered in line with key milestones such as wallet enablement, cross-border corridor activation, or regulatory updates. Training effectiveness shall be measured through assessments or feedback, and updates shall be made as Jaywan-related processes evolve.</w:t>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462</TotalTime>
  <Application>LibreOffice/25.2.7.2$Windows_X86_64 LibreOffice_project/5cbfd1ab6520636bb5f7b99185aa69bd7456825d</Application>
  <AppVersion>15.0000</AppVersion>
  <Pages>4</Pages>
  <Words>134</Words>
  <Characters>1235</Characters>
  <CharactersWithSpaces>1295</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2026-01-29T08:11:19Z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