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Specification for Jaywan Domestic and Co‑badged Card Enablement</w:t>
      </w:r>
    </w:p>
    <w:p>
      <w:pPr>
        <w:pStyle w:val="Normal"/>
        <w:rPr/>
      </w:pPr>
      <w:r>
        <w:t>ID: BRS-JAYWAN-COBADGE-001</w:t>
      </w:r>
    </w:p>
    <w:p>
      <w:pPr>
        <w:pStyle w:val="Normal"/>
        <w:rPr/>
      </w:pPr>
      <w:r>
        <w:t>Program: Jaywan Domestic Card Scheme Enablement for Licensed Financial Institutions in the UAE</w:t>
      </w:r>
    </w:p>
    <w:p>
      <w:pPr>
        <w:pStyle w:val="Normal"/>
        <w:rPr/>
      </w:pPr>
      <w:r>
        <w:t>Type: Business Requirement Specification</w:t>
      </w:r>
    </w:p>
    <w:p>
      <w:pPr>
        <w:pStyle w:val="Normal"/>
        <w:rPr/>
      </w:pPr>
      <w:r/>
    </w:p>
    <w:p>
      <w:pPr>
        <w:pStyle w:val="Normal"/>
        <w:rPr/>
      </w:pPr>
      <w:r>
        <w:t>Table Of Content</w:t>
      </w:r>
    </w:p>
    <w:tbl>
      <w:tblPr>
        <w:tblW w:w="9240" w:type="dxa"/>
        <w:jc w:val="left"/>
        <w:tblInd w:w="115" w:type="dxa"/>
        <w:tblLayout w:type="fixed"/>
        <w:tblCellMar>
          <w:top w:w="55" w:type="dxa"/>
          <w:left w:w="55" w:type="dxa"/>
          <w:bottom w:w="55" w:type="dxa"/>
          <w:right w:w="55" w:type="dxa"/>
        </w:tblCellMar>
      </w:tblPr>
      <w:tblGrid>
        <w:gridCol w:w="4620"/>
        <w:gridCol w:w="4620"/>
      </w:tblGrid>
      <w:tr>
        <w:trPr/>
        <w:tc>
          <w:tcPr>
            <w:tcW w:w="4620" w:type="dxa"/>
            <w:tcBorders>
              <w:top w:val="single" w:sz="4" w:space="0" w:color="000000"/>
              <w:left w:val="single" w:sz="4" w:space="0" w:color="000000"/>
            </w:tcBorders>
          </w:tcPr>
          <w:p>
            <w:pPr>
              <w:pStyle w:val="Normal"/>
              <w:spacing w:before="0" w:after="160"/>
              <w:rPr/>
            </w:pPr>
            <w:r>
              <w:t>Serial Number</w:t>
            </w:r>
          </w:p>
        </w:tc>
        <w:tc>
          <w:tcPr>
            <w:tcW w:w="4620" w:type="dxa"/>
            <w:tcBorders>
              <w:top w:val="single" w:sz="4" w:space="0" w:color="000000"/>
              <w:right w:val="single" w:sz="4" w:space="0" w:color="000000"/>
            </w:tcBorders>
          </w:tcPr>
          <w:p>
            <w:pPr>
              <w:pStyle w:val="Normal"/>
              <w:spacing w:before="0" w:after="160"/>
              <w:rPr/>
            </w:pPr>
            <w:r>
              <w:t>Description</w:t>
            </w:r>
          </w:p>
        </w:tc>
      </w:tr>
      <w:tr>
        <w:tc>
          <w:tcPr>
            <w:tcW w:type="dxa" w:w="4620"/>
          </w:tcPr>
          <w:p>
            <w:r>
              <w:t>1.</w:t>
            </w:r>
          </w:p>
        </w:tc>
        <w:tc>
          <w:tcPr>
            <w:tcW w:type="dxa" w:w="4620"/>
          </w:tcPr>
          <w:p>
            <w:r>
              <w:t>Business Requirements</w:t>
            </w:r>
          </w:p>
        </w:tc>
      </w:tr>
      <w:tr>
        <w:tc>
          <w:tcPr>
            <w:tcW w:type="dxa" w:w="4620"/>
          </w:tcPr>
          <w:p>
            <w:r>
              <w:t>2.</w:t>
            </w:r>
          </w:p>
        </w:tc>
        <w:tc>
          <w:tcPr>
            <w:tcW w:type="dxa" w:w="4620"/>
          </w:tcPr>
          <w:p>
            <w:r>
              <w:t>Requirement Traceability Matrix</w:t>
            </w:r>
          </w:p>
        </w:tc>
      </w:tr>
      <w:tr>
        <w:tc>
          <w:tcPr>
            <w:tcW w:type="dxa" w:w="4620"/>
          </w:tcPr>
          <w:p>
            <w:r>
              <w:t>3.</w:t>
            </w:r>
          </w:p>
        </w:tc>
        <w:tc>
          <w:tcPr>
            <w:tcW w:type="dxa" w:w="4620"/>
          </w:tcPr>
          <w:p>
            <w:r>
              <w:t>Non-Functional Requirements</w:t>
            </w:r>
          </w:p>
        </w:tc>
      </w:tr>
      <w:tr>
        <w:tc>
          <w:tcPr>
            <w:tcW w:type="dxa" w:w="4620"/>
          </w:tcPr>
          <w:p>
            <w:r>
              <w:t>4.</w:t>
            </w:r>
          </w:p>
        </w:tc>
        <w:tc>
          <w:tcPr>
            <w:tcW w:type="dxa" w:w="4620"/>
          </w:tcPr>
          <w:p>
            <w:r>
              <w:t>Impact on Operational Process</w:t>
            </w:r>
          </w:p>
        </w:tc>
      </w:tr>
      <w:tr>
        <w:tc>
          <w:tcPr>
            <w:tcW w:type="dxa" w:w="4620"/>
          </w:tcPr>
          <w:p>
            <w:r>
              <w:t>5.</w:t>
            </w:r>
          </w:p>
        </w:tc>
        <w:tc>
          <w:tcPr>
            <w:tcW w:type="dxa" w:w="4620"/>
          </w:tcPr>
          <w:p>
            <w:r>
              <w:t>Regulatory Impact</w:t>
            </w:r>
          </w:p>
        </w:tc>
      </w:tr>
      <w:tr>
        <w:tc>
          <w:tcPr>
            <w:tcW w:type="dxa" w:w="4620"/>
          </w:tcPr>
          <w:p>
            <w:r>
              <w:t>6.</w:t>
            </w:r>
          </w:p>
        </w:tc>
        <w:tc>
          <w:tcPr>
            <w:tcW w:type="dxa" w:w="4620"/>
          </w:tcPr>
          <w:p>
            <w:r>
              <w:t>Reports Requirement</w:t>
            </w:r>
          </w:p>
        </w:tc>
      </w:tr>
      <w:tr>
        <w:tc>
          <w:tcPr>
            <w:tcW w:type="dxa" w:w="4620"/>
          </w:tcPr>
          <w:p>
            <w:r>
              <w:t>7.</w:t>
            </w:r>
          </w:p>
        </w:tc>
        <w:tc>
          <w:tcPr>
            <w:tcW w:type="dxa" w:w="4620"/>
          </w:tcPr>
          <w:p>
            <w:r>
              <w:t>Access Requirement</w:t>
            </w:r>
          </w:p>
        </w:tc>
      </w:tr>
      <w:tr>
        <w:tc>
          <w:tcPr>
            <w:tcW w:type="dxa" w:w="4620"/>
          </w:tcPr>
          <w:p>
            <w:r>
              <w:t>8.</w:t>
            </w:r>
          </w:p>
        </w:tc>
        <w:tc>
          <w:tcPr>
            <w:tcW w:type="dxa" w:w="4620"/>
          </w:tcPr>
          <w:p>
            <w:r>
              <w:t>Security Requirement</w:t>
            </w:r>
          </w:p>
        </w:tc>
      </w:tr>
      <w:tr>
        <w:tc>
          <w:tcPr>
            <w:tcW w:type="dxa" w:w="4620"/>
          </w:tcPr>
          <w:p>
            <w:r>
              <w:t>9.</w:t>
            </w:r>
          </w:p>
        </w:tc>
        <w:tc>
          <w:tcPr>
            <w:tcW w:type="dxa" w:w="4620"/>
          </w:tcPr>
          <w:p>
            <w:r>
              <w:t>Data Requirement</w:t>
            </w:r>
          </w:p>
        </w:tc>
      </w:tr>
      <w:tr>
        <w:tc>
          <w:tcPr>
            <w:tcW w:type="dxa" w:w="4620"/>
          </w:tcPr>
          <w:p>
            <w:r>
              <w:t>10.</w:t>
            </w:r>
          </w:p>
        </w:tc>
        <w:tc>
          <w:tcPr>
            <w:tcW w:type="dxa" w:w="4620"/>
          </w:tcPr>
          <w:p>
            <w:r>
              <w:t>Training Requirement</w:t>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6"/>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3126"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t>Initial Draft</w:t>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document specifies the business requirements for enabling the UAE domestic card scheme "Jaywan" for mono-badged and co-badged cards in compliance with Central Bank of the UAE (CBUAE) and Al Etihad Payments (AEP) directives. The requirements cover issuance, usage, routing, dual messaging, reversals, refunds, chargebacks, tokenisation, wallet enablement and reporting for domestic and international card transactions processed under the Jaywan scheme and its co-badged constructs with international payment networks.</w:t>
      </w:r>
    </w:p>
    <w:p>
      <w:pPr>
        <w:pStyle w:val="Normal"/>
        <w:rPr/>
      </w:pPr>
      <w:r/>
    </w:p>
    <w:p>
      <w:pPr>
        <w:pStyle w:val="Normal"/>
        <w:rPr/>
      </w:pPr>
      <w:r>
        <w:t>Current constraints: Current card issuing and acquiring infrastructure at licensed financial institutions primarily supports international schemes (e.g. Visa, Mastercard) and existing CBUAE/Visa dual messaging services. Domestic routing for a national scheme such as Jaywan is not fully enabled. Card products are largely non-co-badged and may not comply with CBUAE mandate reference 5480/2024 requiring support for both domestic and international transactions. POS tokenised transaction handling, Jaywan-specific GL mapping, reconciliation processes, and reporting formats as required by AEP/CBUAE are not fully defined or implemented. Existing mobile wallet integrations (Samsung Wallet, Google Pay, Apple Pay) are not yet configured for Jaywan card provisioning and usage across mono-badge and co-badge products.</w:t>
      </w:r>
    </w:p>
    <w:p>
      <w:pPr>
        <w:pStyle w:val="Normal"/>
        <w:rPr/>
      </w:pPr>
      <w:r/>
    </w:p>
    <w:p>
      <w:pPr>
        <w:pStyle w:val="Normal"/>
        <w:rPr/>
      </w:pPr>
      <w:r>
        <w:t>Objective: The objective is to define and implement business and system changes necessary for the bank, as a licensed financial institution, to comply with the CBUAE mandate to launch Jaywan mono-badged and co-badged cards, ensure correct domestic and international transaction routing, and support secure, cost-effective, and seamless payments in line with CBUAE and AEP requirements. The solution shall enable issuance, acceptance, processing, and settlement of Jaywan transactions locally and, where applicable, in GCC and other approved markets, while maintaining interoperability with international schemes and supporting digital wallet and tokenisation use cases.</w:t>
      </w:r>
    </w:p>
    <w:p>
      <w:pPr>
        <w:pStyle w:val="Normal"/>
        <w:rPr/>
      </w:pPr>
      <w:r/>
    </w:p>
    <w:p>
      <w:pPr>
        <w:pStyle w:val="Normal"/>
        <w:rPr/>
      </w:pPr>
      <w:r>
        <w:t>In scope: 1. Enablement of Jaywan mono-badged cards for domestic usage within the UAE and GCC as per AEP guidance.</w:t>
        <w:br/>
        <w:t>2. Enablement of Jaywan co-badged cards in partnership with international schemes (e.g. Visa, Mastercard) for domestic and international transactions.</w:t>
        <w:br/>
        <w:t>3. Configuration of domestic and international routing rules for Jaywan mono-badged and co-badged cards in accordance with CBUAE mandate reference 5480/2024 and AEP specifications.</w:t>
        <w:br/>
        <w:t>4. Support for card-present and card-not-present (e-commerce and tokenised) transactions for Jaywan in dual messaging environments including CBUAE DMS and existing Visa DMS where applicable.</w:t>
        <w:br/>
        <w:t>5. Support for POS tokenised transactions for Jaywan cards, including digital wallet usage (Samsung Wallet readiness and subsequent enablement for Google Pay and Apple Pay as per AEP roadmap).</w:t>
        <w:br/>
        <w:t>6. Updates to business processes and system interfaces for authorisations, clearings, reversals, refunds, and chargebacks relating to Jaywan transactions.</w:t>
        <w:br/>
        <w:t>7. Definition and mapping of General Ledger (GL) accounts and reconciliation processes for Jaywan domestic and international legs for both issuing and acquiring.</w:t>
        <w:br/>
        <w:t>8. Regulatory and scheme reporting to AEP/CBUAE and internal stakeholders covering Jaywan transaction volumes, fees, service levels, and exception handling.</w:t>
        <w:br/>
        <w:t>9. Business and IT collaboration with AEP, including formal query management to clarify scheme rules, dual messaging processes, and adoption of relevant processes used today for Visa for Jaywan.</w:t>
        <w:br/>
        <w:t>10. Training and communication to impacted business units (Card Operations, Finance, Reconciliation, IT, Contact Centre, Branches) on Jaywan products, processes, and responsibilities.</w:t>
      </w:r>
    </w:p>
    <w:p>
      <w:pPr>
        <w:pStyle w:val="Normal"/>
        <w:rPr/>
      </w:pPr>
      <w:r/>
    </w:p>
    <w:p>
      <w:pPr>
        <w:pStyle w:val="Normal"/>
        <w:rPr/>
      </w:pPr>
      <w:r>
        <w:t>Out of scope: 1. Detailed technical design documents, interface control documents (ICDs), and code-level specifications.</w:t>
        <w:br/>
        <w:t>2. Changes to non-card payment rails (e.g. RTGS, ACH, instant payments) not related to Jaywan card processing.</w:t>
        <w:br/>
        <w:t>3. Pricing strategy and commercial fee negotiations with AEP or international schemes, beyond high-level requirements to support fee capture and reporting.</w:t>
        <w:br/>
        <w:t>4. Marketing campaign content and creative design, except for basic functional readiness to support CBUAE/AEP awareness initiatives.</w:t>
        <w:br/>
        <w:t>5. Non-UAE regulatory requirements not explicitly referenced by CBUAE or AEP for Jaywan.</w:t>
        <w:br/>
        <w:t>6. Core banking product changes unrelated to card accounts or card-linked current/savings accounts.</w:t>
        <w:br/>
        <w:t>7. Detailed implementation of bilateral agreements with foreign jurisdictions beyond supporting the scheme-level requirements (e.g. the India bilateral agreement) once provided by AEP.</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Compliance with CBUAE Mandate for 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comply with the CBUAE circular and central government mandate requiring licensed financial institutions to launch Jaywan co-badged cards in alignment with mandate reference 5480/2024, ensuring support for both domestic and international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Currently the bank issues card products primarily under international schemes (e.g. Visa, Mastercard) without Jaywan co-badging. Domestic transactions are generally processed via international networks and existing CBUAE/Visa dual messaging arrangements where applicable. There is no explicit adherence to a Jaywan co-badging mandate.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ensure that newly issued cards falling under the scope of the CBUAE circular are co-badged with Jaywan and an international scheme (e.g. Visa or Mastercard) so that domestic transactions are processed via Jaywan and international transactions are processed via the respective international scheme. The bank shall define the product catalogue, eligibility, and lifecycle rules for Jaywan co-badged cards in alignment with CBUAE and AEP guidance. The bank shall implement governance processes to monitor, report, and evidence compliance with the CBUAE mandate reference 5480/2024.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and internal circulation of the relevant CBUAE mandate and circular texts including reference 5480/2024.</w:t>
              <w:br/>
              <w:t>2. Confirmation from AEP and international schemes on co-badge constructs, scheme rules, and certification criteria.</w:t>
              <w:br/>
              <w:t>3. Internal approval from relevant governance committees (e.g. Product, Risk, Compliance) to proceed with Jaywan co-badged card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Product configuration for at least one Jaywan co-badged card type shall be approved by Product, Risk, Compliance, and Operations.</w:t>
              <w:br/>
              <w:t>2. Evidence shall be available to demonstrate issuance of Jaywan co-badged cards to customers in accordance with the mandate effective dates.</w:t>
              <w:br/>
              <w:t>3. Internal Compliance and Regulatory Reporting teams shall confirm that required CBUAE compliance attestations and reports relating to Jaywan co-badged issuance can be produced on demand.</w:t>
              <w:br/>
              <w:t>4. No critical compliance observations shall be raised by Internal Audit or Compliance on alignment with mandate reference 5480/2024 for the implemented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In case of regulatory exemptions for specific customer segments or card products, the bank shall document and obtain approval from Compliance and retain evidence of CBUAE/AEP guidance.</w:t>
              <w:br/>
              <w:t>2. If co-badging is technically or commercially not feasible for specific legacy portfolios, the bank shall define a phased migration or sunset strategy with clear timelines and risk assessment.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CBUAE Mandate Reference 5480/2024 regarding Jaywan co-badged card issuance.</w:t>
              <w:br/>
              <w:t>2. CBUAE Circular on Jaywan domestic card scheme.</w:t>
              <w:br/>
              <w:t>3. AEP communication on readiness of Jaywan domestic card scheme (February 27, 2025).</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Enablement of Jaywan Mono-badged Card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enable Jaywan mono-badged card products for domestic and GCC usage in accordance with AEP and CBUAE requirements to support a secure and cost-effective local payment ecosystem.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At present, no Jaywan mono-badged card products are available in the bank’s product catalogue. Domestic payments are executed using international scheme cards, leading to higher interchange and scheme fees and dependence on international networks.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define and launch Jaywan mono-badged card products that can be used for domestic transactions within the UAE and in GCC markets as permitted by AEP. The bank shall ensure that card issuance, lifecycle management, and usage rules comply with Jaywan scheme documentation. Jaywan mono-badged cards shall be clearly differentiated in the bank’s systems, statements, and customer communications from co-badged and international-only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Jaywan mono-badge product specifications and BIN ranges from AEP.</w:t>
              <w:br/>
              <w:t>2. Agreement on domestic and GCC usage rules and any cross-border limitations with AEP.</w:t>
              <w:br/>
              <w:t>3. Card Management System (CMS) configuration capabilities to support Jaywan mono-badged product codes and parameters.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At least one Jaywan mono-badged debit card product shall be available for issuance in production.</w:t>
              <w:br/>
              <w:t>2. Test transactions using Jaywan mono-badged cards shall successfully authorise and clear within the domestic network and GCC where permitted.</w:t>
              <w:br/>
              <w:t>3. Product parameters (fees, limits, usage regions) for Jaywan mono-badged cards shall be visible and correctly maintained in CMS and downstream systems.</w:t>
              <w:br/>
              <w:t>4. Customer-facing channels (statements, online banking, mobile banking) shall clearly display the Jaywan mono-badged brand.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For customers requiring international usage, the bank shall offer Jaywan co-badged cards instead of mono-badged cards.</w:t>
              <w:br/>
              <w:t>2. In case GCC acceptance is delayed or restricted, the bank shall initially limit Jaywan mono-badged usage to domestic UAE transactions and update configurations as AEP guidelines evolve.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AEP Jaywan Domestic Scheme Product Overview (mono-badge).</w:t>
              <w:br/>
              <w:t>2. CBUAE Circular on readiness of financial infrastructure to activate Jaywan locally and globally.</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Domestic and International Routing Configuration for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configure card transaction routing logic such that domestic transactions for Jaywan mono-badged and co-badged cards are routed via the Jaywan domestic scheme, while international transactions for co-badged cards are routed via the relevant international network in line with CBUAE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Routing rules primarily direct both domestic and international transactions via international schemes (Visa, Mastercard). There is limited or no segregation for a domestic scheme like Jaywan. Dual messaging flows are implemented for Visa DMS and CBUAE DMS for existing products but not specifically optimised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implement routing rules at switch, host, and scheme interface layers so that:</w:t>
              <w:br/>
              <w:t>1. All eligible domestic transactions (ATM, POS, e-commerce, tokenised) initiated with Jaywan mono-badged cards shall be routed exclusively via the Jaywan domestic scheme.</w:t>
              <w:br/>
              <w:t>2. For Jaywan co-badged cards, domestic transactions shall by default be routed via Jaywan, with international transactions routed via the co-badged international network according to scheme routing priorities, regulatory requirements, and AEP guidelines.</w:t>
              <w:br/>
              <w:t>3. In accordance with CBUAE directives, the bank shall avoid unnecessary routing of domestic transactions via international schemes where Jaywan is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of domestic transaction identification rules (MCC, country code, terminal configuration) from AEP and schemes.</w:t>
              <w:br/>
              <w:t>2. Availability of updated routing configuration capabilities in the bank’s switch and card host systems.</w:t>
              <w:br/>
              <w:t>3. Completed connectivity and certification with AEP Jaywan switch and with the relevant international schemes for the co-badged arrangements.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Test scenarios shall demonstrate that domestic transactions using Jaywan mono-badged cards are consistently routed via Jaywan.</w:t>
              <w:br/>
              <w:t>2. Test scenarios for co-badged cards shall demonstrate correct routing of domestic legs via Jaywan and international legs via the appropriate international scheme.</w:t>
              <w:br/>
              <w:t>3. Periodic reconciliation reports shall confirm that domestic transactions are not systematically processed via international schemes where Jaywan is available.</w:t>
              <w:br/>
              <w:t>4. Regulatory and internal compliance teams shall sign off that routing logic adheres to CBUAE and AEP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In the event of temporary unavailability of the Jaywan domestic network, the bank shall implement a contingency routing strategy agreed with AEP and international schemes, with appropriate customer impact assessment and logging.</w:t>
              <w:br/>
              <w:t>2. For cross-border GCC or bilateral corridors (e.g. India) where specific routing instructions are mandated by AEP, the bank shall override generic rules to follow corridor-specific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AEP Jaywan Routing and Connectivity Specifications.</w:t>
              <w:br/>
              <w:t>2. CBUAE Circular on domestic processing and cost reduction objectives.</w:t>
              <w:br/>
              <w:t>3. Existing Visa and CBUAE DMS routing configuration documentation.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Dual Messaging Support for Jaywan E-commerce and Tokenised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extend the existing dual messaging processes to support Jaywan e-commerce and tokenised transactions through CBUAE DMS in line with the documented to-be process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 documented process flows cover SMS for ATM and POS, Visa DMS for Visa e-commerce and tokenisation transactions, and a to-be CBUAE DMS process for e-commerce and tokenisation that is not fully implemented for Jaywan. POS tokenised transactions may not be fully in scope and are under review.</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implement end-to-end dual messaging processes for Jaywan e-commerce and tokenised transactions, including:</w:t>
              <w:br/>
              <w:t>1. Authorisation via Jaywan domestic rails with appropriate risk and fraud controls.</w:t>
              <w:br/>
              <w:t>2. Clearing and settlement via CBUAE DMS as per agreed timelines and formats.</w:t>
              <w:br/>
              <w:t>3. Handling of advices, reversals, and adjustments in accordance with AEP specifications.</w:t>
              <w:br/>
              <w:t>4. Inclusion of POS tokenised transactions for Jaywan, where confirmed by business and scheme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Finalisation of CBUAE DMS to-be process flow documentation for Jaywan e-commerce and tokenisation.</w:t>
              <w:br/>
              <w:t>2. Agreement between Business, IT, and Card Operations on inclusion and treatment of POS tokenised transactions in scope.</w:t>
              <w:br/>
              <w:t>3. Receipt of message format specifications and certification requirements from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End-to-end test cases for Jaywan e-commerce and tokenised transactions shall execute successfully across authorisation and clearing.</w:t>
              <w:br/>
              <w:t>2. Dual messaging logs shall demonstrate alignment with documented CBUAE DMS processes.</w:t>
              <w:br/>
              <w:t>3. Card Operations and GBO-ATM/CDM teams shall confirm that operational handling is documented and executable for Jaywan dual messaging.</w:t>
              <w:br/>
              <w:t>4. No material reconciliation gaps shall be observed in pilot or initial production periods due to dual messaging misalignments.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POS tokenised transactions are excluded from initial scope, the bank shall maintain a clearly documented exception with a roadmap and impact assessment.</w:t>
              <w:br/>
              <w:t>2. For transactions where tokenisation is not supported or fails, the bank shall process transactions as non-tokenised while still complying with Jaywan and CBUAE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Documented process flows for current SMS (ATM, POS) and Visa DMS (e-com and tokenisation).</w:t>
              <w:br/>
              <w:t>2. To-be CBUAE DMS process flow for e-commerce and tokenised transactions.</w:t>
              <w:br/>
              <w:t>3. Meeting minutes between Business and IT teams on dual messaging scope.</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Handling of Reversals, Refunds, and Chargebacks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define and implement business processes and system changes to support reversals, refunds, and chargebacks for Jaywan mono-badged and co-badged card transactions in accordance with AEP and CBUAE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Existing processes for reversals, refunds, and chargebacks are aligned with Visa and Mastercard rules and implemented via current DMS and back-office systems. Jaywan-specific rules and workflows are not yet fully defined or configured.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w:t>
              <w:br/>
              <w:t>1. Define clear process flows for handling Jaywan reversals, refunds, and chargebacks covering issuing and acquiring perspectives.</w:t>
              <w:br/>
              <w:t>2. Configure back-office dispute management systems to recognise Jaywan transactions, apply scheme-specific timelines, reason codes, and documentation requirements.</w:t>
              <w:br/>
              <w:t>3. Ensure that General Ledger and reconciliation processes correctly capture financial impacts arising from Jaywan disputes.</w:t>
              <w:br/>
              <w:t>4. Train Card Operations and relevant teams on Jaywan-specific dispute handling obligations and customer communication standards.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Jaywan dispute management and chargeback rules from AEP.</w:t>
              <w:br/>
              <w:t>2. Clarification by Business and IT on alignment or divergence from existing Visa and Mastercard dispute processes.</w:t>
              <w:br/>
              <w:t>3. Availability of necessary system fields to distinguish Jaywan from other scheme transactions in dispute management tools.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Dispute cases raised for Jaywan transactions shall follow documented workflows with appropriate statuses and SLA tracking.</w:t>
              <w:br/>
              <w:t>2. Sample test cases for Jaywan reversals, refunds, and chargebacks shall be successfully executed in a test environment with correct accounting entries.</w:t>
              <w:br/>
              <w:t>3. Card Operations shall confirm readiness to handle customer enquiries related to Jaywan disputes.</w:t>
              <w:br/>
              <w:t>4. Reconciliation teams shall validate that dispute-related financial entries for Jaywan reconcile with AEP settlement reports.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For co-badged cards where the transaction was processed via the international leg, the bank shall follow the dispute rules of the respective international scheme while ensuring internal tagging of the product as Jaywan co-badged.</w:t>
              <w:br/>
              <w:t>2. For partial refunds or complex merchant scenarios, the bank shall follow AEP guidance and document any deviations from current Visa/Mastercard practices.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AEP Jaywan Dispute and Chargeback Rulebook (when provided).</w:t>
              <w:br/>
              <w:t>2. Existing Visa and Mastercard dispute process documentation.</w:t>
              <w:br/>
              <w:t>3. Internal meeting notes on updates for reversals, refunds, and chargebacks.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GL Mapping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establish dedicated General Ledger mappings and reconciliation processes for Jaywan domestic and international components for both issuing and acquiring activities.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Finance and Business teams have confirmed that GL details for current products are available. Reconciliation processes are documented for existing schemes, and business has requested documentation of reconciliation details. Jaywan-specific GL structures and reconciliation rules are not yet fully integrated.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w:t>
              <w:br/>
              <w:t>1. Define GL accounts for Jaywan transaction types including interchange, fees, chargebacks, refunds, and settlements, segregated by issuing and acquiring as appropriate.</w:t>
              <w:br/>
              <w:t>2. Update reconciliation processes and tools to ingest AEP Jaywan reports and align them with bank GL entries.</w:t>
              <w:br/>
              <w:t>3. Ensure that any cross-scheme allocations for co-badged cards are correctly reflected in GL postings.</w:t>
              <w:br/>
              <w:t>4. Provide Finance and Reconciliation teams with clear documentation of posting logic and reconciliation steps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from Finance on required GL structure for Jaywan.</w:t>
              <w:br/>
              <w:t>2. Availability of AEP Jaywan settlement and fee report layouts.</w:t>
              <w:br/>
              <w:t>3. Agreement between Business, Finance, and IT on reconciliation ownership and cut-off times.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GL postings for pilot Jaywan transactions shall reconcile to AEP reports within agreed tolerance levels.</w:t>
              <w:br/>
              <w:t>2. Finance and Reconciliation teams shall sign off on the adequacy of Jaywan GL mappings and reconciliation documentation.</w:t>
              <w:br/>
              <w:t>3. No material unreconciled items shall be outstanding after agreed resolution cycles during initial rollout.</w:t>
              <w:br/>
              <w:t>4. Audit trails of GL changes and reconciliations for Jaywan shall be maintained according to internal audit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In case certain fee components are initially posted to suspense accounts, the bank shall define a clear process and timeline for reasonable allocation and reclassification.</w:t>
              <w:br/>
              <w:t>2. For multi-currency transactions and cross-border corridors (e.g. India bilateral), the bank shall follow AEP and Treasury guidance for FX treatment and related GL postings.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Finance-confirmed GL details for current card products.</w:t>
              <w:br/>
              <w:t>2. CBUAE/AEP Jaywan settlement and reporting guidelines.</w:t>
              <w:br/>
              <w:t>3. Internal reconciliation documentation requested by Finance.</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Jaywan Enablement in Digital Wallets and Tokenisation Platforms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enable Jaywan card provisioning and usage in supported digital wallets and tokenisation platforms in line with AEP’s staged implementation plan.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Currently, existing cards may be provisioned to certain mobile wallets such as Samsung Wallet, while Jaywan-specific enablement and future extension to Google Pay and Apple Pay for Jaywan are not yet implemented. Jaywan card tokenisation parameters and scheme IDs are not fully configured.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w:t>
              <w:br/>
              <w:t>1. Support provisioning of Jaywan cards (mono-badged and co-badged where applicable) into Samsung Wallet as per AEP readiness.</w:t>
              <w:br/>
              <w:t>2. Plan and implement subsequent enablement of Jaywan cards for Google Pay and Apple Pay as per AEP timelines and technical specifications.</w:t>
              <w:br/>
              <w:t>3. Ensure that tokenisation platforms, mobile SDKs, and fraud systems recognise Jaywan BINs and scheme identifiers and apply appropriate risk rules.</w:t>
              <w:br/>
              <w:t>4. Ensure that wallet-based transactions using Jaywan are processed and accounted for in the same manner as physical card transactions, including routing, GL mapping, and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wallet integration and tokenisation specifications from AEP and wallet providers for Jaywan.</w:t>
              <w:br/>
              <w:t>2. Agreement with AEP on the rollout sequence (Samsung Wallet first, followed by Google Pay and Apple Pay).</w:t>
              <w:br/>
              <w:t>3. Completion of required certifications and testing with wallet providers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Customers shall be able to successfully add eligible Jaywan cards to Samsung Wallet and perform test transactions.</w:t>
              <w:br/>
              <w:t>2. After go-live, successful pilot transactions using Jaywan via digital wallets shall be recorded and reconciled to AEP reports.</w:t>
              <w:br/>
              <w:t>3. Fraud and Risk teams shall validate that risk rules are in place and effective for Jaywan wallet transactions.</w:t>
              <w:br/>
              <w:t>4. Customer support scripts shall be updated to handle queries regarding Jaywan in digital wallets.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 specific wallet (e.g. Google Pay or Apple Pay) is not initially supported for Jaywan, the bank shall provide alternative usage channels and communicate expected timelines once confirmed.</w:t>
              <w:br/>
              <w:t>2. In case of token provisioning failures, the bank shall follow standard fallback and error-handling processes while maintaining compliance with scheme and CBUAE security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AEP communication on Jaywan readiness for Samsung Wallet and subsequent Google Pay and Apple Pay enablement.</w:t>
              <w:br/>
              <w:t>2. Wallet provider integration guides for domestic schemes.</w:t>
              <w:br/>
              <w:t>3. Internal tokenisation and digital channel architecture documents.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Reporting and Regulatory Submissions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implement reporting capabilities to satisfy AEP, CBUAE, and internal stakeholder requirements for Jaywan transaction monitoring, cost analysis, and operational oversight.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Queries have been clarified with business regarding existing reports, and original CBUAE reports have been shared. Jaywan-specific reporting for domestic scheme activity, scheme costs, and performance indicators is not fully defined or automated.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w:t>
              <w:br/>
              <w:t>1. Produce periodic reports on Jaywan transaction volumes, values, fees, chargebacks, and operational metrics as required by CBUAE and AEP.</w:t>
              <w:br/>
              <w:t>2. Integrate AEP-supplied reports into internal data warehouses or reporting tools for reconciliation and management information.</w:t>
              <w:br/>
              <w:t>3. Provide internal dashboards for senior management to monitor Jaywan adoption, domestic routing effectiveness, and cost savings versus international schemes.</w:t>
              <w:br/>
              <w:t>4. Ensure that regulatory reporting formats, submission frequencies, and validation rules are aligned with CBUAE classifications and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from CBUAE and AEP on mandatory reporting templates and submission channels for Jaywan.</w:t>
              <w:br/>
              <w:t>2. Availability of data fields in transaction and settlement systems to uniquely identify Jaywan scheme activity.</w:t>
              <w:br/>
              <w:t>3. Agreement between Business, Compliance, and Finance on KPIs and analytical views to be produced internally.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At least one end-to-end regulatory report for Jaywan shall be generated and validated in UAT against sample CBUAE/AEP templates.</w:t>
              <w:br/>
              <w:t>2. Internal stakeholders (Finance, Risk, Operations, Product) shall confirm that their reporting needs for Jaywan are met.</w:t>
              <w:br/>
              <w:t>3. No material issues shall be reported by CBUAE/AEP related to data quality or completeness in Jaywan submissions post go-live.</w:t>
              <w:br/>
              <w:t>4. Reports shall support segregation of mono-badged versus co-badged Jaywan activity.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certain data elements are not initially available, the bank shall implement interim manual enrichment and a plan to automate in subsequent phases.</w:t>
              <w:br/>
              <w:t>2. In case of changes to CBUAE reporting requirements, the bank shall update mapping and transformation rules with appropriate change governance.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CBUAE original report shared with Business.</w:t>
              <w:br/>
              <w:t>2. AEP reporting specifications for Jaywan.</w:t>
              <w:br/>
              <w:t>3. Internal MI and regulatory reporting standards.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Stakeholder Engagement and Query Management with AEP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establish a formal process for managing queries and clarifications with Al Etihad Payments (AEP) regarding Jaywan scheme implementation, including dual messaging, routing, and product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Meetings have been conducted between Business and IT teams to review process documentation and clarify queries on IT and Business alignment, Visa process adaptation to Jaywan, and queries to be requested to AEP. A structured, ongoing query management framework specific to Jaywan is not fully documented.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w:t>
              <w:br/>
              <w:t>1. Maintain a consolidated register of Jaywan-related queries, decisions, and open points with AEP.</w:t>
              <w:br/>
              <w:t>2. Assign clear ownership within Business and IT for raising and tracking queries to AEP and logging responses.</w:t>
              <w:br/>
              <w:t>3. Ensure that critical clarifications (e.g. unilateral versus bilateral acceptance, corridor rules, chargeback rights) are documented and cascaded into requirements and process documents.</w:t>
              <w:br/>
              <w:t>4. Incorporate AEP responses into change control processes and update the BRS and related artefacts where necessary.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Appointment of a Jaywan Programme Lead responsible for external scheme liaison.</w:t>
              <w:br/>
              <w:t>2. Agreement on communication channels and SLAs with AEP for query resolution.</w:t>
              <w:br/>
              <w:t>3. Availability of a central repository (e.g. SharePoint, requirements management tool) for query logs and decisions.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 query register shall be in place and updated during design, development, and rollout phases.</w:t>
              <w:br/>
              <w:t>2. All critical scheme-related assumptions in this BRS shall be traceable to AEP confirmations or official documentation.</w:t>
              <w:br/>
              <w:t>3. Stakeholders shall confirm that they have access to up-to-date Jaywan clarifications for their domains.</w:t>
              <w:br/>
              <w:t>4. No major scheme non-compliance shall arise due to unresolved or undocumented queries.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In case of conflicting guidance from multiple sources, the bank shall escalate to CBUAE / senior AEP contacts and document interim operating assumptions.</w:t>
              <w:br/>
              <w:t>2. Where AEP guidance is pending, the bank may proceed with a conservative approach aligned to existing international scheme practices, subject to later adjustment once clarity is obtained.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Meeting minutes covering queries to be requested to AEP.</w:t>
              <w:br/>
              <w:t>2. TCS confidential communication summarising current progress and query details.</w:t>
              <w:br/>
              <w:t>3. Internal Jaywan programme governance documentation.</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Discovery Sessions and Requirements Finalisation for Jaywan Mono and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conduct structured discovery sessions for additional Jaywan mono-badged and co-badged card requirements to ensure comprehensive coverage of business, operational, and technical needs.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A meeting schedule has been prepared detailing discovery sessions for Jaywan mono-badged and co-badged card requirements, with defined meeting titles, dates, and times. Not all requirements from stakeholders have yet been fully elicited or documented.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w:t>
              <w:br/>
              <w:t>1. Execute the planned discovery sessions with representation from Business, IT, Card Operations, Finance, Risk, Compliance, and other impacted units.</w:t>
              <w:br/>
              <w:t>2. Capture detailed functional and non-functional requirements for Jaywan mono-badged and co-badged cards, including card lifecycle, limits, fees, and exception handling.</w:t>
              <w:br/>
              <w:t>3. Update this BRS and supporting artefacts based on discovery outcomes and obtain formal sign-off from stakeholders.</w:t>
              <w:br/>
              <w:t>4. Use the outcomes of discovery sessions to refine project scope, timelines, and resource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Finalised discovery session schedule and invitations sent to all required stakeholders.</w:t>
              <w:br/>
              <w:t>2. Availability of baseline materials such as CBUAE circulars, AEP specifications, and current process documentation.</w:t>
              <w:br/>
              <w:t>3. Appointment of a Business Analyst to facilitate sessions and maintain requirement traceability.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All discovery sessions in the schedule shall be completed or rescheduled with documented outcomes.</w:t>
              <w:br/>
              <w:t>2. A consolidated requirements backlog for Jaywan mono-badged and co-badged cards shall be produced and agreed by key stakeholders.</w:t>
              <w:br/>
              <w:t>3. Gaps identified during discovery shall be tracked with clear owners and resolution plans.</w:t>
              <w:br/>
              <w:t>4. A formal sign-off on the updated BRS shall be obtained from Business, IT, and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certain stakeholders cannot attend, the bank shall arrange follow-up interviews or workshops to capture their inputs.</w:t>
              <w:br/>
              <w:t>2. For topics requiring external input (e.g. from AEP or schemes), discovery outputs shall clearly identify dependencies and assumptions until clarification is received.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r>
              <w:t>1. Discovery sessions meeting schedule for Jaywan mono-badged and co-badged cards.</w:t>
              <w:br/>
              <w:t>2. Existing process and system documentation used as input to discovery.</w:t>
              <w:br/>
              <w:t>3. Internal project governance and requirement management guidelines.</w:t>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Compliance with CBUAE Mandate for Jaywan Co-badged Card Issuance</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Circular and Government Mandate Reference 5480/2024; Internal Compliance and Product Teams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Customer Onboarding Systems, Regulatory Reporting Tools, Risk and Compliance Systems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co-badged card products shall be issued in compliance with CBUAE requirements, with domestic and international capabilities correctly configured.</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Enablement of Jaywan Mono-badged Card Products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Communications on Jaywan Mono-badge; Product Management; CBUAE Circular</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Switch, Authorisation Host, Statement and CRM Systems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mono-badged card products shall be available for domestic and approved GCC usage with appropriate product parameters.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Domestic and International Routing Configuration for Jaywan Cards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Cost Reduction and Domestic Processing Objectives; AEP Routing Specifications; IT and Operations Workshops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Network Gateways, Authorisation Host, Routing Engines, Monitoring Tools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Transactions shall be routed via Jaywan for domestic usage and via international schemes for cross-border usage in line with regulatory guidance.</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Dual Messaging Support for Jaywan E-commerce and Tokenised Transactions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Business and IT Process Documentation; CBUAE DMS To-be Flows; Card Operations Feedback</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Dual Messaging Platform, E-commerce Gateway, Tokenisation Services, Back-office Processing Systems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e-commerce and tokenised transactions shall be processed via dual messaging with CBUAE DMS in line with defined process flows.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Handling of Reversals, Refunds, and Chargebacks for Jaywan Transactions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Scheme Rules (anticipated); Card Operations Requirements; Risk and Compliance Inputs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Dispute Management System, Card Operations Tools, GL and Reconciliation Systems, CRM</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End-to-end dispute management for Jaywan shall be aligned with scheme and regulatory requirements for issuing and acquiring.</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GL Mapping and Reconciliation for Jaywan Transactions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Finance Team Confirmation; Reconciliation Team Requests; CBUAE / AEP Reporting Requirements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GL/Finance Systems, Reconciliation Tools, Data Warehouse, Settlement Interfaces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financial flows shall be correctly posted and reconciled, supporting audit and regulatory reporting requirements.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Jaywan Enablement in Digital Wallets and Tokenisation Platforms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Communication on Wallet Readiness; Digital Channels Strategy; IT Architecture</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Mobile Banking and Wallet Platforms, Tokenisation Services, Fraud Monitoring Systems, Switch</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cards shall be usable via supported digital wallets with secure tokenisation and appropriate risk controls.</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Reporting and Regulatory Submissions for Jaywan Transactions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and AEP Reporting Templates; Business MI Requirements; Finance and Risk Inputs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Data Warehouse, BI and Reporting Tools, Regulatory Reporting Systems, Settlement Interfaces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Regulatory and internal reports shall provide accurate and timely visibility of Jaywan performance and compliance.</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BR-009</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Stakeholder Engagement and Query Management with AEP for Jaywan</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Project Governance; Minutes of Meetings with AEP; Internal BA and Programme Management</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Requirements Management Tools, Document Repositories, Governance Dashboards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implementation decisions shall be based on traceable AEP guidance and managed through structured governance.</w:t>
            </w:r>
          </w:p>
        </w:tc>
      </w:tr>
    </w:tbl>
    <w:p>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BR-010</w:t>
            </w:r>
          </w:p>
        </w:tc>
      </w:tr>
      <w:tr>
        <w:trPr/>
        <w:tc>
          <w:tcPr>
            <w:tcW w:w="3569"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Discovery Sessions and Requirements Finalisation for Jaywan Mono and Co-badged Cards</w:t>
            </w:r>
          </w:p>
        </w:tc>
      </w:tr>
      <w:tr>
        <w:trPr/>
        <w:tc>
          <w:tcPr>
            <w:tcW w:w="3569"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Project Plan; Discovery Session Schedule; Business and IT Stakeholders</w:t>
            </w:r>
          </w:p>
        </w:tc>
      </w:tr>
      <w:tr>
        <w:trPr/>
        <w:tc>
          <w:tcPr>
            <w:tcW w:w="3569"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N/A (Process and Governance Focus) with Indirect Impact on All Card-related Systems</w:t>
            </w:r>
          </w:p>
        </w:tc>
      </w:tr>
      <w:tr>
        <w:trPr/>
        <w:tc>
          <w:tcPr>
            <w:tcW w:w="3569"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Comprehensive and agreed requirements for Jaywan mono-badged and co-badged cards shall guide downstream design and implementation.</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r>
              <w:t>The solution shall support all existing and new retail and corporate cardholders eligible for Jaywan mono-badged and co-badged cards, with scalability to accommodate future growth as directed by CBUAE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r>
              <w:t>The solution shall support peak domestic and international transaction volumes for Jaywan comparable to current peak card volumes, with headroom as defined during capacity planning in alignment with AEP performance benchmarks.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r>
              <w:t>The solution shall support monthly Jaywan transaction volumes anticipated from migration of domestic transactions from international schemes, with monitoring to ensure processing capacity remains within acceptable utilisation thresholds.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r>
              <w:t>Jaywan-related services (authorisation, routing, dual messaging, wallet usage, reporting) shall be available in line with CBUAE and AEP availability expectations for critical payment infrastructure, with defined maintenance windows and failover arrangements.</w:t>
            </w:r>
          </w:p>
        </w:tc>
      </w:tr>
    </w:tbl>
    <w:p>
      <w:pPr>
        <w:pStyle w:val="Normal"/>
        <w:rPr/>
      </w:pPr>
      <w:r/>
    </w:p>
    <w:p>
      <w:pPr>
        <w:pStyle w:val="Normal"/>
        <w:rPr/>
      </w:pPr>
      <w:r>
        <w:t>Impact on Operational process: 1. Card Operations shall update standard operating procedures (SOPs) to include Jaywan mono-badged and co-badged card handling, including issuance exceptions, replacements, and disputes.</w:t>
        <w:br/>
        <w:t>2. GBO-ATM/CDM and POS Operations shall align their end-to-end processes with Jaywan routing and dual messaging requirements, including start-of-day and end-of-day checks.</w:t>
        <w:br/>
        <w:t>3. Reconciliation teams shall introduce Jaywan-specific reconciliation routines using AEP reports and updated GL mappings.</w:t>
        <w:br/>
        <w:t>4. Customer Service and Contact Centre scripts shall be updated to handle queries on Jaywan cards, domestic routing, wallet usage, and dispute timelines.</w:t>
        <w:br/>
        <w:t>5. IT Operations shall monitor Jaywan interfaces (to AEP, to international schemes for co-badged cards, to wallets) as part of BAU, including incident management and escalation to AEP or schemes.</w:t>
        <w:br/>
        <w:t>6. Compliance and Risk functions shall incorporate Jaywan-specific monitoring into existing controls, including transaction screening, fraud monitoring, and regulatory reporting reviews.</w:t>
      </w:r>
    </w:p>
    <w:p>
      <w:pPr>
        <w:pStyle w:val="Normal"/>
        <w:rPr/>
      </w:pPr>
      <w:r/>
    </w:p>
    <w:p>
      <w:pPr>
        <w:pStyle w:val="Normal"/>
        <w:rPr/>
      </w:pPr>
      <w:r/>
    </w:p>
    <w:p>
      <w:pPr>
        <w:pStyle w:val="Normal"/>
        <w:rPr/>
      </w:pPr>
      <w:r>
        <w:t>Regulatory impact: 1. The solution shall comply with all applicable CBUAE circulars and mandates relating to the Jaywan domestic card scheme, including mandate reference 5480/2024 requiring support for both domestic and international transactions through co-badged cards.</w:t>
        <w:br/>
        <w:t>2. The bank shall adhere to regulatory expectations regarding promotion of domestic processing to reduce payment costs and enhance financial sovereignty.</w:t>
        <w:br/>
        <w:t>3. Regulatory classification of documentation (e.g. Public) shall be respected in internal and external communication of Jaywan-related materials.</w:t>
        <w:br/>
        <w:t>4. The bank shall ensure timely and accurate submission of Jaywan-related regulatory reports and respond to any supervisory queries raised by CBUAE.</w:t>
        <w:br/>
        <w:t>5. The bank shall incorporate Jaywan compliance checks into internal audit scopes and compliance monitoring plans as required.</w:t>
      </w:r>
    </w:p>
    <w:p>
      <w:pPr>
        <w:pStyle w:val="Normal"/>
        <w:rPr/>
      </w:pPr>
      <w:r/>
    </w:p>
    <w:p>
      <w:pPr>
        <w:pStyle w:val="Normal"/>
        <w:rPr/>
      </w:pPr>
      <w:r/>
    </w:p>
    <w:p>
      <w:pPr>
        <w:pStyle w:val="Normal"/>
        <w:rPr/>
      </w:pPr>
      <w:r>
        <w:t>Reports requirement: 1. The bank shall generate operational reports covering Jaywan transaction counts, values, declines, reversals, and chargebacks by channel (ATM, POS, e-commerce, tokenised).</w:t>
        <w:br/>
        <w:t>2. The bank shall generate financial reports detailing Jaywan interchange, fees, scheme costs, and net income at product and portfolio levels.</w:t>
        <w:br/>
        <w:t>3. The bank shall produce reconciliation reports matching Jaywan settlement files from AEP to internal GL postings and transaction logs.</w:t>
        <w:br/>
        <w:t>4. The bank shall produce regulatory reports in formats and frequencies specified by CBUAE and AEP, including any classification requirements.</w:t>
        <w:br/>
        <w:t>5. The bank shall provide management dashboards showing migration of domestic traffic to Jaywan, co-badge utilisation, corridor usage (e.g. GCC, India), and associated cost savings.</w:t>
        <w:br/>
        <w:t>6. Reporting solutions shall support drill-down to mono-badged versus co-badged, card segment, and channel-level breakouts.</w:t>
      </w:r>
    </w:p>
    <w:p>
      <w:pPr>
        <w:pStyle w:val="Normal"/>
        <w:rPr/>
      </w:pPr>
      <w:r/>
    </w:p>
    <w:p>
      <w:pPr>
        <w:pStyle w:val="Normal"/>
        <w:rPr/>
      </w:pPr>
      <w:r/>
    </w:p>
    <w:p>
      <w:pPr>
        <w:pStyle w:val="Normal"/>
        <w:rPr/>
      </w:pPr>
      <w:r>
        <w:t>Access requirement: 1. Access to Jaywan configuration, transaction data, and reports shall be restricted to authorised personnel from Business, IT, Operations, Finance, Risk, and Compliance based on role-based access control (RBAC).</w:t>
        <w:br/>
        <w:t>2. The bank shall ensure that external parties (e.g. AEP, schemes, service providers) access only the data and interfaces approved under contractual and regulatory frameworks.</w:t>
        <w:br/>
        <w:t>3. Administrative access to systems managing Jaywan routing, GL posting, and dispute management shall be logged and periodically reviewed.</w:t>
        <w:br/>
        <w:t>4. User access profiles shall be updated to reflect new Jaywan workflows (e.g. dispute handling, reconciliation) and shall comply with internal information security and CBUAE guidelines.</w:t>
      </w:r>
    </w:p>
    <w:p>
      <w:pPr>
        <w:pStyle w:val="Normal"/>
        <w:rPr/>
      </w:pPr>
      <w:r/>
    </w:p>
    <w:p>
      <w:pPr>
        <w:pStyle w:val="Normal"/>
        <w:rPr/>
      </w:pPr>
      <w:r/>
    </w:p>
    <w:p>
      <w:pPr>
        <w:pStyle w:val="Normal"/>
        <w:rPr/>
      </w:pPr>
      <w:r>
        <w:t>Security requirement: 1. The bank shall ensure that Jaywan cardholder data is protected in line with applicable CBUAE regulations, AEP scheme rules, and relevant information security standards for card data.</w:t>
        <w:br/>
        <w:t>2. Tokenisation of Jaywan cards for wallet usage shall follow secure key management practices and adhere to wallet provider and scheme security requirements.</w:t>
        <w:br/>
        <w:t>3. The bank shall implement fraud monitoring and transaction risk management controls specifically tuned for Jaywan patterns, including domestic and corridor-based usage.</w:t>
        <w:br/>
        <w:t>4. All Jaywan-related interfaces (to AEP, wallets, and co-badged schemes) shall use secure communication channels and appropriate authentication and authorisation mechanisms.</w:t>
        <w:br/>
        <w:t>5. Security incidents impacting Jaywan transactions or data shall be managed via established incident response procedures, with escalation to CBUAE and AEP as required by regulation and scheme rules.</w:t>
      </w:r>
    </w:p>
    <w:p>
      <w:pPr>
        <w:pStyle w:val="Normal"/>
        <w:rPr/>
      </w:pPr>
      <w:r/>
    </w:p>
    <w:p>
      <w:pPr>
        <w:pStyle w:val="Normal"/>
        <w:rPr/>
      </w:pPr>
      <w:r/>
    </w:p>
    <w:p>
      <w:pPr>
        <w:pStyle w:val="Normal"/>
        <w:rPr/>
      </w:pPr>
      <w:r>
        <w:t>Data requirement: 1. The bank shall store and process data elements required to uniquely identify Jaywan transactions, including scheme identifiers, BIN ranges, routing indicators, and co-badge flags.</w:t>
        <w:br/>
        <w:t>2. Transaction data for Jaywan shall be retained in accordance with CBUAE data retention requirements and internal policies for audit, dispute resolution, and regulatory reporting.</w:t>
        <w:br/>
        <w:t>3. Data quality controls shall be implemented to ensure completeness, accuracy, and consistency of Jaywan-related data across transaction systems, GL, and reporting repositories.</w:t>
        <w:br/>
        <w:t>4. The bank shall maintain metadata documenting Jaywan product attributes, limits, and fee structures for use in downstream analytics.</w:t>
        <w:br/>
        <w:t>5. Any sharing of Jaywan data with third parties shall be governed by data-sharing agreements and regulatory requirements, ensuring confidentiality and integrity.</w:t>
      </w:r>
    </w:p>
    <w:p>
      <w:pPr>
        <w:pStyle w:val="Normal"/>
        <w:rPr/>
      </w:pPr>
      <w:r/>
    </w:p>
    <w:p>
      <w:pPr>
        <w:pStyle w:val="Normal"/>
        <w:rPr/>
      </w:pPr>
      <w:r/>
    </w:p>
    <w:p>
      <w:pPr>
        <w:pStyle w:val="Normal"/>
        <w:rPr/>
      </w:pPr>
      <w:r>
        <w:t>Training requirement: 1. The bank shall provide targeted training to Card Operations, GBO-ATM/CDM, POS Operations, Finance, Reconciliation, IT, Risk, Compliance, and Customer Service on Jaywan mono-badged and co-badged products, processes, and system changes.</w:t>
        <w:br/>
        <w:t>2. Training materials shall cover key aspects such as CBUAE mandate compliance, Jaywan routing rules, dual messaging behaviour, dispute handling, GL and reconciliation flows, and wallet enablement.</w:t>
        <w:br/>
        <w:t>3. The bank shall conduct awareness sessions in alignment with AEP’s broader Jaywan awareness campaign to ensure consistent messaging to customers and staff.</w:t>
        <w:br/>
        <w:t>4. Knowledge checks or assessments shall be used where appropriate to confirm understanding among critical operational staff handling Jaywan-related activities.</w:t>
        <w:br/>
        <w:t>5. Refresher training shall be planned following major scheme updates, regulatory changes, or system enhancements impacting Jaywan.</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TotalTime>
  <Application>LibreOffice/25.2.7.2$Windows_X86_64 LibreOffice_project/5cbfd1ab6520636bb5f7b99185aa69bd7456825d</Application>
  <AppVersion>15.0000</AppVersion>
  <Pages>4</Pages>
  <Words>133</Words>
  <Characters>1223</Characters>
  <CharactersWithSpaces>1283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2026-01-27T07:39:26Z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