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 Implementation of Jaywan Domestic Card Scheme and Jaywan Co‑Badged Cards – ATM Cash Withdrawal Processing</w:t>
      </w:r>
    </w:p>
    <w:p>
      <w:pPr>
        <w:pStyle w:val="Normal"/>
        <w:rPr/>
      </w:pPr>
      <w:r>
        <w:rPr>
          <w:b/>
          <w:bCs/>
        </w:rPr>
        <w:t>ID:</w:t>
      </w:r>
      <w:r>
        <w:rPr/>
        <w:t xml:space="preserve"> - BRD-JAYWAN-ATM-001</w:t>
      </w:r>
    </w:p>
    <w:p>
      <w:pPr>
        <w:pStyle w:val="Normal"/>
        <w:rPr/>
      </w:pPr>
      <w:r>
        <w:rPr>
          <w:b/>
          <w:bCs/>
        </w:rPr>
        <w:t>Program:</w:t>
      </w:r>
      <w:r>
        <w:rPr/>
        <w:t xml:space="preserve"> - Jaywan Domestic Card Scheme Enablement</w:t>
      </w:r>
    </w:p>
    <w:p>
      <w:pPr>
        <w:pStyle w:val="Normal"/>
        <w:rPr/>
      </w:pPr>
      <w:r>
        <w:rPr>
          <w:b/>
          <w:bCs/>
        </w:rPr>
        <w:t>Type:</w:t>
      </w:r>
      <w:r>
        <w:rPr/>
        <w:t xml:space="preserve"> - Business Requirements Specification</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Pr>
      <w:tblGrid>
        <w:gridCol w:w="4620"/>
        <w:gridCol w:w="4619"/>
      </w:tblGrid>
      <w:tr>
        <w:trPr/>
        <w:tc>
          <w:tcPr>
            <w:tcW w:w="4620" w:type="dxa"/>
            <w:tcBorders>
              <w:top w:val="single" w:sz="8" w:space="0" w:color="000000"/>
              <w:left w:val="single" w:sz="8" w:space="0" w:color="000000"/>
              <w:bottom w:val="single" w:sz="8" w:space="0" w:color="000000"/>
            </w:tcBorders>
          </w:tcPr>
          <w:p>
            <w:pPr>
              <w:pStyle w:val="Normal"/>
              <w:spacing w:before="0" w:after="160"/>
              <w:rPr/>
            </w:pPr>
            <w:r>
              <w:rPr/>
              <w:t>Serial Number</w:t>
            </w:r>
          </w:p>
        </w:tc>
        <w:tc>
          <w:tcPr>
            <w:tcW w:w="4619"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Description</w:t>
            </w:r>
          </w:p>
        </w:tc>
      </w:tr>
      <w:tr>
        <w:tc>
          <w:tcPr>
            <w:tcW w:type="dxa" w:w="4620"/>
          </w:tcPr>
          <w:p>
            <w:r>
              <w:t>1</w:t>
            </w:r>
          </w:p>
        </w:tc>
        <w:tc>
          <w:tcPr>
            <w:tcW w:type="dxa" w:w="4619"/>
          </w:tcPr>
          <w:p>
            <w:r>
              <w:t>Document Sign off</w:t>
            </w:r>
          </w:p>
        </w:tc>
      </w:tr>
      <w:tr>
        <w:tc>
          <w:tcPr>
            <w:tcW w:type="dxa" w:w="4620"/>
          </w:tcPr>
          <w:p>
            <w:r>
              <w:t>2</w:t>
            </w:r>
          </w:p>
        </w:tc>
        <w:tc>
          <w:tcPr>
            <w:tcW w:type="dxa" w:w="4619"/>
          </w:tcPr>
          <w:p>
            <w:r>
              <w:t>Document History</w:t>
            </w:r>
          </w:p>
        </w:tc>
      </w:tr>
      <w:tr>
        <w:tc>
          <w:tcPr>
            <w:tcW w:type="dxa" w:w="4620"/>
          </w:tcPr>
          <w:p>
            <w:r>
              <w:t>3</w:t>
            </w:r>
          </w:p>
        </w:tc>
        <w:tc>
          <w:tcPr>
            <w:tcW w:type="dxa" w:w="4619"/>
          </w:tcPr>
          <w:p>
            <w:r>
              <w:t>Overview</w:t>
            </w:r>
          </w:p>
        </w:tc>
      </w:tr>
      <w:tr>
        <w:tc>
          <w:tcPr>
            <w:tcW w:type="dxa" w:w="4620"/>
          </w:tcPr>
          <w:p>
            <w:r>
              <w:t>4</w:t>
            </w:r>
          </w:p>
        </w:tc>
        <w:tc>
          <w:tcPr>
            <w:tcW w:type="dxa" w:w="4619"/>
          </w:tcPr>
          <w:p>
            <w:r>
              <w:t>Current constraints</w:t>
            </w:r>
          </w:p>
        </w:tc>
      </w:tr>
      <w:tr>
        <w:tc>
          <w:tcPr>
            <w:tcW w:type="dxa" w:w="4620"/>
          </w:tcPr>
          <w:p>
            <w:r>
              <w:t>5</w:t>
            </w:r>
          </w:p>
        </w:tc>
        <w:tc>
          <w:tcPr>
            <w:tcW w:type="dxa" w:w="4619"/>
          </w:tcPr>
          <w:p>
            <w:r>
              <w:t>Objective</w:t>
            </w:r>
          </w:p>
        </w:tc>
      </w:tr>
      <w:tr>
        <w:tc>
          <w:tcPr>
            <w:tcW w:type="dxa" w:w="4620"/>
          </w:tcPr>
          <w:p>
            <w:r>
              <w:t>6</w:t>
            </w:r>
          </w:p>
        </w:tc>
        <w:tc>
          <w:tcPr>
            <w:tcW w:type="dxa" w:w="4619"/>
          </w:tcPr>
          <w:p>
            <w:r>
              <w:t>In scope</w:t>
            </w:r>
          </w:p>
        </w:tc>
      </w:tr>
      <w:tr>
        <w:tc>
          <w:tcPr>
            <w:tcW w:type="dxa" w:w="4620"/>
          </w:tcPr>
          <w:p>
            <w:r>
              <w:t>7</w:t>
            </w:r>
          </w:p>
        </w:tc>
        <w:tc>
          <w:tcPr>
            <w:tcW w:type="dxa" w:w="4619"/>
          </w:tcPr>
          <w:p>
            <w:r>
              <w:t>Out of scope</w:t>
            </w:r>
          </w:p>
        </w:tc>
      </w:tr>
      <w:tr>
        <w:tc>
          <w:tcPr>
            <w:tcW w:type="dxa" w:w="4620"/>
          </w:tcPr>
          <w:p>
            <w:r>
              <w:t>8</w:t>
            </w:r>
          </w:p>
        </w:tc>
        <w:tc>
          <w:tcPr>
            <w:tcW w:type="dxa" w:w="4619"/>
          </w:tcPr>
          <w:p>
            <w:r>
              <w:t>Description</w:t>
            </w:r>
          </w:p>
        </w:tc>
      </w:tr>
      <w:tr>
        <w:tc>
          <w:tcPr>
            <w:tcW w:type="dxa" w:w="4620"/>
          </w:tcPr>
          <w:p>
            <w:r>
              <w:t>9</w:t>
            </w:r>
          </w:p>
        </w:tc>
        <w:tc>
          <w:tcPr>
            <w:tcW w:type="dxa" w:w="4619"/>
          </w:tcPr>
          <w:p>
            <w:r>
              <w:t>Business Requirements</w:t>
            </w:r>
          </w:p>
        </w:tc>
      </w:tr>
      <w:tr>
        <w:tc>
          <w:tcPr>
            <w:tcW w:type="dxa" w:w="4620"/>
          </w:tcPr>
          <w:p>
            <w:r>
              <w:t>10</w:t>
            </w:r>
          </w:p>
        </w:tc>
        <w:tc>
          <w:tcPr>
            <w:tcW w:type="dxa" w:w="4619"/>
          </w:tcPr>
          <w:p>
            <w:r>
              <w:t>Requirement Traceability Matrix</w:t>
            </w:r>
          </w:p>
        </w:tc>
      </w:tr>
      <w:tr>
        <w:tc>
          <w:tcPr>
            <w:tcW w:type="dxa" w:w="4620"/>
          </w:tcPr>
          <w:p>
            <w:r>
              <w:t>11</w:t>
            </w:r>
          </w:p>
        </w:tc>
        <w:tc>
          <w:tcPr>
            <w:tcW w:type="dxa" w:w="4619"/>
          </w:tcPr>
          <w:p>
            <w:r>
              <w:t>Non-Functional Requirements</w:t>
            </w:r>
          </w:p>
        </w:tc>
      </w:tr>
      <w:tr>
        <w:tc>
          <w:tcPr>
            <w:tcW w:type="dxa" w:w="4620"/>
          </w:tcPr>
          <w:p>
            <w:r>
              <w:t>12</w:t>
            </w:r>
          </w:p>
        </w:tc>
        <w:tc>
          <w:tcPr>
            <w:tcW w:type="dxa" w:w="4619"/>
          </w:tcPr>
          <w:p>
            <w:r>
              <w:t>Impact on Operational Process</w:t>
            </w:r>
          </w:p>
        </w:tc>
      </w:tr>
      <w:tr>
        <w:tc>
          <w:tcPr>
            <w:tcW w:type="dxa" w:w="4620"/>
          </w:tcPr>
          <w:p>
            <w:r>
              <w:t>13</w:t>
            </w:r>
          </w:p>
        </w:tc>
        <w:tc>
          <w:tcPr>
            <w:tcW w:type="dxa" w:w="4619"/>
          </w:tcPr>
          <w:p>
            <w:r>
              <w:t>Regulatory Impact</w:t>
            </w:r>
          </w:p>
        </w:tc>
      </w:tr>
      <w:tr>
        <w:tc>
          <w:tcPr>
            <w:tcW w:type="dxa" w:w="4620"/>
          </w:tcPr>
          <w:p>
            <w:r>
              <w:t>14</w:t>
            </w:r>
          </w:p>
        </w:tc>
        <w:tc>
          <w:tcPr>
            <w:tcW w:type="dxa" w:w="4619"/>
          </w:tcPr>
          <w:p>
            <w:r>
              <w:t>Reports Requirement</w:t>
            </w:r>
          </w:p>
        </w:tc>
      </w:tr>
      <w:tr>
        <w:tc>
          <w:tcPr>
            <w:tcW w:type="dxa" w:w="4620"/>
          </w:tcPr>
          <w:p>
            <w:r>
              <w:t>15</w:t>
            </w:r>
          </w:p>
        </w:tc>
        <w:tc>
          <w:tcPr>
            <w:tcW w:type="dxa" w:w="4619"/>
          </w:tcPr>
          <w:p>
            <w:r>
              <w:t>Access Requirement</w:t>
            </w:r>
          </w:p>
        </w:tc>
      </w:tr>
      <w:tr>
        <w:tc>
          <w:tcPr>
            <w:tcW w:type="dxa" w:w="4620"/>
          </w:tcPr>
          <w:p>
            <w:r>
              <w:t>16</w:t>
            </w:r>
          </w:p>
        </w:tc>
        <w:tc>
          <w:tcPr>
            <w:tcW w:type="dxa" w:w="4619"/>
          </w:tcPr>
          <w:p>
            <w:r>
              <w:t>Security Requirement</w:t>
            </w:r>
          </w:p>
        </w:tc>
      </w:tr>
      <w:tr>
        <w:tc>
          <w:tcPr>
            <w:tcW w:type="dxa" w:w="4620"/>
          </w:tcPr>
          <w:p>
            <w:r>
              <w:t>17</w:t>
            </w:r>
          </w:p>
        </w:tc>
        <w:tc>
          <w:tcPr>
            <w:tcW w:type="dxa" w:w="4619"/>
          </w:tcPr>
          <w:p>
            <w:r>
              <w:t>Data Requirement</w:t>
            </w:r>
          </w:p>
        </w:tc>
      </w:tr>
      <w:tr>
        <w:tc>
          <w:tcPr>
            <w:tcW w:type="dxa" w:w="4620"/>
          </w:tcPr>
          <w:p>
            <w:r>
              <w:t>18</w:t>
            </w:r>
          </w:p>
        </w:tc>
        <w:tc>
          <w:tcPr>
            <w:tcW w:type="dxa" w:w="4619"/>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7"/>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t>- 02-Feb-2026</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 The document shall define business requirements for implementing CBUAE/AEP-mandated Jaywan domestic card scheme and Jaywan co-badged cards for ATM cash withdrawal transactions across licensed financial institutions in the UAE.</w:t>
        <w:br/>
        <w:t>• The document shall focus on domestic versus international transaction routing for Jaywan mono-badged and Jaywan co-badged debit cards in alignment with the CBUAE central government mandate and AEP readiness communication.</w:t>
        <w:br/>
        <w:t>• The document shall cover end-to-end ATM cash withdrawal lifecycle from customer initiation, PIN entry, message flow across acquiring ATM, core banking and PowerCARD, domestic/international scheme routing, authorisation response handling, and customer notification.</w:t>
        <w:br/>
        <w:t>• The document shall support CBUAE objectives to strengthen financial sovereignty, reduce payment transaction costs, and promote secure and seamless digital payments through the Jaywan domestic scheme.</w:t>
        <w:br/>
        <w:t>• The document shall serve as the baseline for IT solution design, test planning, operational readiness and compliance validation with the CBUAE circular mandating Jaywan co-badged issuance (reference mandate number 5480/2024 as provided).</w:t>
      </w:r>
    </w:p>
    <w:p>
      <w:pPr>
        <w:pStyle w:val="Normal"/>
        <w:rPr/>
      </w:pPr>
      <w:r>
        <w:rPr/>
      </w:r>
    </w:p>
    <w:p>
      <w:pPr>
        <w:pStyle w:val="Normal"/>
        <w:rPr/>
      </w:pPr>
      <w:r>
        <w:rPr>
          <w:b/>
          <w:bCs/>
        </w:rPr>
        <w:t>Current constraints:</w:t>
      </w:r>
      <w:r>
        <w:rPr/>
        <w:t xml:space="preserve"> • Existing card issuance and ATM acquiring setup shall currently support only international schemes (e.g. Visa, Mastercard) for domestic and international ATM transactions.</w:t>
        <w:br/>
        <w:t>• Existing transaction routing shall not differentiate Jaywan domestic routing rules as mandated under the new CBUAE Jaywan scheme.</w:t>
        <w:br/>
        <w:t>• Existing infrastructure shall not yet be fully configured for Jaywan mono-badged cards and Jaywan co-badged cards (AEP domestic scheme keys, BIN tables, routing tables, and scheme parameters pending finalisation).</w:t>
        <w:br/>
        <w:t>• Existing customer communication, SMS alerts and statement formats shall not explicitly identify Jaywan-based domestic transactions.</w:t>
        <w:br/>
        <w:t>• Existing operational processes and reconciliations shall be aligned to international schemes (e.g. Visa DMS) and shall not yet incorporate CBUAE/AEP Jaywan domestic messaging and reconciliation specifications.</w:t>
        <w:br/>
        <w:t>• Existing digital wallets (Apple Pay, Google Pay, Samsung Wallet) enablement shall primarily be for international schemes and not yet extended to Jaywan as per the CBUAE/AEP roadmap.</w:t>
      </w:r>
    </w:p>
    <w:p>
      <w:pPr>
        <w:pStyle w:val="Normal"/>
        <w:rPr/>
      </w:pPr>
      <w:r>
        <w:rPr/>
      </w:r>
    </w:p>
    <w:p>
      <w:pPr>
        <w:pStyle w:val="Normal"/>
        <w:rPr/>
      </w:pPr>
      <w:r>
        <w:rPr>
          <w:b/>
          <w:bCs/>
        </w:rPr>
        <w:t>Objective:</w:t>
      </w:r>
      <w:r>
        <w:rPr/>
        <w:t xml:space="preserve"> • The solution shall enable licensed financial institutions to support Jaywan mono-badged and Jaywan co-badged debit card ATM withdrawals in line with the CBUAE central government circular and AEP domestic card scheme readiness.</w:t>
        <w:br/>
        <w:t>• The solution shall ensure that Jaywan domestic transactions are routed via the appropriate domestic scheme rails to optimise transaction costs and support financial sovereignty, while still supporting international routing for cross-border usage via the co-badged international network.</w:t>
        <w:br/>
        <w:t>• The solution shall provide a secure, seamless, and reliable customer experience for ATM cash withdrawals, including PIN validation, authorisation, cash dispensation, card handling, receipt printing and SMS alerts for both approved and declined transactions.</w:t>
        <w:br/>
        <w:t>• The solution shall align card issuance, transaction processing, reconciliation and reporting with the CBUAE mandate that banks issuing Mastercard or Visa cards shall, in future, issue co-badged cards supporting both domestic (Jaywan) and international usage.</w:t>
        <w:br/>
        <w:t>• The solution shall provide a compliant and auditable framework for future extension of Jaywan usage to GCC, international corridors and digital wallets as communicated by AEP, without compromising current regulatory and operational controls.</w:t>
        <w:br/>
        <w:t>• The solution shall serve as the foundation for subsequent phases covering POS, e-commerce, tokenisation, reversals, refunds and chargebacks under the CBUAE DMS framework, while clearly limiting this document to ATM withdrawals.</w:t>
      </w:r>
    </w:p>
    <w:p>
      <w:pPr>
        <w:pStyle w:val="Normal"/>
        <w:rPr/>
      </w:pPr>
      <w:r>
        <w:rPr/>
      </w:r>
    </w:p>
    <w:p>
      <w:pPr>
        <w:pStyle w:val="Normal"/>
        <w:rPr/>
      </w:pPr>
      <w:r>
        <w:rPr>
          <w:b/>
          <w:bCs/>
        </w:rPr>
        <w:t>In scope:</w:t>
      </w:r>
      <w:r>
        <w:rPr/>
        <w:t xml:space="preserve"> • Jaywan mono-badged debit card enablement for ATM cash withdrawal transactions within the UAE and GCC (to the extent supported by the domestic scheme as per AEP readiness communication).</w:t>
        <w:br/>
        <w:t>• Jaywan co-badged debit card enablement for ATM cash withdrawal transactions, supporting both domestic (Jaywan) and international (e.g. Visa/Mastercard) routing as per the CBUAE central mandate.</w:t>
        <w:br/>
        <w:t>• End-to-end ATM withdrawal flow for Jaywan co-badged debit cards covering transaction initiation, PIN capture, amount entry, messaging from ATM switch to core banking and onward to PowerCARD for scheme routing and authorisation.</w:t>
        <w:br/>
        <w:t>• Domestic versus international routing logic configuration within PowerCARD (or equivalent card management/authorisation host) for Jaywan co-badged debit cards based on BIN, country, ATM location and CBUAE/AEP rules.</w:t>
        <w:br/>
        <w:t>• Handling of approved ATM withdrawal transactions including cash dispensation, card return, receipt generation, SMS notification and end-of-day (EOD) posting to the customer account.</w:t>
        <w:br/>
        <w:t>• Handling of declined ATM withdrawal transactions including no cash dispensation, decline messaging, card return, SMS notification and no customer account posting.</w:t>
        <w:br/>
        <w:t>• High-level reporting requirements related to Jaywan ATM withdrawal transactions and reconciliation references as requested from CBUAE/AEP (without defining detailed formats not provided in the input).</w:t>
        <w:br/>
        <w:t>• Identification of regulatory, operational and access/security requirements related to the Jaywan domestic scheme for ATM transactions.</w:t>
        <w:br/>
        <w:t>• High-level description of discovery sessions and additional requirements gathering for Jaywan mono-badged and co-badged cards (meeting schedule level only, without specific outcomes).</w:t>
      </w:r>
    </w:p>
    <w:p>
      <w:pPr>
        <w:pStyle w:val="Normal"/>
        <w:rPr/>
      </w:pPr>
      <w:r>
        <w:rPr/>
      </w:r>
    </w:p>
    <w:p>
      <w:pPr>
        <w:pStyle w:val="Normal"/>
        <w:rPr/>
      </w:pPr>
      <w:r>
        <w:rPr>
          <w:b/>
          <w:bCs/>
        </w:rPr>
        <w:t>Out of scope:</w:t>
      </w:r>
      <w:r>
        <w:rPr/>
        <w:t xml:space="preserve"> • Detailed POS, e-commerce, tokenised POS transactions and other acquiring channels, except where referenced as background context (e.g. VISA DMS, CBUAE DMS current/to-be flows).</w:t>
        <w:br/>
        <w:t>• Detailed chargeback, dispute management, representment and arbitrations for Jaywan or international schemes (only high-level mention where strictly necessary).</w:t>
        <w:br/>
        <w:t>• Detailed settlement, clearing and reconciliation rules, file formats and GL postings for Jaywan scheme beyond recognising that reconciliation documentation is requested from CBUAE (no detailed technical specifications available in the input).</w:t>
        <w:br/>
        <w:t>• Detailed pricing, interchange, fee structures and commercial models for Jaywan and international schemes.</w:t>
        <w:br/>
        <w:t>• Detailed configuration of digital wallets (Samsung Wallet, Apple Pay, Google Pay) for Jaywan, beyond acknowledging future roadmap per AEP communication.</w:t>
        <w:br/>
        <w:t>• Non-ATM transaction types such as POS purchase, cash advance at branch counters, refunds at POS, e-commerce, and QR-based payments.</w:t>
        <w:br/>
        <w:t>• Detailed technical specifications, interface definitions, message formats (e.g. ISO fields) or vendor-specific configuration for ATM Switch, PowerCARD or Core Banking.</w:t>
        <w:br/>
        <w:t>• Migration strategy for existing card portfolios to Jaywan co-badged cards, including re-carding campaigns and card replacement logistics.</w:t>
        <w:br/>
        <w:t>• Non-BFSI use cases, merchant acquiring onboarding processes and gateway integrations unrelated to the stated ATM withdrawal scenario.</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Support for Jaywan Mono-Badged and Co-Badged Debit Card Issuance in Compliance with CBUAE Mandate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issue Jaywan mono-badged and Jaywan co-badged debit cards in compliance with the central government / CBUAE circular mandating that all licensed financial institutions shall launch Jaywan co-badged cards (mandate reference number 5480/2024 as provided).</w:t>
              <w:br/>
              <w:t>• The bank shall ensure that future debit cards previously issued solely under Mastercard or Visa shall be issued as co-badged cards with Jaywan plus either Mastercard or Visa, thereby supporting both domestic and international transactions.</w:t>
              <w:br/>
              <w:t>• The bank shall ensure that Jaywan mono-badged cards are configured for domestic (and to the extent permitted GCC) usage only, in accordance with AEP communications on card options.</w:t>
              <w:br/>
              <w:t>• The bank shall align card BIN ranges and product setup to clearly distinguish Jaywan mono-badged and Jaywan co-badged debit cards for downstream routing and reporting.</w:t>
              <w:br/>
              <w:t>• The bank shall ensure that customer-facing documentation for new debit cards clearly identifies whether the card is Jaywan mono-badged or Jaywan co-badged in line with CBUAE transparency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Currently only Visa and/or Mastercard debit cards are issued without Jaywan co-badging and without any domestic-only Jaywan mono-badged variant.</w:t>
              <w:br/>
              <w:t>• Currently card BIN tables, product catalogues and customer communications are aligned only to international schemes and do not reflect Jaywan branding or scheme attributes.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Jaywan mono-badged debit card products shall be created and made available to eligible customers for domestic (and applicable GCC) transactions, including ATM cash withdrawals.</w:t>
              <w:br/>
              <w:t>• Jaywan co-badged debit card products shall be created whereby the plastic and digital provisioning shall reflect both the Jaywan badge and the international scheme badge (Visa or Mastercard) in line with AEP guidance.</w:t>
              <w:br/>
              <w:t>• Card BIN ranges, lifecycle rules and scheme attributes shall be updated in card management systems, PowerCARD and ATM switch so that Jaywan cards can be correctly routed for authorisation and reporting.</w:t>
              <w:br/>
              <w:t>• Customer documentation (welcome kits, key facts statements, tariff guides) shall be updated to reference Jaywan and clarify domestic versus international usage for mono-badged and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CBUAE central government circular mandating Jaywan co-badged issuance shall be formally received and recorded by the bank.</w:t>
              <w:br/>
              <w:t>• AEP/CBUAE shall have provided Jaywan scheme participation agreements, BIN allocations and branding guidelines.</w:t>
              <w:br/>
              <w:t>• The bank’s card management system and PowerCARD shall be capable of supporting multi-badge products and associated BIN-level routing attributes.</w:t>
              <w:br/>
              <w:t>• Internal product governance and approval for Jaywan mono-badged and co-badged products shall be completed.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At least one Jaywan mono-badged debit card product code shall be defined and approved in the product system and card management system.</w:t>
              <w:br/>
              <w:t>• At least one Jaywan co-badged debit card product code (Jaywan + Visa or Jaywan + Mastercard) shall be defined and approved in the product system and card management system.</w:t>
              <w:br/>
              <w:t>• Sample plastics for mono-badged and co-badged cards shall be reviewed and found compliant with AEP/CBUAE branding instructions.</w:t>
              <w:br/>
              <w:t>• BIN tables in PowerCARD and ATM switch shall reflect Jaywan BINs and co-badged BINs, and test transactions using test cards shall be successfully recognised as Jaywan products.</w:t>
              <w:br/>
              <w:t>• Customer-facing product information for at least one pilot Jaywan product shall be formally approved by Compliance and Legal.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CBUAE or AEP updates the mandate or changes timelines, the bank shall re-plan product launch dates and update communications accordingly.</w:t>
              <w:br/>
              <w:t>• If AEP has not yet provisioned required BINs or branding material, Jaywan mono-badged and co-badged product rollout shall be deferred while maintaining existing Visa/Mastercard issuance within regulatory allowances.</w:t>
              <w:br/>
              <w:t>• If system constraints prevent multi-badge representation on a single plastic for a specific segment, the bank shall document the limitation and seek regulatory clarification prior to launch for that segment.</w:t>
              <w:br/>
              <w:t>• If GCC acceptance for Jaywan mono-badged cards is delayed or limited, the bank shall restrict such cards to UAE usage only and update customer communication until updated guidance is received.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 Central Government Circular on Jaywan Co-Badged Cards – text excerpt referencing mandate number 5480/2024 ("The central government of UAE has issued a circular that all licence Financial Institutions must launch the Jaywan cobage cards...").</w:t>
              <w:br/>
              <w:t>• AEP / Al Etihad Payments communication – "Jaywan: UAE's new domestic card payment scheme; all your questions answered" and "'Jaywan' the UAE's First Domestic Card Scheme..." describing mono-badge and co-badge options for licensed financial institutions.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ATM Cash Withdrawal Flow for Jaywan Co-Badged Debit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support end-to-end ATM cash withdrawal processing for Jaywan co-badged debit cards in accordance with the defined BA process instructions and CBUAE/AEP expectations for a secure and seamless domestic payment experience.</w:t>
              <w:br/>
              <w:t>• The ATM acquiring system shall capture card data, allow the customer to enter PIN and amount, and send the transaction to the core banking system for further processing.</w:t>
              <w:br/>
              <w:t>• The core banking system shall forward the transaction to PowerCARD (or equivalent card authorisation host), which shall determine whether the transaction is domestic or international and route it to the appropriate scheme (Jaywan domestic or the co-badged international scheme).</w:t>
              <w:br/>
              <w:t>• Based on the authorisation response (approved or rejected) from the relevant scheme and internal limit checks, the ATM shall either dispense cash, return the card and print a receipt (for approvals) or decline without cash dispensation while returning the card (for rejections).</w:t>
              <w:br/>
              <w:t>• The system shall send SMS notifications for both approved and declined ATM withdrawal attempts and ensure that only approved transactions are posted to the customer account at end-of-day.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New capability for Jaywan-specific routing and handling; existing ATM flows are focused on Visa/Mastercard transactions and do not apply Jaywan domestic versus international routing logic for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For Jaywan co-badged debit cards used at ATMs, the ATM switch shall create an authorisation request and send it to core banking, which shall in turn forward to PowerCARD.</w:t>
              <w:br/>
              <w:t>• PowerCARD shall classify the transaction as domestic or international and apply scheme routing rules (Jaywan for domestic, international scheme for cross-border) and issuer risk rules before approving or rejecting.</w:t>
              <w:br/>
              <w:t>• If the transaction is approved, the ATM shall dispense the requested cash, return the card to the customer, print a transaction receipt, and the bank’s notification system shall send an SMS with transaction details. The customer account shall be updated with the finalised transaction during EOD processing.</w:t>
              <w:br/>
              <w:t>• If the transaction is rejected, the ATM shall not dispense cash, shall return the card to the customer, and shall display a decline message. The bank’s notification system shall send an SMS decline notification. No financial entry shall be posted to the customer account.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Jaywan co-badged debit card products shall be active and cards shall be issued to customers with linked CASA accounts.</w:t>
              <w:br/>
              <w:t>• ATM acquiring system, core banking system and PowerCARD shall be integrated and configured to support Jaywan products and scheme routing logic.</w:t>
              <w:br/>
              <w:t>• SMS notification infrastructure shall be active and customer mobile numbers shall be registered for alerts in accordance with bank policy.</w:t>
              <w:br/>
              <w:t>• Sufficient cash replenishment and ATM operational readiness shall be ensured for the pilot and production rollout.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 test Jaywan co-badged card used at a domestic ATM shall result in a successful withdrawal where cash is dispensed, card is returned, a receipt is printed and an SMS approval is received; the transaction shall appear in the customer account after EOD.</w:t>
              <w:br/>
              <w:t>• A test Jaywan co-badged card transaction that is declined due to insufficient funds shall not dispense cash, shall return the card, shall display an appropriate decline message, and the customer shall receive an SMS decline notification; no posting shall appear in the customer account after EOD.</w:t>
              <w:br/>
              <w:t>• A test Jaywan co-badged card used in a scenario configured as international (as per routing rules) shall route via the international scheme and behave consistently with the bank’s existing authorisation logic, while still generating correct SMS notifications and postings.</w:t>
              <w:br/>
              <w:t>• Audit logs for at least three test cases (approval, insufficient funds decline, technical decline) shall show that transaction messages traversed ATM → Core Banking → PowerCARD → Scheme → PowerCARD → ATM as expected.</w:t>
              <w:br/>
              <w:t>• All steps defined in the BA process instructions shall be traceable to system logs or ATM journals for compliance audit.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customer enters an incorrect PIN, the ATM shall decline the transaction with a PIN-related error, shall not send an authorisation request to the scheme, shall not dispense cash, shall return the card, and may trigger an SMS decline notification according to the bank’s security policy.</w:t>
              <w:br/>
              <w:t>• If the card chip or magnetic stripe cannot be read, the ATM shall display a technical error, shall not proceed to PIN entry, shall not send any transaction to the core banking system, and shall return the card to the customer.</w:t>
              <w:br/>
              <w:t>• If the network between ATM and core banking is unavailable, the ATM shall decline the transaction, display an appropriate technical message, shall not dispense cash, shall return the card, and no posting shall be created in the customer account.</w:t>
              <w:br/>
              <w:t>• If the network between core banking / PowerCARD and the scheme is unavailable or times out, the system shall treat the transaction as a decline, ensure no double-posting occurs, and send an appropriate decline response back to the ATM; an SMS decline notification may be sent subject to bank policy.</w:t>
              <w:br/>
              <w:t>• If the customer or card exceeds configured daily withdrawal limits or velocity controls, PowerCARD shall decline the transaction for limit breach, the ATM shall not dispense cash but return the card, and an SMS decline notification shall be issued.</w:t>
              <w:br/>
              <w:t>• If an ATM hardware failure occurs after authorisation approval but before cash dispensation (e.g. dispenser jam), the bank shall follow its existing reversal or adjustment process as per scheme and operational guidelines; this detailed handling is out-of-scope for this document but must ensure no financial loss to the customer.</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BA Process Instructions provided in the user request describing ATM withdrawal steps for Jaywan co-badged debit cards.</w:t>
              <w:br/>
              <w:t>• Al Etihad Payments communication – "Readiness of the financial infrastructure to activate Jaywan locally and globally" confirming infrastructure readiness.</w:t>
              <w:br/>
              <w:t>• Internal meeting minutes – references to discovery sessions and dual messaging system processes with Card Ops and GBO-ATM/CDM, establishing the focus on transaction processing.</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Domestic versus International Routing for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PowerCARD (or equivalent card host) shall determine whether a Jaywan co-badged ATM transaction is domestic or international and shall route the transaction to the appropriate scheme (Jaywan domestic or the co-badged international scheme) in accordance with CBUAE and AEP mandates.</w:t>
              <w:br/>
              <w:t>• The routing decision shall be based on a combination of factors such as card BIN, card product configuration, transaction country, ATM location, and scheme participation rules defined by AEP.</w:t>
              <w:br/>
              <w:t>• For domestic ATM transactions within the UAE, Jaywan shall be the default routing scheme for eligible co-badged cards to support reduction of payment costs and financial sovereignty, unless a specific regulatory or scheme exception has been defined.</w:t>
              <w:br/>
              <w:t>• For international ATM transactions outside the UAE (or where Jaywan is not supported), the transaction shall automatically be routed via the co-badged international network (Visa or Mastercard) as configured.</w:t>
              <w:br/>
              <w:t>• The bank shall ensure that routing rules are fully traceable and documented for audit and CBUAE supervisory review.</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Currently routing for ATM transactions is driven purely by international scheme rules (e.g. Visa, Mastercard) and does not include Jaywan domestic routing for co-badged cards.</w:t>
              <w:br/>
              <w:t>• Domestic and international routing differentiation is not presently tied to Jaywan-specific BINs or scheme mandates.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PowerCARD shall maintain separate routing tables and scheme selection rules for Jaywan and international schemes for all co-badged cards.</w:t>
              <w:br/>
              <w:t>• When an ATM transaction is originated in the UAE and the card is Jaywan co-badged, the authorisation request shall first be considered for Jaywan routing; if Jaywan is applicable, the transaction shall be processed via Jaywan rails.</w:t>
              <w:br/>
              <w:t>• When an ATM transaction is originated outside the UAE or where Jaywan is not available, PowerCARD shall route the transaction through the co-badged international scheme, maintaining full compliance with CBUAE guidelines.</w:t>
              <w:br/>
              <w:t>• Routing decisions and outcomes shall be logged and available for operations, reconciliation and regulator reviews, indicating whether Jaywan or an international scheme handled each transaction.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Jaywan BINs and co-badged BINs shall be clearly defined and loaded in PowerCARD and ATM switch routing tables.</w:t>
              <w:br/>
              <w:t>• Country and ATM location codes shall be correctly configured and maintained in the acquiring system and core banking.</w:t>
              <w:br/>
              <w:t>• AEP/CBUAE guidance on domestic versus international applicability for Jaywan shall be available and reviewed by the bank.</w:t>
              <w:br/>
              <w:t>• Integration tests between PowerCARD, ATM Switch and scheme networks shall be successfully completed for both domestic and international paths.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 domestic ATM transaction using a Jaywan co-badged test card at a UAE ATM shall route through Jaywan, as evidenced by logs and scheme authorisation responses.</w:t>
              <w:br/>
              <w:t>• An international ATM transaction scenario (e.g. simulated foreign ATM or network setup) using the same co-badged test card shall route through the configured international scheme and not through Jaywan.</w:t>
              <w:br/>
              <w:t>• Operations reporting for a test period shall show clear segregation of ATM transactions processed via Jaywan versus those processed via international schemes.</w:t>
              <w:br/>
              <w:t>• CBUAE/AEP or internal compliance review shall confirm that for domestic ATM transactions Jaywan has been used as the primary routing scheme for co-badged cards, except for documented exceptions.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Jaywan network is temporarily unavailable while the international scheme is available, the bank shall either decline the domestic transaction or, where allowed by regulation and scheme rules, temporarily route via the international network; such behaviour shall be documented and agreed with Compliance.</w:t>
              <w:br/>
              <w:t>• If routing data (e.g. card BIN mapping or country code) is missing or inconsistent, the transaction shall be declined to avoid misrouting, and an incident shall be raised to rectify configuration.</w:t>
              <w:br/>
              <w:t>• If future bilateral agreements (e.g. with India) become active, additional routing rules shall be configured for those corridors in line with AEP guidance, potentially treating some foreign locations as Jaywan-enabled; such specifics are outside the current input and shall be defined later.</w:t>
              <w:br/>
              <w:t>• If a card is incorrectly configured as co-badged in the system while the physical card is not, operations shall correct the configuration and card issuance process to avoid customer impact.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Context text "The central government of UAE has issued a circular that all licence Financial Institutions must launch the Jaywan cobage cards... according to which cards must support with both domestic as well as International transactions. The card routing must be accordingly configured."</w:t>
              <w:br/>
              <w:t>• Al Etihad Payments communications on readiness of infrastructure to activate Jaywan locally and globally and availability of mono-badge and co-badge options.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Customer Notification for Jaywan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send SMS notifications to customers for both approved and declined ATM withdrawal transactions performed using Jaywan mono-badged or Jaywan co-badged debit cards, as per the BA process instructions.</w:t>
              <w:br/>
              <w:t>• For approved transactions, the SMS shall contain core transaction details such as masked card number, transaction amount, channel (ATM), date and time, and indicative location as per current bank standards.</w:t>
              <w:br/>
              <w:t>• For declined transactions, the SMS shall indicate that the transaction was declined and may provide a generic decline reason category, without exposing sensitive internal codes.</w:t>
              <w:br/>
              <w:t>• The bank shall ensure that no SMS is sent where doing so would violate regulatory or security obligations (e.g. unsubscribed customers, do-not-disturb rules) and shall comply with UAE data protection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SMS alerts are in place primarily for Visa/Mastercard transactions and may not explicitly identify Jaywan transactions or follow the new Jaywan-specific flows described in the BA instructions.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Approved Jaywan ATM withdrawal transactions shall trigger SMS alerts after authorisation, aligned with existing SMS infrastructure and templates, and shall be flagged appropriately for Jaywan products in back-end systems.</w:t>
              <w:br/>
              <w:t>• Declined Jaywan ATM withdrawal attempts shall also trigger SMS alerts indicating decline status, without creating any financial posting in the customer account.</w:t>
              <w:br/>
              <w:t>• Customer preferences and regulatory consents for SMS alerts shall be honoured; where a customer has opted out, no SMS shall be sent even if the transaction is processed.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Customer mobile numbers and SMS consent preferences shall be captured and maintained in core banking or CRM systems.</w:t>
              <w:br/>
              <w:t>• SMS gateway and alerting platform shall be operational and integrated with core banking / PowerCARD.</w:t>
              <w:br/>
              <w:t>• Message templates for Jaywan transactions shall be defined and approved by Compliance and Communications teams.</w:t>
              <w:br/>
              <w:t>• Appropriate masking and data protection controls shall be implemented in SMS content.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When a test approved Jaywan ATM transaction is executed, an SMS approval notification shall be received by the customer within the bank’s defined SLA, and the message shall correctly reflect amount, channel and time.</w:t>
              <w:br/>
              <w:t>• When a test declined Jaywan ATM transaction is executed (e.g. insufficient funds), an SMS decline notification shall be received, and the customer account shall show no posted transaction.</w:t>
              <w:br/>
              <w:t>• When a test customer without SMS consent executes a Jaywan ATM transaction, no SMS shall be generated while the transaction itself is processed correctly.</w:t>
              <w:br/>
              <w:t>• Logs from the alerting platform shall clearly identify at least three test Jaywan transactions (approval, insufficient funds, wrong PIN, where applicable) with proper status and content routing.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SMS gateway is unavailable, transactions shall still be processed, but SMS messages shall be queued if possible or dropped according to the bank’s business continuity procedures; no duplicate financial transactions shall occur.</w:t>
              <w:br/>
              <w:t>• If a mobile number is invalid or unreachable, the SMS provider may fail delivery, but the ATM transaction shall not be impacted; operations may handle invalid contacts via existing processes.</w:t>
              <w:br/>
              <w:t>• If the customer later disputes a transaction claiming non-receipt of SMS, the bank shall rely on transaction logs and SMS gateway logs for investigation in line with internal dispute handling procedures (detailed dispute process is out-of-scope here).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BA Process Instructions – steps 6.1.2 and 6.2.3 stating that transaction details are alerted by SMS for approvals and that decline messages are provided by SMS for rejections.</w:t>
              <w:br/>
              <w:t>• Internal context references to current SMS process flows ("Documented the process flow for current SMS (ATM, POS)").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End-of-Day Posting for Jaywan ATM Withdrawal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ensure that financial postings for approved Jaywan ATM withdrawal transactions are reflected in the customer’s account at end-of-day (EOD), as per the BA process instructions.</w:t>
              <w:br/>
              <w:t>• For approved transactions, a corresponding debit entry shall be created against the customer’s CASA or linked account, with appropriate narrative and scheme identification for Jaywan.</w:t>
              <w:br/>
              <w:t>• For declined transactions, no financial posting shall be created in the customer’s account, even though an authorisation attempt may have occurred.</w:t>
              <w:br/>
              <w:t>• The EOD batch processes shall be designed to reconcile authorised, completed ATM withdrawals with postings to avoid duplicates or omissions.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EOD posting processes are aligned to Visa/Mastercard ATM withdrawals and may not specifically tag or treat Jaywan transactions.</w:t>
              <w:br/>
              <w:t>• Current configuration may not distinguish between Jaywan domestic and international scheme postings in GL and account statements.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Approved Jaywan ATM withdrawals shall be captured in transaction logs and queued for EOD posting against the customer’s account.</w:t>
              <w:br/>
              <w:t>• The EOD batch shall post the net set of completed approved ATM withdrawals, ensuring that each approved Jaywan transaction appears as a single debit entry in the account history.</w:t>
              <w:br/>
              <w:t>• Declined or reversed Jaywan transactions shall not create postings, and any temporary authorisation holds shall be released as per existing policy.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Core banking EOD batch framework shall be operational and capable of processing new Jaywan transaction codes.</w:t>
              <w:br/>
              <w:t>• Mapping between ATM transaction codes, Jaywan scheme codes and account posting codes shall be defined and configured.</w:t>
              <w:br/>
              <w:t>• Reconciliation process between ATM logs, PowerCARD and core banking shall be defined for Jaywan transactions (detailed reconciliation file formats not provided in input).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 test approved Jaywan ATM withdrawal shall appear as a single debit entry in the customer’s account after EOD posting with correct amount and transaction description.</w:t>
              <w:br/>
              <w:t>• A test declined Jaywan ATM transaction shall not create any posting in the customer’s account after EOD.</w:t>
              <w:br/>
              <w:t>• EOD reports shall show that the number and total amount of Jaywan ATM postings in core banking match the approved transactions recorded in PowerCARD for the day.</w:t>
              <w:br/>
              <w:t>• Reconciliation checks for a pilot period shall show no unexplained variances between ATM logs, card host data and core banking postings for Jaywan withdrawals.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EOD batch processing fails or is delayed, the bank shall follow its standard batch recovery procedures to ensure that no Jaywan ATM transactions are double-posted or missed.</w:t>
              <w:br/>
              <w:t>• If a technical error leads to non-posting of an approved Jaywan transaction, operations shall use existing manual adjustment procedures to post the missing entry after investigation.</w:t>
              <w:br/>
              <w:t>• If a duplicate posting is detected, the bank shall reverse the duplicate entry following existing error correction workflows while ensuring no customer detriment.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BA Process Instructions – step 6.1.3 specifying that transaction details are updated in the customer's account at EOD and step 6.2.3 specifying that there will be no entry in the customer's account for rejected transactions.</w:t>
              <w:br/>
              <w:t>• Internal meeting notes indicating requested documentation on reconciliation and original reports shared from CBUAE.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Operational Reporting and Reconciliation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generate operational and reconciliation reports for Jaywan ATM transactions to support internal controls, CBUAE/AEP reporting and audit requirements.</w:t>
              <w:br/>
              <w:t>• Reports shall at minimum distinguish Jaywan mono-badged and Jaywan co-badged ATM transactions from non-Jaywan transactions, enabling monitoring of adoption and performance.</w:t>
              <w:br/>
              <w:t>• The bank shall request and align its reporting structures with original reports and reconciliation documentation provided by CBUAE/AEP.</w:t>
              <w:br/>
              <w:t>• Report formats, frequencies and distribution shall be aligned with regulatory expectations and internal risk management needs, acknowledging that detailed formats are not provided in the current input.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reports are primarily focused on Visa/Mastercard and internal scheme activity; Jaywan-specific fields and segregation are not yet available.</w:t>
              <w:br/>
              <w:t>• Reconciliation documentation for Jaywan has only recently been requested and original reports have been shared from CBUAE as per the context.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create or update daily and monthly transaction reports to include Jaywan-specific dimensions (scheme type, mono-badge/co-badge, domestic/international flag).</w:t>
              <w:br/>
              <w:t>• The bank shall ensure that reconciliation between ATM, PowerCARD, core banking and any Jaywan scheme settlement files is supported by suitable reports and control checks.</w:t>
              <w:br/>
              <w:t>• Reports shall be used in monitoring scheme performance, cost optimisation and compliance with the objective of reducing payment costs and improving digital payments adoption.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Original report templates and reconciliation guidance from CBUAE/AEP shall be received and analysed.</w:t>
              <w:br/>
              <w:t>• Data elements required for Jaywan identification (e.g. scheme code, product type) shall be captured in transaction records.</w:t>
              <w:br/>
              <w:t>• Reporting tools or data warehouse structures shall be updated to store and process Jaywan-related fields.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 daily operational report shall list all Jaywan ATM transactions executed on a given day, with segregation by mono-badged and co-badged cards.</w:t>
              <w:br/>
              <w:t>• A reconciliation report shall demonstrate matching totals between ATM logs, PowerCARD and core banking postings for Jaywan ATM withdrawals over at least three consecutive days.</w:t>
              <w:br/>
              <w:t>• At least one monthly summary report shall provide aggregated volumes and values for Jaywan versus non-Jaywan ATM transactions to management.</w:t>
              <w:br/>
              <w:t>• Evidence shall exist that reports have been reviewed by operations or finance teams, with any identified discrepancies tracked for resolution.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CBUAE/AEP changes reporting requirements or provides updated templates, the bank shall adjust its internal reporting structures accordingly within an agreed implementation window.</w:t>
              <w:br/>
              <w:t>• If some data fields required for Jaywan reporting are not yet available in source systems, the bank shall implement interim manual workarounds and plan system enhancements to capture the missing data.</w:t>
              <w:br/>
              <w:t>• In case of report generation failures or data quality issues, the bank shall follow its existing incident and data remediation protocols to restore reporting accuracy.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Meeting notes referencing "7. Reports – Clarified queries with business and requested for original report from CBUAE – R has shared the original report." and "F had requested for documentation on the reconciliation".</w:t>
              <w:br/>
              <w:t>• AEP / CBUAE communications positioning Jaywan as a tool to reduce payment costs and strengthen digital payments, requiring measurement through reporting.</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Discovery and Stakeholder Engagement for Jaywan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conduct structured discovery sessions for additional requirements related to Jaywan mono-badged cards and Jaywan co-badged cards, as per the meeting schedule outlined in the provided context.</w:t>
              <w:br/>
              <w:t>• Discovery sessions shall cover process documentation, clarification of queries between IT and Business, exploration of applicability of existing VISA DMS processes for Jaywan, and scoping of POS tokenised transactions where relevant for future phases.</w:t>
              <w:br/>
              <w:t>• The bank shall compile and maintain minutes of discussion, open queries, and decisions taken in each discovery session and shall use them to refine detailed requirements and designs for Jaywan implementation.</w:t>
              <w:br/>
              <w:t>• Stakeholder groups including Business, IT, Card Operations, GBO-ATM/CDM, Finance and external partners (AEP, schemes) shall be engaged as needed.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Initial discovery meetings have been held, including review of dual messaging system process steps and documentation of current SMS, Visa DMS and to-be CBUAE DMS flows; however, Jaywan ATM-specific requirements are at an early stage of definition.</w:t>
              <w:br/>
              <w:t>• Queries to AEP are being collated but not all responses are yet available.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A structured discovery schedule shall be executed, covering all key domains (issuance, transaction processing, settlement, reconciliation, reporting, disputes, digital wallets) for Jaywan.</w:t>
              <w:br/>
              <w:t>• Outputs from these sessions shall feed into iterative updates of the BRD, solution design and test planning.</w:t>
              <w:br/>
              <w:t>• Queries requiring AEP or CBUAE clarification shall be tracked to closure, with decisions recorded and reflected in final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Agreement on a detailed discovery calendar and participant list, including cross-functional stakeholders.</w:t>
              <w:br/>
              <w:t>• Availability of prior documentation on current processes (e.g. Visa DMS, SMS flows) and AEP/CBUAE Jaywan scheme materials.</w:t>
              <w:br/>
              <w:t>• Defined governance for documenting and approving meeting minutes and resulting 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 discovery sessions calendar for Jaywan mono-badged and co-badged cards shall be prepared, shared and agreed with all relevant stakeholders.</w:t>
              <w:br/>
              <w:t>• Minutes of at least three discovery sessions shall be documented, including decisions and open items.</w:t>
              <w:br/>
              <w:t>• A consolidated query log to AEP/CBUAE shall exist, with status tracking for each query.</w:t>
              <w:br/>
              <w:t>• The BRD and related artefacts shall be updated at least once following the initial discovery cycle to reflect clarified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key stakeholders are not available for scheduled discovery sessions, the meetings shall be rescheduled, or inputs shall be captured via alternate channels (e.g. email, separate workshops).</w:t>
              <w:br/>
              <w:t>• If AEP/CBUAE responses are delayed, requirements dependent on those clarifications shall be flagged as provisional and treated as open questions until confirmation.</w:t>
              <w:br/>
              <w:t>• If internal disagreements arise between Business and IT regarding applicability of Visa DMS processes to Jaywan, the issue shall be escalated to the programme steering committee for decision.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Meeting schedule titled "Discovery sessions for additional requirements for Jaywan Mono badged cards, Jaywan co badged cards" detailing meeting title, date and time.</w:t>
              <w:br/>
              <w:t>• Meeting minutes excerpts including: "Review process documentation, clarification of queries between IT and Business, VISA process clarification and how it can be adopted for JMB/JCB" and references to TCS confidential meeting communications.</w:t>
            </w:r>
          </w:p>
        </w:tc>
      </w:tr>
    </w:tbl>
    <w:p>
      <w:pPr>
        <w:pStyle w:val="Normal"/>
        <w:rPr/>
      </w:pPr>
      <w:r>
        <w:rPr/>
      </w:r>
    </w:p>
    <w:p>
      <w:pPr>
        <w:pStyle w:val="Normal"/>
        <w:rPr>
          <w:b/>
          <w:bCs/>
        </w:rPr>
      </w:pPr>
      <w:r>
        <w:rPr>
          <w:b/>
          <w:bCs/>
        </w:rPr>
        <w:t>Requirement Traceability Matrix</w:t>
      </w:r>
    </w:p>
    <w:tbl>
      <w:tblPr>
        <w:tblW w:w="9417" w:type="dxa"/>
        <w:jc w:val="left"/>
        <w:tblInd w:w="55" w:type="dxa"/>
        <w:tblLayout w:type="fixed"/>
        <w:tblCellMar>
          <w:top w:w="55" w:type="dxa"/>
          <w:left w:w="55" w:type="dxa"/>
          <w:bottom w:w="55" w:type="dxa"/>
          <w:right w:w="55" w:type="dxa"/>
        </w:tblCellMar>
      </w:tblPr>
      <w:tblGrid>
        <w:gridCol w:w="1872"/>
        <w:gridCol w:w="1872"/>
        <w:gridCol w:w="1872"/>
        <w:gridCol w:w="2351"/>
        <w:gridCol w:w="1450"/>
      </w:tblGrid>
      <w:tr>
        <w:trPr/>
        <w:tc>
          <w:tcPr>
            <w:tcW w:w="1872" w:type="dxa"/>
            <w:tcBorders>
              <w:top w:val="single" w:sz="8" w:space="0" w:color="000000"/>
              <w:left w:val="single" w:sz="8" w:space="0" w:color="000000"/>
              <w:bottom w:val="single" w:sz="8" w:space="0" w:color="000000"/>
            </w:tcBorders>
          </w:tcPr>
          <w:p>
            <w:pPr>
              <w:pStyle w:val="Normal"/>
              <w:spacing w:before="0" w:after="160"/>
              <w:rPr/>
            </w:pPr>
            <w:r>
              <w:rPr/>
              <w:t>REQ ID</w:t>
            </w:r>
          </w:p>
        </w:tc>
        <w:tc>
          <w:tcPr>
            <w:tcW w:w="1872" w:type="dxa"/>
            <w:tcBorders>
              <w:top w:val="single" w:sz="8" w:space="0" w:color="000000"/>
              <w:left w:val="single" w:sz="8" w:space="0" w:color="000000"/>
              <w:bottom w:val="single" w:sz="8" w:space="0" w:color="000000"/>
            </w:tcBorders>
          </w:tcPr>
          <w:p>
            <w:pPr>
              <w:pStyle w:val="Normal"/>
              <w:spacing w:before="0" w:after="160"/>
              <w:rPr/>
            </w:pPr>
            <w:r>
              <w:rPr/>
              <w:t>Description</w:t>
            </w:r>
          </w:p>
        </w:tc>
        <w:tc>
          <w:tcPr>
            <w:tcW w:w="1872" w:type="dxa"/>
            <w:tcBorders>
              <w:top w:val="single" w:sz="8" w:space="0" w:color="000000"/>
              <w:left w:val="single" w:sz="8" w:space="0" w:color="000000"/>
              <w:bottom w:val="single" w:sz="8" w:space="0" w:color="000000"/>
            </w:tcBorders>
          </w:tcPr>
          <w:p>
            <w:pPr>
              <w:pStyle w:val="Normal"/>
              <w:spacing w:before="0" w:after="160"/>
              <w:rPr/>
            </w:pPr>
            <w:r>
              <w:rPr/>
              <w:t>Source Channel</w:t>
            </w:r>
          </w:p>
        </w:tc>
        <w:tc>
          <w:tcPr>
            <w:tcW w:w="2351" w:type="dxa"/>
            <w:tcBorders>
              <w:top w:val="single" w:sz="8" w:space="0" w:color="000000"/>
              <w:left w:val="single" w:sz="8" w:space="0" w:color="000000"/>
              <w:bottom w:val="single" w:sz="8" w:space="0" w:color="000000"/>
            </w:tcBorders>
          </w:tcPr>
          <w:p>
            <w:pPr>
              <w:pStyle w:val="Normal"/>
              <w:spacing w:before="0" w:after="160"/>
              <w:rPr/>
            </w:pPr>
            <w:r>
              <w:rPr/>
              <w:t>Impacted System</w:t>
            </w:r>
          </w:p>
        </w:tc>
        <w:tc>
          <w:tcPr>
            <w:tcW w:w="1450"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Outcome</w:t>
            </w:r>
          </w:p>
        </w:tc>
      </w:tr>
      <w:tr>
        <w:trPr/>
        <w:tc>
          <w:tcPr>
            <w:tcW w:w="1872" w:type="dxa"/>
            <w:tcBorders>
              <w:left w:val="single" w:sz="8" w:space="0" w:color="000000"/>
              <w:bottom w:val="single" w:sz="8" w:space="0" w:color="000000"/>
            </w:tcBorders>
          </w:tcPr>
          <w:p>
            <w:r>
              <w:t>BR-001</w:t>
            </w:r>
          </w:p>
        </w:tc>
        <w:tc>
          <w:tcPr>
            <w:tcW w:w="1872" w:type="dxa"/>
            <w:tcBorders>
              <w:left w:val="single" w:sz="8" w:space="0" w:color="000000"/>
              <w:bottom w:val="single" w:sz="8" w:space="0" w:color="000000"/>
            </w:tcBorders>
          </w:tcPr>
          <w:p>
            <w:r>
              <w:t>Issuance of Jaywan mono-badged and co-badged debit cards in compliance with CBUAE mandate.</w:t>
            </w:r>
          </w:p>
        </w:tc>
        <w:tc>
          <w:tcPr>
            <w:tcW w:w="1872" w:type="dxa"/>
            <w:tcBorders>
              <w:left w:val="single" w:sz="8" w:space="0" w:color="000000"/>
              <w:bottom w:val="single" w:sz="8" w:space="0" w:color="000000"/>
            </w:tcBorders>
          </w:tcPr>
          <w:p>
            <w:r>
              <w:t>Regulatory Mandate / Card Issuance Portfolio</w:t>
            </w:r>
          </w:p>
        </w:tc>
        <w:tc>
          <w:tcPr>
            <w:tcW w:w="2351" w:type="dxa"/>
            <w:tcBorders>
              <w:left w:val="single" w:sz="8" w:space="0" w:color="000000"/>
              <w:bottom w:val="single" w:sz="8" w:space="0" w:color="000000"/>
            </w:tcBorders>
          </w:tcPr>
          <w:p>
            <w:r>
              <w:t>Card Management System; PowerCARD; Core Banking; Customer Communications</w:t>
            </w:r>
          </w:p>
        </w:tc>
        <w:tc>
          <w:tcPr>
            <w:tcW w:w="1450" w:type="dxa"/>
            <w:tcBorders>
              <w:left w:val="single" w:sz="8" w:space="0" w:color="000000"/>
              <w:bottom w:val="single" w:sz="8" w:space="0" w:color="000000"/>
              <w:right w:val="single" w:sz="8" w:space="0" w:color="000000"/>
            </w:tcBorders>
          </w:tcPr>
          <w:p>
            <w:r>
              <w:t>Jaywan-compliant debit card products are available for customers and correctly configured for routing.</w:t>
            </w:r>
          </w:p>
        </w:tc>
      </w:tr>
      <w:tr>
        <w:tc>
          <w:tcPr>
            <w:tcW w:type="dxa" w:w="1872"/>
          </w:tcPr>
          <w:p>
            <w:r>
              <w:t>BR-002</w:t>
            </w:r>
          </w:p>
        </w:tc>
        <w:tc>
          <w:tcPr>
            <w:tcW w:type="dxa" w:w="1872"/>
          </w:tcPr>
          <w:p>
            <w:r>
              <w:t>End-to-end ATM withdrawal processing for Jaywan co-badged debit cards.</w:t>
            </w:r>
          </w:p>
        </w:tc>
        <w:tc>
          <w:tcPr>
            <w:tcW w:type="dxa" w:w="1872"/>
          </w:tcPr>
          <w:p>
            <w:r>
              <w:t>ATM Channel / Regulatory Mandate</w:t>
            </w:r>
          </w:p>
        </w:tc>
        <w:tc>
          <w:tcPr>
            <w:tcW w:type="dxa" w:w="2351"/>
          </w:tcPr>
          <w:p>
            <w:r>
              <w:t>ATM Switch; ATM Devices; Core Banking; PowerCARD; SMS Gateway</w:t>
            </w:r>
          </w:p>
        </w:tc>
        <w:tc>
          <w:tcPr>
            <w:tcW w:type="dxa" w:w="1450"/>
          </w:tcPr>
          <w:p>
            <w:r>
              <w:t>Customers can perform Jaywan co-badged ATM withdrawals with correct approvals, declines and postings.</w:t>
            </w:r>
          </w:p>
        </w:tc>
      </w:tr>
      <w:tr>
        <w:tc>
          <w:tcPr>
            <w:tcW w:type="dxa" w:w="1872"/>
          </w:tcPr>
          <w:p>
            <w:r>
              <w:t>BR-003</w:t>
            </w:r>
          </w:p>
        </w:tc>
        <w:tc>
          <w:tcPr>
            <w:tcW w:type="dxa" w:w="1872"/>
          </w:tcPr>
          <w:p>
            <w:r>
              <w:t>Routing of Jaywan co-badged ATM transactions between domestic Jaywan and international schemes.</w:t>
            </w:r>
          </w:p>
        </w:tc>
        <w:tc>
          <w:tcPr>
            <w:tcW w:type="dxa" w:w="1872"/>
          </w:tcPr>
          <w:p>
            <w:r>
              <w:t>Regulatory Mandate / Scheme Rules</w:t>
            </w:r>
          </w:p>
        </w:tc>
        <w:tc>
          <w:tcPr>
            <w:tcW w:type="dxa" w:w="2351"/>
          </w:tcPr>
          <w:p>
            <w:r>
              <w:t>PowerCARD; ATM Switch; Network Interfaces</w:t>
            </w:r>
          </w:p>
        </w:tc>
        <w:tc>
          <w:tcPr>
            <w:tcW w:type="dxa" w:w="1450"/>
          </w:tcPr>
          <w:p>
            <w:r>
              <w:t>Transactions are correctly routed to Jaywan for domestic and to international schemes for cross-border usage.</w:t>
            </w:r>
          </w:p>
        </w:tc>
      </w:tr>
      <w:tr>
        <w:tc>
          <w:tcPr>
            <w:tcW w:type="dxa" w:w="1872"/>
          </w:tcPr>
          <w:p>
            <w:r>
              <w:t>BR-004</w:t>
            </w:r>
          </w:p>
        </w:tc>
        <w:tc>
          <w:tcPr>
            <w:tcW w:type="dxa" w:w="1872"/>
          </w:tcPr>
          <w:p>
            <w:r>
              <w:t>SMS notifications for approved and declined Jaywan ATM transactions.</w:t>
            </w:r>
          </w:p>
        </w:tc>
        <w:tc>
          <w:tcPr>
            <w:tcW w:type="dxa" w:w="1872"/>
          </w:tcPr>
          <w:p>
            <w:r>
              <w:t>Customer Service / Security Controls</w:t>
            </w:r>
          </w:p>
        </w:tc>
        <w:tc>
          <w:tcPr>
            <w:tcW w:type="dxa" w:w="2351"/>
          </w:tcPr>
          <w:p>
            <w:r>
              <w:t>Notification Platform; Core Banking; PowerCARD</w:t>
            </w:r>
          </w:p>
        </w:tc>
        <w:tc>
          <w:tcPr>
            <w:tcW w:type="dxa" w:w="1450"/>
          </w:tcPr>
          <w:p>
            <w:r>
              <w:t>Customers receive timely alerts for Jaywan ATM transaction attempts and outcomes.</w:t>
            </w:r>
          </w:p>
        </w:tc>
      </w:tr>
      <w:tr>
        <w:tc>
          <w:tcPr>
            <w:tcW w:type="dxa" w:w="1872"/>
          </w:tcPr>
          <w:p>
            <w:r>
              <w:t>BR-005</w:t>
            </w:r>
          </w:p>
        </w:tc>
        <w:tc>
          <w:tcPr>
            <w:tcW w:type="dxa" w:w="1872"/>
          </w:tcPr>
          <w:p>
            <w:r>
              <w:t>EOD posting of approved Jaywan ATM withdrawals to customer accounts.</w:t>
            </w:r>
          </w:p>
        </w:tc>
        <w:tc>
          <w:tcPr>
            <w:tcW w:type="dxa" w:w="1872"/>
          </w:tcPr>
          <w:p>
            <w:r>
              <w:t>Core Banking Operations</w:t>
            </w:r>
          </w:p>
        </w:tc>
        <w:tc>
          <w:tcPr>
            <w:tcW w:type="dxa" w:w="2351"/>
          </w:tcPr>
          <w:p>
            <w:r>
              <w:t>Core Banking; PowerCARD; Reconciliation Tools</w:t>
            </w:r>
          </w:p>
        </w:tc>
        <w:tc>
          <w:tcPr>
            <w:tcW w:type="dxa" w:w="1450"/>
          </w:tcPr>
          <w:p>
            <w:r>
              <w:t>Only approved Jaywan ATM withdrawals are posted to customer accounts at EOD without duplicates.</w:t>
            </w:r>
          </w:p>
        </w:tc>
      </w:tr>
      <w:tr>
        <w:tc>
          <w:tcPr>
            <w:tcW w:type="dxa" w:w="1872"/>
          </w:tcPr>
          <w:p>
            <w:r>
              <w:t>BR-006</w:t>
            </w:r>
          </w:p>
        </w:tc>
        <w:tc>
          <w:tcPr>
            <w:tcW w:type="dxa" w:w="1872"/>
          </w:tcPr>
          <w:p>
            <w:r>
              <w:t>Operational and reconciliation reporting for Jaywan ATM transactions.</w:t>
            </w:r>
          </w:p>
        </w:tc>
        <w:tc>
          <w:tcPr>
            <w:tcW w:type="dxa" w:w="1872"/>
          </w:tcPr>
          <w:p>
            <w:r>
              <w:t>Operations / Finance / Regulatory Reporting</w:t>
            </w:r>
          </w:p>
        </w:tc>
        <w:tc>
          <w:tcPr>
            <w:tcW w:type="dxa" w:w="2351"/>
          </w:tcPr>
          <w:p>
            <w:r>
              <w:t>Reporting Systems; Data Warehouse; Core Banking; PowerCARD</w:t>
            </w:r>
          </w:p>
        </w:tc>
        <w:tc>
          <w:tcPr>
            <w:tcW w:type="dxa" w:w="1450"/>
          </w:tcPr>
          <w:p>
            <w:r>
              <w:t>Jaywan ATM transactions are monitored and reconciled through dedicated reports.</w:t>
            </w:r>
          </w:p>
        </w:tc>
      </w:tr>
      <w:tr>
        <w:tc>
          <w:tcPr>
            <w:tcW w:type="dxa" w:w="1872"/>
          </w:tcPr>
          <w:p>
            <w:r>
              <w:t>BR-007</w:t>
            </w:r>
          </w:p>
        </w:tc>
        <w:tc>
          <w:tcPr>
            <w:tcW w:type="dxa" w:w="1872"/>
          </w:tcPr>
          <w:p>
            <w:r>
              <w:t>Structured discovery and stakeholder engagement for Jaywan requirements.</w:t>
            </w:r>
          </w:p>
        </w:tc>
        <w:tc>
          <w:tcPr>
            <w:tcW w:type="dxa" w:w="1872"/>
          </w:tcPr>
          <w:p>
            <w:r>
              <w:t>Programme Governance</w:t>
            </w:r>
          </w:p>
        </w:tc>
        <w:tc>
          <w:tcPr>
            <w:tcW w:type="dxa" w:w="2351"/>
          </w:tcPr>
          <w:p>
            <w:r>
              <w:t>N/A – Process and Documentation</w:t>
            </w:r>
          </w:p>
        </w:tc>
        <w:tc>
          <w:tcPr>
            <w:tcW w:type="dxa" w:w="1450"/>
          </w:tcPr>
          <w:p>
            <w:r>
              <w:t>Jaywan requirements are refined and aligned across Business, IT and external stakeholders.</w:t>
            </w:r>
          </w:p>
        </w:tc>
      </w:tr>
    </w:tbl>
    <w:p>
      <w:pPr>
        <w:pStyle w:val="Normal"/>
        <w:rPr>
          <w:b/>
          <w:bCs/>
        </w:rPr>
      </w:pPr>
      <w:r>
        <w:rPr>
          <w:b/>
          <w:bCs/>
        </w:rPr>
      </w:r>
    </w:p>
    <w:p>
      <w:pPr>
        <w:pStyle w:val="Normal"/>
        <w:rPr/>
      </w:pPr>
      <w:r>
        <w:rPr/>
      </w:r>
    </w:p>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 The solution shall initially support all existing debit card customers eligible for Jaywan products within the bank’s retail and, where applicable, SME portfolios; exact user counts shall be confirmed during detailed sizing.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 The solution shall handle peak ATM transaction volumes comparable to current Visa/Mastercard ATM peaks, with an allowance for growth due to Jaywan adoption; specific TPS figures shall be defined during capacity planning using historical ATM data.</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 The solution shall support monthly Jaywan ATM transaction volumes scaling in line with gradual migration from existing schemes; quantitative volume projections shall be derived from card base and current ATM utilisation statistics.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 The ATM and authorisation infrastructure supporting Jaywan transactions shall target availability consistent with existing critical payment systems (e.g. typically 99.5% or higher), with exact SLAs to be aligned with bank policy and CBUAE expectations.</w:t>
            </w:r>
          </w:p>
        </w:tc>
      </w:tr>
    </w:tbl>
    <w:p>
      <w:pPr>
        <w:pStyle w:val="Normal"/>
        <w:rPr/>
      </w:pPr>
      <w:r>
        <w:rPr/>
      </w:r>
    </w:p>
    <w:p>
      <w:pPr>
        <w:pStyle w:val="Normal"/>
        <w:rPr/>
      </w:pPr>
      <w:r>
        <w:rPr>
          <w:b/>
          <w:bCs/>
        </w:rPr>
        <w:t>Impact on Operational process:</w:t>
      </w:r>
      <w:r>
        <w:rPr/>
        <w:t xml:space="preserve"> • Existing card issuance processes shall be updated to include Jaywan mono-badged and co-badged products, including KYC checks, BIN allocation, card personalisation and welcome-kit handling.</w:t>
        <w:br/>
        <w:t>• ATM operations teams shall incorporate Jaywan transaction monitoring, cash management and incident handling into daily routines, ensuring that Jaywan transactions are treated as part of standard ATM uptime KPIs.</w:t>
        <w:br/>
        <w:t>• Reconciliation and finance teams shall adjust their daily and monthly reconciliations to consider Jaywan scheme-specific files and data points, including GL mappings once provided.</w:t>
        <w:br/>
        <w:t>• Customer service and call centre processes shall be updated to handle inquiries and complaints related to Jaywan cards and ATM withdrawals, including differentiation between domestic and international transactions.</w:t>
        <w:br/>
        <w:t>• IT operations shall expand monitoring dashboards and alerts to include Jaywan-specific routing, scheme connectivity and performance metrics.</w:t>
        <w:br/>
        <w:t>• Compliance and internal audit teams shall incorporate Jaywan scheme processes into their review plans, including validation of adherence to CBUAE mandates on domestic routing and co-badged issuance.</w:t>
      </w:r>
    </w:p>
    <w:p>
      <w:pPr>
        <w:pStyle w:val="Normal"/>
        <w:rPr/>
      </w:pPr>
      <w:r>
        <w:rPr/>
      </w:r>
    </w:p>
    <w:p>
      <w:pPr>
        <w:pStyle w:val="Normal"/>
        <w:rPr/>
      </w:pPr>
      <w:r>
        <w:rPr/>
      </w:r>
    </w:p>
    <w:p>
      <w:pPr>
        <w:pStyle w:val="Normal"/>
        <w:rPr/>
      </w:pPr>
      <w:r>
        <w:rPr>
          <w:b/>
          <w:bCs/>
        </w:rPr>
        <w:t>Regulatory impact:</w:t>
      </w:r>
      <w:r>
        <w:rPr/>
        <w:t xml:space="preserve"> • The project shall comply with the central government / CBUAE circular mandating that all licensed financial institutions shall launch Jaywan co-badged cards and that cards shall support both domestic and international transactions with appropriate routing.</w:t>
        <w:br/>
        <w:t>• The project shall align with AEP’s Jaywan scheme participation rules, including domestic usage as a local payment card scheme aimed at reducing payment costs and ensuring secure digital payments.</w:t>
        <w:br/>
        <w:t>• The bank shall ensure adherence to any CBUAE guidelines on local scheme preferential routing for domestic transactions to support financial sovereignty and cost optimisation.</w:t>
        <w:br/>
        <w:t>• Reporting and reconciliation processes shall support any CBUAE reporting obligations regarding Jaywan adoption, transaction volumes and performance, once detailed templates are confirmed.</w:t>
        <w:br/>
        <w:t>• Data privacy and customer communication obligations under UAE law shall be followed for SMS alerts, statements and disclosures related to Jaywan transactions.</w:t>
        <w:br/>
        <w:t>• Any cross-border extensions of Jaywan (e.g. GCC, India bilateral agreements) shall be implemented only after receiving formal regulatory and scheme documentation; current document notes such plans but does not define their detailed regulatory requirements.</w:t>
      </w:r>
    </w:p>
    <w:p>
      <w:pPr>
        <w:pStyle w:val="Normal"/>
        <w:rPr/>
      </w:pPr>
      <w:r>
        <w:rPr/>
      </w:r>
    </w:p>
    <w:p>
      <w:pPr>
        <w:pStyle w:val="Normal"/>
        <w:rPr/>
      </w:pPr>
      <w:r>
        <w:rPr/>
      </w:r>
    </w:p>
    <w:p>
      <w:pPr>
        <w:pStyle w:val="Normal"/>
        <w:rPr/>
      </w:pPr>
      <w:r>
        <w:rPr>
          <w:b/>
          <w:bCs/>
        </w:rPr>
        <w:t>Reports requirement:</w:t>
      </w:r>
      <w:r>
        <w:rPr/>
        <w:t xml:space="preserve"> • The bank shall produce daily operational reports listing Jaywan ATM withdrawal transactions, separating Jaywan mono-badged from Jaywan co-badged card usage.</w:t>
        <w:br/>
        <w:t>• The bank shall produce reconciliation reports that compare Jaywan ATM transactions recorded in ATM logs, PowerCARD, core banking postings and, when applicable, Jaywan scheme settlement data.</w:t>
        <w:br/>
        <w:t>• The bank shall produce monthly management reports summarising volumes, values and key performance indicators of Jaywan ATM activity versus non-Jaywan transactions to support monitoring of the scheme’s contribution to reducing payment costs.</w:t>
        <w:br/>
        <w:t>• Report frequency shall be at least daily for operations/reconciliation and monthly for management/strategy reporting; any additional CBUAE-mandated periodicity shall be adopted when specified.</w:t>
        <w:br/>
        <w:t>• Report distribution shall include operations, finance, risk, compliance and product management stakeholders, with secure access controls based on roles.</w:t>
        <w:br/>
        <w:t>• Report formats, data fields and layout shall be aligned with original reports shared by CBUAE and any subsequent AEP templates, recognising that the exact structure is not fully defined in the current input.</w:t>
      </w:r>
    </w:p>
    <w:p>
      <w:pPr>
        <w:pStyle w:val="Normal"/>
        <w:rPr/>
      </w:pPr>
      <w:r>
        <w:rPr/>
      </w:r>
    </w:p>
    <w:p>
      <w:pPr>
        <w:pStyle w:val="Normal"/>
        <w:rPr/>
      </w:pPr>
      <w:r>
        <w:rPr/>
      </w:r>
    </w:p>
    <w:p>
      <w:pPr>
        <w:pStyle w:val="Normal"/>
        <w:rPr/>
      </w:pPr>
      <w:r>
        <w:rPr>
          <w:b/>
          <w:bCs/>
        </w:rPr>
        <w:t>Access requirement:</w:t>
      </w:r>
      <w:r>
        <w:rPr/>
        <w:t xml:space="preserve"> • Access to Jaywan product setup, BIN configuration and routing tables in PowerCARD and ATM switch shall be restricted to authorised users in IT and Card Operations, with maker-checker controls.</w:t>
        <w:br/>
        <w:t>• Access to operational and reconciliation reports containing Jaywan transaction data shall be role-based, limited to authorised staff in Operations, Finance, Risk, Compliance and Internal Audit.</w:t>
        <w:br/>
        <w:t>• Access to modify customer SMS preferences and contact details used for Jaywan notifications shall be restricted to authorised customer service and branch staff, following existing KYC and authentication procedures.</w:t>
        <w:br/>
        <w:t>• System interfaces handling Jaywan transactions shall enforce strong authentication between components (e.g. mutually authenticated connections) in line with bank security standards.</w:t>
        <w:br/>
        <w:t>• All access to Jaywan-related configuration and data shall be logged and subject to periodic review by Information Security and Internal Audit.</w:t>
      </w:r>
    </w:p>
    <w:p>
      <w:pPr>
        <w:pStyle w:val="Normal"/>
        <w:rPr/>
      </w:pPr>
      <w:r>
        <w:rPr/>
      </w:r>
    </w:p>
    <w:p>
      <w:pPr>
        <w:pStyle w:val="Normal"/>
        <w:rPr/>
      </w:pPr>
      <w:r>
        <w:rPr/>
      </w:r>
    </w:p>
    <w:p>
      <w:pPr>
        <w:pStyle w:val="Normal"/>
        <w:rPr/>
      </w:pPr>
      <w:r>
        <w:rPr>
          <w:b/>
          <w:bCs/>
        </w:rPr>
        <w:t>Security requirement:</w:t>
      </w:r>
      <w:r>
        <w:rPr/>
        <w:t xml:space="preserve"> • Jaywan card data, including PAN and sensitive authentication data, shall be protected in line with applicable PCI-DSS principles and CBUAE/AEP security expectations, including encryption in transit and at rest where applicable.</w:t>
        <w:br/>
        <w:t>• ATM-to-core banking and core banking-to-PowerCARD communication carrying Jaywan transaction data shall be secured using industry-standard encryption and secure network segmentation.</w:t>
        <w:br/>
        <w:t>• PIN entry for Jaywan transactions shall continue to be protected via certified PIN entry devices and HSMs; Jaywan-specific cryptographic keys shall be configured in HSMs as per AEP/key management guidance when provided.</w:t>
        <w:br/>
        <w:t>• Access to logs and reports containing Jaywan transaction details shall be controlled by role-based access mechanisms and subject to audit trails.</w:t>
        <w:br/>
        <w:t>• Security incident management processes shall explicitly include Jaywan scheme-related events, ensuring timely detection, escalation and remediation of potential fraud or data breaches.</w:t>
        <w:br/>
        <w:t>• The bank shall implement fraud monitoring rules for Jaywan transactions consistent with existing card fraud strategies, extending them to cover domestic-specific patterns as data becomes available.</w:t>
      </w:r>
    </w:p>
    <w:p>
      <w:pPr>
        <w:pStyle w:val="Normal"/>
        <w:rPr/>
      </w:pPr>
      <w:r>
        <w:rPr/>
      </w:r>
    </w:p>
    <w:p>
      <w:pPr>
        <w:pStyle w:val="Normal"/>
        <w:rPr/>
      </w:pPr>
      <w:r>
        <w:rPr/>
      </w:r>
    </w:p>
    <w:p>
      <w:pPr>
        <w:pStyle w:val="Normal"/>
        <w:rPr/>
      </w:pPr>
      <w:r>
        <w:rPr>
          <w:b/>
          <w:bCs/>
        </w:rPr>
        <w:t>Data requirement:</w:t>
      </w:r>
      <w:r>
        <w:rPr/>
        <w:t xml:space="preserve"> • Transactional data for Jaywan ATM withdrawals shall include identifiers for scheme type (Jaywan vs international), badge type (mono-badged vs co-badged), domestic/international flag, and core transaction attributes (amount, time, ATM location).</w:t>
        <w:br/>
        <w:t>• Data sources shall include ATM logs, ATM switch, core banking, PowerCARD and any future Jaywan scheme settlement files.</w:t>
        <w:br/>
        <w:t>• Data quality controls shall be established to ensure completeness, accuracy and consistency of Jaywan-related fields, especially those used for routing, reporting and reconciliation.</w:t>
        <w:br/>
        <w:t>• Data retention for Jaywan transaction records shall follow existing regulatory and internal retention policies for card transactions in the UAE; detailed retention periods shall be confirmed by Compliance.</w:t>
        <w:br/>
        <w:t>• Data governance shall include ownership of Jaywan data elements, stewardship roles, and change management procedures for any modifications to data structures related to Jaywan.</w:t>
        <w:br/>
        <w:t>• Integration with data warehouse or reporting platforms shall ensure that Jaywan attributes are fully available for analytics, regulatory reporting and management information.</w:t>
      </w:r>
    </w:p>
    <w:p>
      <w:pPr>
        <w:pStyle w:val="Normal"/>
        <w:rPr/>
      </w:pPr>
      <w:r>
        <w:rPr/>
      </w:r>
    </w:p>
    <w:p>
      <w:pPr>
        <w:pStyle w:val="Normal"/>
        <w:rPr/>
      </w:pPr>
      <w:r>
        <w:rPr/>
      </w:r>
    </w:p>
    <w:p>
      <w:pPr>
        <w:pStyle w:val="Normal"/>
        <w:rPr/>
      </w:pPr>
      <w:r>
        <w:rPr>
          <w:b/>
          <w:bCs/>
        </w:rPr>
        <w:t>Training requirement:</w:t>
      </w:r>
      <w:r>
        <w:rPr/>
        <w:t xml:space="preserve"> • Frontline staff (branches, call centres) shall be trained on Jaywan mono-badged and co-badged product features, domestic versus international usage, and basic troubleshooting for ATM issues.</w:t>
        <w:br/>
        <w:t>• Operations and reconciliation teams shall be trained on new Jaywan transaction flows, reconciliation steps, and how to interpret Jaywan-specific reports and scheme data.</w:t>
        <w:br/>
        <w:t>• IT and support teams shall receive training on Jaywan-related routing configurations, scheme connectivity, monitoring dashboards and incident handling procedures.</w:t>
        <w:br/>
        <w:t>• Compliance, Risk and Internal Audit teams shall be briefed on CBUAE/AEP requirements regarding Jaywan, including co-badged issuance and domestic routing expectations.</w:t>
        <w:br/>
        <w:t xml:space="preserve">• Training materials shall be updated as further details are clarified through discovery sessions and responses from AEP/CBUAE. </w:t>
      </w:r>
    </w:p>
    <w:p>
      <w:pPr>
        <w:pStyle w:val="Normal"/>
        <w:rPr/>
      </w:pPr>
      <w:r>
        <w:rPr/>
      </w:r>
    </w:p>
    <w:p>
      <w:pPr>
        <w:pStyle w:val="Normal"/>
        <w:rPr/>
      </w:pPr>
      <w:r>
        <w:rPr>
          <w:b/>
          <w:bCs/>
        </w:rPr>
        <w:t>Open Questions:</w:t>
      </w:r>
      <w:r>
        <w:rPr/>
        <w:t xml:space="preserve"> • Detailed CBUAE/AEP specifications for Jaywan scheme message formats, clearing and settlement processes for ATM transactions are not provided; confirmation is required on technical and operational details.</w:t>
        <w:br/>
        <w:t>• Exact regulatory requirements for preferential domestic routing (e.g. mandatory Jaywan routing for all eligible domestic transactions versus best-effort) are not explicitly detailed in the provided content and require clarification.</w:t>
        <w:br/>
        <w:t>• Quantitative performance and capacity targets (e.g. exact TPS, monthly transaction projections, required availability percentages) are not specified and must be derived from actual bank volumes and any CBUAE benchmarks.</w:t>
        <w:br/>
        <w:t>• Specific templates, field-level requirements and frequencies for CBUAE/AEP Jaywan reporting are mentioned only at a high level; detailed templates must be obtained and validated.</w:t>
        <w:br/>
        <w:t>• The scope and timing of Jaywan enablement on Samsung Wallet, Google Pay and Apple Pay for ATM cash withdrawals, if applicable, are not defined in the input and require further guidance.</w:t>
        <w:br/>
        <w:t>• The handling of exceptional ATM scenarios (e.g. partial dispensation, reversal flows, chargebacks specific to Jaywan) is referenced in meetings but not detailed; further definition is needed in collaboration with AEP and schemes.</w:t>
      </w:r>
    </w:p>
    <w:p>
      <w:pPr>
        <w:pStyle w:val="Normal"/>
        <w:rPr/>
      </w:pPr>
      <w:r>
        <w:rPr/>
      </w:r>
    </w:p>
    <w:p>
      <w:pPr>
        <w:pStyle w:val="Normal"/>
        <w:rPr/>
      </w:pPr>
      <w:r>
        <w:rPr>
          <w:b/>
          <w:bCs/>
        </w:rPr>
        <w:t>Contradictions (if any):</w:t>
      </w:r>
      <w:r>
        <w:rPr/>
        <w:t xml:space="preserve"> • The provided input extracts do not include explicit document titles or full texts beyond brief contextual phrases such as "Jaywan: UAE's new domestic card payment scheme; all your questions answered" and "'Jaywan' the UAE's First Domestic Card Scheme Introduced to Strengthen the UAE's Position as a Global Hub for Digital Payments"; within these fragments no direct contradictions can be conclusively identified.</w:t>
        <w:br/>
        <w:t>• The context mentions readiness of financial infrastructure to activate Jaywan locally and globally and also references future phases for enablement on Google Pay and Apple Pay and bilateral agreements with India by mid-2025; this may create perceived ambiguity on whether global readiness is already achieved or still partially in roadmap phase, but full document texts are not available to confirm a contradiction.</w:t>
        <w:br/>
        <w:t>• No other explicit conflicting statements (e.g. differing effective dates, opposing rules for mono-badged versus co-badged usage) are visible in the limited excerpts provided; therefore, any deeper contradictions cannot be reliably asserted without the complete original source documents.</w:t>
      </w:r>
    </w:p>
    <w:p>
      <w:pPr>
        <w:pStyle w:val="Normal"/>
        <w:rPr/>
      </w:pPr>
      <w:r>
        <w:rPr/>
      </w:r>
    </w:p>
    <w:p>
      <w:pPr>
        <w:pStyle w:val="Normal"/>
        <w:rPr>
          <w:b/>
          <w:bCs/>
        </w:rPr>
      </w:pPr>
      <w:r>
        <w:rPr>
          <w:b/>
          <w:bCs/>
        </w:rPr>
      </w:r>
    </w:p>
    <w:p>
      <w:pPr>
        <w:pStyle w:val="Normal"/>
        <w:rPr/>
      </w:pPr>
      <w:r>
        <w:t xml:space="preserve">Process Diagram: </w:t>
      </w:r>
      <w:r>
        <w:drawing>
          <wp:inline xmlns:a="http://schemas.openxmlformats.org/drawingml/2006/main">
            <wp:extent cx="5029200" cy="22339603"/>
            <wp:docPr id="1" name="Picture 1"/>
            <wp:cNvGraphicFramePr>
              <a:graphicFrameLocks noChangeAspect="1"/>
            </wp:cNvGraphicFramePr>
            <a:graphic>
              <a:graphicData uri="http://schemas.openxmlformats.org/drawingml/2006/picture">
                <pic:pic>
                  <pic:nvPicPr>
                    <pic:cNvPr id="0" name="process_flow.png"/>
                    <pic:cNvPicPr/>
                  </pic:nvPicPr>
                  <pic:blipFill>
                    <a:blip r:embed="rId5"/>
                    <a:stretch>
                      <a:fillRect/>
                    </a:stretch>
                  </pic:blipFill>
                  <pic:spPr>
                    <a:xfrm>
                      <a:off x="0" y="0"/>
                      <a:ext cx="5029200" cy="22339603"/>
                    </a:xfrm>
                    <a:prstGeom prst="rect"/>
                  </pic:spPr>
                </pic:pic>
              </a:graphicData>
            </a:graphic>
          </wp:inline>
        </w:drawing>
      </w:r>
    </w:p>
    <w:p>
      <w:pPr>
        <w:pStyle w:val="Normal"/>
        <w:rPr>
          <w:rFonts w:ascii="Consolas;Courier New;monospace" w:hAnsi="Consolas;Courier New;monospace"/>
          <w:b w:val="false"/>
          <w:color w:val="CE9178"/>
          <w:sz w:val="24"/>
          <w:szCs w:val="24"/>
          <w:shd w:fill="1F1F1F" w:val="clear"/>
        </w:rPr>
      </w:pPr>
      <w:r>
        <w:rPr>
          <w:rFonts w:ascii="Consolas;Courier New;monospace" w:hAnsi="Consolas;Courier New;monospace"/>
          <w:b w:val="false"/>
          <w:color w:val="CE9178"/>
          <w:sz w:val="24"/>
          <w:szCs w:val="24"/>
          <w:shd w:fill="1F1F1F" w:val="clear"/>
        </w:rPr>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nsolas">
    <w:altName w:val="Courier New"/>
    <w:charset w:val="00"/>
    <w:family w:val="roman"/>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739</TotalTime>
  <Application>LibreOffice/25.2.7.2$Windows_X86_64 LibreOffice_project/5cbfd1ab6520636bb5f7b99185aa69bd7456825d</Application>
  <AppVersion>15.0000</AppVersion>
  <Pages>4</Pages>
  <Words>144</Words>
  <Characters>1360</Characters>
  <CharactersWithSpaces>1428</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2026-02-02T10:36:59Z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