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sz w:val="28"/>
          <w:szCs w:val="28"/>
        </w:rPr>
      </w:pPr>
      <w:r>
        <w:rPr>
          <w:b/>
          <w:bCs/>
          <w:sz w:val="28"/>
          <w:szCs w:val="28"/>
        </w:rPr>
        <w:t>First Islamic Bank</w:t>
      </w:r>
    </w:p>
    <w:p>
      <w:pPr>
        <w:pStyle w:val="Normal"/>
        <w:rPr/>
      </w:pPr>
      <w:r>
        <w:rPr/>
      </w:r>
    </w:p>
    <w:p>
      <w:pPr>
        <w:pStyle w:val="Normal"/>
        <w:jc w:val="center"/>
        <w:rPr>
          <w:b/>
          <w:bCs/>
          <w:sz w:val="28"/>
          <w:szCs w:val="28"/>
        </w:rPr>
      </w:pPr>
      <w:r>
        <w:rPr>
          <w:b/>
          <w:bCs/>
          <w:sz w:val="28"/>
          <w:szCs w:val="28"/>
        </w:rPr>
        <w:t>Business Requirements Specification</w:t>
      </w:r>
    </w:p>
    <w:p>
      <w:pPr>
        <w:pStyle w:val="Normal"/>
        <w:jc w:val="center"/>
        <w:rPr/>
      </w:pPr>
      <w:r>
        <w:rPr/>
      </w:r>
    </w:p>
    <w:p>
      <w:pPr>
        <w:pStyle w:val="Normal"/>
        <w:rPr/>
      </w:pPr>
      <w:r>
        <w:rPr>
          <w:b/>
          <w:bCs/>
        </w:rPr>
        <w:t>Title:</w:t>
      </w:r>
      <w:r>
        <w:rPr/>
        <w:t xml:space="preserve"> Business Requirement Specification for Jaywan Domestic Card Scheme Enablement and Co‑Badged Card Issuance</w:t>
      </w:r>
    </w:p>
    <w:p>
      <w:pPr>
        <w:pStyle w:val="Normal"/>
        <w:rPr/>
      </w:pPr>
      <w:r>
        <w:rPr>
          <w:b/>
          <w:bCs/>
        </w:rPr>
        <w:t>I</w:t>
      </w:r>
      <w:r>
        <w:rPr>
          <w:b/>
          <w:bCs/>
        </w:rPr>
        <w:t>D:</w:t>
      </w:r>
      <w:r>
        <w:rPr/>
        <w:t xml:space="preserve"> BRS-JAYWAN-2025-001</w:t>
      </w:r>
    </w:p>
    <w:p>
      <w:pPr>
        <w:pStyle w:val="Normal"/>
        <w:rPr/>
      </w:pPr>
      <w:r>
        <w:rPr>
          <w:b/>
          <w:bCs/>
        </w:rPr>
        <w:t>Program:</w:t>
      </w:r>
      <w:r>
        <w:rPr/>
        <w:t xml:space="preserve"> Jaywan Domestic Card Scheme Enablement for Licensed Financial Institutions in UAE</w:t>
      </w:r>
    </w:p>
    <w:p>
      <w:pPr>
        <w:pStyle w:val="Normal"/>
        <w:rPr/>
      </w:pPr>
      <w:r>
        <w:rPr>
          <w:b/>
          <w:bCs/>
        </w:rPr>
        <w:t>Type:</w:t>
      </w:r>
      <w:r>
        <w:rPr/>
        <w:t xml:space="preserve"> Business Requirement Specification</w:t>
      </w:r>
    </w:p>
    <w:p>
      <w:pPr>
        <w:pStyle w:val="Normal"/>
        <w:rPr/>
      </w:pPr>
      <w:r>
        <w:rPr/>
      </w:r>
    </w:p>
    <w:p>
      <w:pPr>
        <w:pStyle w:val="Normal"/>
        <w:rPr>
          <w:b/>
          <w:bCs/>
        </w:rPr>
      </w:pPr>
      <w:r>
        <w:rPr>
          <w:b/>
          <w:bCs/>
        </w:rPr>
        <w:t>Table Of Content</w:t>
      </w:r>
    </w:p>
    <w:tbl>
      <w:tblPr>
        <w:tblW w:w="9240" w:type="dxa"/>
        <w:jc w:val="left"/>
        <w:tblInd w:w="115" w:type="dxa"/>
        <w:tblLayout w:type="fixed"/>
        <w:tblCellMar>
          <w:top w:w="55" w:type="dxa"/>
          <w:left w:w="55" w:type="dxa"/>
          <w:bottom w:w="55" w:type="dxa"/>
          <w:right w:w="55" w:type="dxa"/>
        </w:tblCellMar>
      </w:tblPr>
      <w:tblGrid>
        <w:gridCol w:w="4620"/>
        <w:gridCol w:w="4620"/>
      </w:tblGrid>
      <w:tr>
        <w:trPr/>
        <w:tc>
          <w:tcPr>
            <w:tcW w:w="4620" w:type="dxa"/>
            <w:tcBorders>
              <w:top w:val="single" w:sz="4" w:space="0" w:color="000000"/>
              <w:left w:val="single" w:sz="4" w:space="0" w:color="000000"/>
            </w:tcBorders>
          </w:tcPr>
          <w:p>
            <w:pPr>
              <w:pStyle w:val="Normal"/>
              <w:spacing w:before="0" w:after="160"/>
              <w:rPr/>
            </w:pPr>
            <w:r>
              <w:rPr/>
              <w:t>Serial Number</w:t>
            </w:r>
          </w:p>
        </w:tc>
        <w:tc>
          <w:tcPr>
            <w:tcW w:w="4620" w:type="dxa"/>
            <w:tcBorders>
              <w:top w:val="single" w:sz="4" w:space="0" w:color="000000"/>
              <w:right w:val="single" w:sz="4" w:space="0" w:color="000000"/>
            </w:tcBorders>
          </w:tcPr>
          <w:p>
            <w:pPr>
              <w:pStyle w:val="Normal"/>
              <w:spacing w:before="0" w:after="160"/>
              <w:rPr/>
            </w:pPr>
            <w:r>
              <w:rPr/>
              <w:t>Description</w:t>
            </w:r>
          </w:p>
        </w:tc>
      </w:tr>
      <w:tr>
        <w:tc>
          <w:tcPr>
            <w:tcW w:type="dxa" w:w="4620"/>
          </w:tcPr>
          <w:p>
            <w:r>
              <w:t>1</w:t>
            </w:r>
          </w:p>
        </w:tc>
        <w:tc>
          <w:tcPr>
            <w:tcW w:type="dxa" w:w="4620"/>
          </w:tcPr>
          <w:p>
            <w:r>
              <w:t>Document Sign off</w:t>
            </w:r>
          </w:p>
        </w:tc>
      </w:tr>
      <w:tr>
        <w:tc>
          <w:tcPr>
            <w:tcW w:type="dxa" w:w="4620"/>
          </w:tcPr>
          <w:p>
            <w:r>
              <w:t>2</w:t>
            </w:r>
          </w:p>
        </w:tc>
        <w:tc>
          <w:tcPr>
            <w:tcW w:type="dxa" w:w="4620"/>
          </w:tcPr>
          <w:p>
            <w:r>
              <w:t>Document History</w:t>
            </w:r>
          </w:p>
        </w:tc>
      </w:tr>
      <w:tr>
        <w:tc>
          <w:tcPr>
            <w:tcW w:type="dxa" w:w="4620"/>
          </w:tcPr>
          <w:p>
            <w:r>
              <w:t>3</w:t>
            </w:r>
          </w:p>
        </w:tc>
        <w:tc>
          <w:tcPr>
            <w:tcW w:type="dxa" w:w="4620"/>
          </w:tcPr>
          <w:p>
            <w:r>
              <w:t>Overview</w:t>
            </w:r>
          </w:p>
        </w:tc>
      </w:tr>
      <w:tr>
        <w:tc>
          <w:tcPr>
            <w:tcW w:type="dxa" w:w="4620"/>
          </w:tcPr>
          <w:p>
            <w:r>
              <w:t>4</w:t>
            </w:r>
          </w:p>
        </w:tc>
        <w:tc>
          <w:tcPr>
            <w:tcW w:type="dxa" w:w="4620"/>
          </w:tcPr>
          <w:p>
            <w:r>
              <w:t>Current constraints</w:t>
            </w:r>
          </w:p>
        </w:tc>
      </w:tr>
      <w:tr>
        <w:tc>
          <w:tcPr>
            <w:tcW w:type="dxa" w:w="4620"/>
          </w:tcPr>
          <w:p>
            <w:r>
              <w:t>5</w:t>
            </w:r>
          </w:p>
        </w:tc>
        <w:tc>
          <w:tcPr>
            <w:tcW w:type="dxa" w:w="4620"/>
          </w:tcPr>
          <w:p>
            <w:r>
              <w:t>Objective</w:t>
            </w:r>
          </w:p>
        </w:tc>
      </w:tr>
      <w:tr>
        <w:tc>
          <w:tcPr>
            <w:tcW w:type="dxa" w:w="4620"/>
          </w:tcPr>
          <w:p>
            <w:r>
              <w:t>6</w:t>
            </w:r>
          </w:p>
        </w:tc>
        <w:tc>
          <w:tcPr>
            <w:tcW w:type="dxa" w:w="4620"/>
          </w:tcPr>
          <w:p>
            <w:r>
              <w:t>In scope</w:t>
            </w:r>
          </w:p>
        </w:tc>
      </w:tr>
      <w:tr>
        <w:tc>
          <w:tcPr>
            <w:tcW w:type="dxa" w:w="4620"/>
          </w:tcPr>
          <w:p>
            <w:r>
              <w:t>7</w:t>
            </w:r>
          </w:p>
        </w:tc>
        <w:tc>
          <w:tcPr>
            <w:tcW w:type="dxa" w:w="4620"/>
          </w:tcPr>
          <w:p>
            <w:r>
              <w:t>Out of scope</w:t>
            </w:r>
          </w:p>
        </w:tc>
      </w:tr>
      <w:tr>
        <w:tc>
          <w:tcPr>
            <w:tcW w:type="dxa" w:w="4620"/>
          </w:tcPr>
          <w:p>
            <w:r>
              <w:t>8</w:t>
            </w:r>
          </w:p>
        </w:tc>
        <w:tc>
          <w:tcPr>
            <w:tcW w:type="dxa" w:w="4620"/>
          </w:tcPr>
          <w:p>
            <w:r>
              <w:t>Description</w:t>
            </w:r>
          </w:p>
        </w:tc>
      </w:tr>
      <w:tr>
        <w:tc>
          <w:tcPr>
            <w:tcW w:type="dxa" w:w="4620"/>
          </w:tcPr>
          <w:p>
            <w:r>
              <w:t>9</w:t>
            </w:r>
          </w:p>
        </w:tc>
        <w:tc>
          <w:tcPr>
            <w:tcW w:type="dxa" w:w="4620"/>
          </w:tcPr>
          <w:p>
            <w:r>
              <w:t>Business Requirements</w:t>
            </w:r>
          </w:p>
        </w:tc>
      </w:tr>
      <w:tr>
        <w:tc>
          <w:tcPr>
            <w:tcW w:type="dxa" w:w="4620"/>
          </w:tcPr>
          <w:p>
            <w:r>
              <w:t>10</w:t>
            </w:r>
          </w:p>
        </w:tc>
        <w:tc>
          <w:tcPr>
            <w:tcW w:type="dxa" w:w="4620"/>
          </w:tcPr>
          <w:p>
            <w:r>
              <w:t>Requirement Traceability Matrix</w:t>
            </w:r>
          </w:p>
        </w:tc>
      </w:tr>
      <w:tr>
        <w:tc>
          <w:tcPr>
            <w:tcW w:type="dxa" w:w="4620"/>
          </w:tcPr>
          <w:p>
            <w:r>
              <w:t>11</w:t>
            </w:r>
          </w:p>
        </w:tc>
        <w:tc>
          <w:tcPr>
            <w:tcW w:type="dxa" w:w="4620"/>
          </w:tcPr>
          <w:p>
            <w:r>
              <w:t>Non-Functional Requirements</w:t>
            </w:r>
          </w:p>
        </w:tc>
      </w:tr>
      <w:tr>
        <w:tc>
          <w:tcPr>
            <w:tcW w:type="dxa" w:w="4620"/>
          </w:tcPr>
          <w:p>
            <w:r>
              <w:t>12</w:t>
            </w:r>
          </w:p>
        </w:tc>
        <w:tc>
          <w:tcPr>
            <w:tcW w:type="dxa" w:w="4620"/>
          </w:tcPr>
          <w:p>
            <w:r>
              <w:t>Impact on Operational Process</w:t>
            </w:r>
          </w:p>
        </w:tc>
      </w:tr>
      <w:tr>
        <w:tc>
          <w:tcPr>
            <w:tcW w:type="dxa" w:w="4620"/>
          </w:tcPr>
          <w:p>
            <w:r>
              <w:t>13</w:t>
            </w:r>
          </w:p>
        </w:tc>
        <w:tc>
          <w:tcPr>
            <w:tcW w:type="dxa" w:w="4620"/>
          </w:tcPr>
          <w:p>
            <w:r>
              <w:t>Regulatory Impact</w:t>
            </w:r>
          </w:p>
        </w:tc>
      </w:tr>
      <w:tr>
        <w:tc>
          <w:tcPr>
            <w:tcW w:type="dxa" w:w="4620"/>
          </w:tcPr>
          <w:p>
            <w:r>
              <w:t>14</w:t>
            </w:r>
          </w:p>
        </w:tc>
        <w:tc>
          <w:tcPr>
            <w:tcW w:type="dxa" w:w="4620"/>
          </w:tcPr>
          <w:p>
            <w:r>
              <w:t>Reports Requirement</w:t>
            </w:r>
          </w:p>
        </w:tc>
      </w:tr>
      <w:tr>
        <w:tc>
          <w:tcPr>
            <w:tcW w:type="dxa" w:w="4620"/>
          </w:tcPr>
          <w:p>
            <w:r>
              <w:t>15</w:t>
            </w:r>
          </w:p>
        </w:tc>
        <w:tc>
          <w:tcPr>
            <w:tcW w:type="dxa" w:w="4620"/>
          </w:tcPr>
          <w:p>
            <w:r>
              <w:t>Access Requirement</w:t>
            </w:r>
          </w:p>
        </w:tc>
      </w:tr>
      <w:tr>
        <w:tc>
          <w:tcPr>
            <w:tcW w:type="dxa" w:w="4620"/>
          </w:tcPr>
          <w:p>
            <w:r>
              <w:t>16</w:t>
            </w:r>
          </w:p>
        </w:tc>
        <w:tc>
          <w:tcPr>
            <w:tcW w:type="dxa" w:w="4620"/>
          </w:tcPr>
          <w:p>
            <w:r>
              <w:t>Security Requirement</w:t>
            </w:r>
          </w:p>
        </w:tc>
      </w:tr>
      <w:tr>
        <w:tc>
          <w:tcPr>
            <w:tcW w:type="dxa" w:w="4620"/>
          </w:tcPr>
          <w:p>
            <w:r>
              <w:t>17</w:t>
            </w:r>
          </w:p>
        </w:tc>
        <w:tc>
          <w:tcPr>
            <w:tcW w:type="dxa" w:w="4620"/>
          </w:tcPr>
          <w:p>
            <w:r>
              <w:t>Data Requirement</w:t>
            </w:r>
          </w:p>
        </w:tc>
      </w:tr>
      <w:tr>
        <w:tc>
          <w:tcPr>
            <w:tcW w:type="dxa" w:w="4620"/>
          </w:tcPr>
          <w:p>
            <w:r>
              <w:t>18</w:t>
            </w:r>
          </w:p>
        </w:tc>
        <w:tc>
          <w:tcPr>
            <w:tcW w:type="dxa" w:w="4620"/>
          </w:tcPr>
          <w:p>
            <w:r>
              <w:t>Training Requirement</w:t>
            </w:r>
          </w:p>
        </w:tc>
      </w:tr>
    </w:tbl>
    <w:p>
      <w:pPr>
        <w:pStyle w:val="Normal"/>
        <w:rPr>
          <w:b/>
          <w:bCs/>
        </w:rPr>
      </w:pPr>
      <w:r>
        <w:rPr>
          <w:b/>
          <w:bCs/>
        </w:rPr>
      </w:r>
    </w:p>
    <w:p>
      <w:pPr>
        <w:pStyle w:val="Normal"/>
        <w:rPr>
          <w:b/>
          <w:bCs/>
        </w:rPr>
      </w:pPr>
      <w:r>
        <w:rPr>
          <w:b/>
          <w:bCs/>
        </w:rPr>
      </w:r>
    </w:p>
    <w:p>
      <w:pPr>
        <w:pStyle w:val="Normal"/>
        <w:rPr>
          <w:b/>
          <w:bCs/>
        </w:rPr>
      </w:pPr>
      <w:r>
        <w:rPr>
          <w:b/>
          <w:bCs/>
        </w:rPr>
        <w:t>Document Sign off</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157"/>
        <w:gridCol w:w="2157"/>
        <w:gridCol w:w="2158"/>
        <w:gridCol w:w="2157"/>
      </w:tblGrid>
      <w:tr>
        <w:trPr/>
        <w:tc>
          <w:tcPr>
            <w:tcW w:w="2157"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Name</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Department</w:t>
            </w:r>
          </w:p>
        </w:tc>
        <w:tc>
          <w:tcPr>
            <w:tcW w:w="2158"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Remarks</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Approval date</w:t>
            </w:r>
          </w:p>
        </w:tc>
      </w:tr>
      <w:tr>
        <w:trPr/>
        <w:tc>
          <w:tcPr>
            <w:tcW w:w="2157"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2158"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rPr/>
            </w:r>
          </w:p>
        </w:tc>
      </w:tr>
    </w:tbl>
    <w:p>
      <w:pPr>
        <w:pStyle w:val="Normal"/>
        <w:rPr/>
      </w:pPr>
      <w:r>
        <w:rPr/>
      </w:r>
    </w:p>
    <w:p>
      <w:pPr>
        <w:pStyle w:val="Normal"/>
        <w:rPr>
          <w:b/>
          <w:bCs/>
        </w:rPr>
      </w:pPr>
      <w:r>
        <w:rPr>
          <w:b/>
          <w:bCs/>
        </w:rPr>
        <w:t>Document History</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234"/>
        <w:gridCol w:w="3269"/>
        <w:gridCol w:w="3126"/>
      </w:tblGrid>
      <w:tr>
        <w:trPr/>
        <w:tc>
          <w:tcPr>
            <w:tcW w:w="2234"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Version</w:t>
            </w:r>
          </w:p>
        </w:tc>
        <w:tc>
          <w:tcPr>
            <w:tcW w:w="3269"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Remarks</w:t>
            </w:r>
          </w:p>
        </w:tc>
        <w:tc>
          <w:tcPr>
            <w:tcW w:w="3126"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Date</w:t>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1.0</w:t>
            </w:r>
          </w:p>
        </w:tc>
        <w:tc>
          <w:tcPr>
            <w:tcW w:w="3269" w:type="dxa"/>
            <w:tcBorders>
              <w:bottom w:val="single" w:sz="8" w:space="0" w:color="000000"/>
              <w:right w:val="single" w:sz="8" w:space="0" w:color="000000"/>
            </w:tcBorders>
          </w:tcPr>
          <w:p>
            <w:pPr>
              <w:pStyle w:val="Normal"/>
              <w:widowControl/>
              <w:bidi w:val="0"/>
              <w:spacing w:lineRule="auto" w:line="278" w:before="0" w:after="160"/>
              <w:jc w:val="left"/>
              <w:rPr/>
            </w:pPr>
            <w:r>
              <w:rPr/>
              <w:t>Initial Draft</w:t>
            </w:r>
          </w:p>
        </w:tc>
        <w:tc>
          <w:tcPr>
            <w:tcW w:w="3126" w:type="dxa"/>
            <w:tcBorders>
              <w:bottom w:val="single" w:sz="8" w:space="0" w:color="000000"/>
              <w:right w:val="single" w:sz="8" w:space="0" w:color="000000"/>
            </w:tcBorders>
          </w:tcPr>
          <w:p>
            <w:pPr>
              <w:pStyle w:val="Normal"/>
              <w:widowControl/>
              <w:bidi w:val="0"/>
              <w:spacing w:lineRule="auto" w:line="278" w:before="0" w:after="160"/>
              <w:jc w:val="left"/>
              <w:rPr/>
            </w:pPr>
            <w:r>
              <w:rPr/>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r>
          </w:p>
        </w:tc>
        <w:tc>
          <w:tcPr>
            <w:tcW w:w="3269"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3126" w:type="dxa"/>
            <w:tcBorders>
              <w:bottom w:val="single" w:sz="8" w:space="0" w:color="000000"/>
              <w:right w:val="single" w:sz="8" w:space="0" w:color="000000"/>
            </w:tcBorders>
          </w:tcPr>
          <w:p>
            <w:pPr>
              <w:pStyle w:val="Normal"/>
              <w:widowControl/>
              <w:bidi w:val="0"/>
              <w:spacing w:lineRule="auto" w:line="278" w:before="0" w:after="160"/>
              <w:jc w:val="left"/>
              <w:rPr/>
            </w:pPr>
            <w:r>
              <w:rPr/>
            </w:r>
          </w:p>
        </w:tc>
      </w:tr>
    </w:tbl>
    <w:p>
      <w:pPr>
        <w:pStyle w:val="Normal"/>
        <w:rPr/>
      </w:pPr>
      <w:r>
        <w:rPr/>
      </w:r>
    </w:p>
    <w:p>
      <w:pPr>
        <w:pStyle w:val="Normal"/>
        <w:rPr/>
      </w:pPr>
      <w:r>
        <w:rPr/>
      </w:r>
    </w:p>
    <w:p>
      <w:pPr>
        <w:pStyle w:val="Normal"/>
        <w:rPr/>
      </w:pPr>
      <w:r>
        <w:rPr>
          <w:b/>
          <w:bCs/>
        </w:rPr>
        <w:t>Overview:</w:t>
      </w:r>
      <w:r>
        <w:rPr/>
        <w:t xml:space="preserve"> This document captures the business requirements for enabling the Jaywan domestic card scheme (mono-badged and co-badged) in compliance with Central Bank of the UAE (CBUAE) and Al Etihad Payments (AEP) directives. It covers functional and high-level non-functional requirements for card issuance, transaction routing, processing, reversals, refunds, chargebacks, reconciliation, and reporting across channels including ATM, POS (including tokenized POS), e-commerce and digital wallets. The scope is limited to what is explicitly stated in the available CBUAE / AEP communications and meeting notes and does not introduce any assumptions beyond that context.</w:t>
      </w:r>
    </w:p>
    <w:p>
      <w:pPr>
        <w:pStyle w:val="Normal"/>
        <w:rPr/>
      </w:pPr>
      <w:r>
        <w:rPr/>
      </w:r>
    </w:p>
    <w:p>
      <w:pPr>
        <w:pStyle w:val="Normal"/>
        <w:rPr/>
      </w:pPr>
      <w:r>
        <w:rPr>
          <w:b/>
          <w:bCs/>
        </w:rPr>
        <w:t>Current constraints:</w:t>
      </w:r>
      <w:r>
        <w:rPr/>
        <w:t xml:space="preserve"> 1. Existing card portfolios are primarily MasterCard and Visa based and do not natively support the Jaywan domestic card scheme.</w:t>
        <w:br/>
        <w:t>2. Current dual messaging and settlement processes are designed around existing Visa DMS and other international schemes and may not yet be aligned with CBUAE Domestic Messaging System (DMS) requirements for Jaywan.</w:t>
        <w:br/>
        <w:t>3. Existing routing configurations are aligned to international schemes and are not yet configured to prioritise domestic routing for Jaywan transactions.</w:t>
        <w:br/>
        <w:t>4. POS tokenized transaction handling is currently designed for existing schemes and may not explicitly include Jaywan-specific processing.</w:t>
        <w:br/>
        <w:t>5. Detailed service level parameters, performance benchmarks, and complete interface specifications from AEP for Jaywan and CBUAE DMS are not included in the provided context and therefore shall not be assumed in this document.</w:t>
      </w:r>
    </w:p>
    <w:p>
      <w:pPr>
        <w:pStyle w:val="Normal"/>
        <w:rPr/>
      </w:pPr>
      <w:r>
        <w:rPr/>
      </w:r>
    </w:p>
    <w:p>
      <w:pPr>
        <w:pStyle w:val="Normal"/>
        <w:rPr/>
      </w:pPr>
      <w:r>
        <w:rPr>
          <w:b/>
          <w:bCs/>
        </w:rPr>
        <w:t>Objective:</w:t>
      </w:r>
      <w:r>
        <w:rPr/>
        <w:t xml:space="preserve"> 1. Licensed financial institutions shall comply with the UAE central government and CBUAE mandate requiring issuance and support of Jaywan mono-badged and co-badged cards, including mandate reference 5480-2024 as referenced in the provided context.</w:t>
        <w:br/>
        <w:t>2. The institution shall support Jaywan as a domestic card payment scheme to strengthen financial sovereignty, reduce payment transaction costs, and enhance digital payment adoption in the UAE in line with CBUAE and AEP objectives.</w:t>
        <w:br/>
        <w:t>3. The institution shall ensure card products support both domestic and international transactions through appropriate configuration of routing and co-badging with international schemes (e.g. Visa, MasterCard), as explicitly mandated.</w:t>
        <w:br/>
        <w:t>4. The institution shall align its processes and systems for ATM, POS, e-commerce, tokenization, digital wallets and reconciliation with the readiness of the financial infrastructure for Jaywan as communicated by AEP and CBUAE.</w:t>
      </w:r>
    </w:p>
    <w:p>
      <w:pPr>
        <w:pStyle w:val="Normal"/>
        <w:rPr/>
      </w:pPr>
      <w:r>
        <w:rPr/>
      </w:r>
    </w:p>
    <w:p>
      <w:pPr>
        <w:pStyle w:val="Normal"/>
        <w:rPr/>
      </w:pPr>
      <w:r>
        <w:rPr>
          <w:b/>
          <w:bCs/>
        </w:rPr>
        <w:t>In scope:</w:t>
      </w:r>
      <w:r>
        <w:rPr/>
        <w:t xml:space="preserve"> 1. Enablement of Jaywan mono-badged cards for domestic usage in the UAE and GCC, based on CBUAE / AEP guidance in the provided content.</w:t>
        <w:br/>
        <w:t>2. Enablement of Jaywan co-badged cards with international schemes (e.g. Visa, MasterCard) for domestic and international usage in line with the mandate that future cards shall support both domestic and international transactions.</w:t>
        <w:br/>
        <w:t>3. Configuration of card routing rules so that domestic transactions shall be routed through the Jaywan domestic card scheme and international transactions shall be routed through the co-badged international scheme, as applicable.</w:t>
        <w:br/>
        <w:t>4. Alignment of existing dual messaging processes with CBUAE Domestic Messaging System (DMS) for e-commerce and tokenization transactions as referenced in the documented process flows.</w:t>
        <w:br/>
        <w:t>5. Inclusion of POS tokenized transactions in the scope of Jaywan-related processing as highlighted by business stakeholders.</w:t>
        <w:br/>
        <w:t>6. Coverage of reversals, refunds, and chargebacks processing for Jaywan mono-badged and co-badged transactions in line with bank’s existing processes where explicitly referenced.</w:t>
        <w:br/>
        <w:t>7. Preparation and refinement of reconciliation documentation and processes related to Jaywan transactions including reports obtained from CBUAE / AEP as mentioned.</w:t>
        <w:br/>
        <w:t>8. Coordination of discovery sessions and demand discussions for Jaywan mono-badged and co-badged additional requirements as per the referenced meeting schedule.</w:t>
        <w:br/>
        <w:t>9. Support for tokenization and provisioning of Jaywan cards into Samsung Wallet and preparation for enablement on Google Pay and Apple Pay as referenced in the CBUAE-classified public content.</w:t>
        <w:br/>
        <w:t>10. High-level training, awareness, and change management requirements for Business, IT and Operations teams in line with AEP awareness campaigns and bank internal readiness.</w:t>
      </w:r>
    </w:p>
    <w:p>
      <w:pPr>
        <w:pStyle w:val="Normal"/>
        <w:rPr/>
      </w:pPr>
      <w:r>
        <w:rPr/>
      </w:r>
    </w:p>
    <w:p>
      <w:pPr>
        <w:pStyle w:val="Normal"/>
        <w:rPr/>
      </w:pPr>
      <w:r>
        <w:rPr>
          <w:b/>
          <w:bCs/>
        </w:rPr>
        <w:t>Out of scope:</w:t>
      </w:r>
      <w:r>
        <w:rPr/>
        <w:t xml:space="preserve"> 1. Detailed technical interface specifications, message formats, and API definitions for Jaywan and CBUAE DMS, as these are not provided in the context and are covered by separate technical design documents issued by AEP / CBUAE.</w:t>
        <w:br/>
        <w:t>2. Detailed scheme rules, fee structures, interchange rates, and settlement calendars for Jaywan and international schemes, as these are governed by separate scheme documentation not provided in the context.</w:t>
        <w:br/>
        <w:t>3. Detailed configuration parameters for Samsung Wallet, Google Pay, and Apple Pay tokenization services, which will be managed under separate integration projects and vendor documentation.</w:t>
        <w:br/>
        <w:t>4. Any non-UAE regulatory requirements, as the context is limited to CBUAE and UAE central government directives.</w:t>
        <w:br/>
        <w:t>5. Product marketing content and brand guidelines for Jaywan cards beyond high-level awareness and training dependencies.</w:t>
        <w:br/>
        <w:t>6. Detailed fraud management rules, scoring models, and AML scenarios, which will be addressed under separate risk and compliance workstreams once specific guidance and data are available.</w:t>
      </w:r>
    </w:p>
    <w:p>
      <w:pPr>
        <w:pStyle w:val="Normal"/>
        <w:rPr/>
      </w:pPr>
      <w:r>
        <w:rPr/>
      </w:r>
    </w:p>
    <w:p>
      <w:pPr>
        <w:pStyle w:val="Normal"/>
        <w:rPr/>
      </w:pPr>
      <w:r>
        <w:rPr/>
      </w:r>
    </w:p>
    <w:p>
      <w:pPr>
        <w:pStyle w:val="Normal"/>
        <w:rPr>
          <w:b/>
          <w:bCs/>
        </w:rPr>
      </w:pPr>
      <w:r>
        <w:rPr>
          <w:b/>
          <w:bCs/>
        </w:rPr>
        <w:t>Business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BR-001</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Issuance of Jaywan Mono-Badged Domestic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The bank shall enable issuance and lifecycle management of Jaywan mono-badged cards for domestic and GCC usage in alignment with CBUAE and AEP directives.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Currently, the bank issues cards primarily under international schemes (e.g. Visa, MasterCard) without Jaywan mono-badged domestic-only card products. Domestic transactions are routed through international schemes based on existing routing configurations.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The bank shall introduce Jaywan mono-badged card products that shall be used for domestic payments within the UAE and GCC as per CBUAE / AEP guidance. Card issuance, renewal, replacement, and closure processes shall support Jaywan mono-badged cards and the corresponding customer communication and documentation shall clearly indicate Jaywan as the domestic scheme.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1. Receipt of formal scheme participation confirmation and product guidelines for Jaywan mono-badged cards from AEP / CBUAE.</w:t>
              <w:br/>
              <w:t>2. Availability of product configuration capability in the bank’s card management system for Jaywan mono-badged cards.</w:t>
              <w:br/>
              <w:t>3. Agreement of internal stakeholders (Business, Operations, Finance, IT) on product constructs and pricing within regulatory boundaries.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1. The bank shall successfully create at least one active Jaywan mono-badged card product in the production card management system.</w:t>
              <w:br/>
              <w:t>2. The bank shall issue Jaywan mono-badged cards to eligible customers in accordance with CBUAE and AEP guidance.</w:t>
              <w:br/>
              <w:t>3. Domestic transactions on Jaywan mono-badged cards within the UAE shall be routed via the Jaywan domestic card scheme in line with configured rules.</w:t>
              <w:br/>
              <w:t>4. GCC usage behaviour, if explicitly enabled by AEP, shall be validated in test environments or pilot usage as per CBUAE / AEP approvals.</w:t>
              <w:br/>
              <w:t>5. Card lifecycle events (activation, renewal, replacement, closure) for Jaywan mono-badged cards shall be processed without functional defects in accordance with internal operations procedures.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1. If AEP or CBUAE restrict GCC usage for Jaywan mono-badged cards at any time, the bank shall configure the card product to support UAE-only usage and update customer communications accordingly.</w:t>
              <w:br/>
              <w:t>2. If a customer holding an existing international scheme card requests migration to a Jaywan mono-badged card, the bank shall follow an internal migration process that shall ensure proper closure of the existing card and issuance of the Jaywan card in compliance with scheme and regulatory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1. CBUAE / AEP communication: Jaywan the UAE's First Domestic Card Scheme Introduced to Strengthen the UAE's Position as a Global Hub for Digital Payments (Public classification).</w:t>
              <w:br/>
              <w:t>2. Internal meeting minutes referencing Jaywan mono-badged card requirements discovery sessions.</w:t>
              <w:br/>
              <w:t>3. UAE central government circular requiring launch of Jaywan cards as referred to in the context.</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BR-002</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Issuance of Jaywan Co-Badged Cards with International Schemes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The bank shall issue Jaywan co-badged cards in partnership with international payment networks (e.g. Visa, MasterCard) to support both domestic and international transactions in line with CBUAE mandate reference 5480-2024 as cited in the context.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Currently, the bank issues Visa and/or MasterCard branded cards where domestic and international transactions are processed exclusively through the respective international schemes. No Jaywan co-badged card is in production.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The bank shall create co-badged Jaywan card products where the physical or virtual card shall carry Jaywan and at least one international scheme brand. Domestic transactions within the UAE shall be processed through Jaywan, while international transactions shall be processed through the respective international scheme, in accordance with CBUAE and AEP guidance.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1. Receipt of CBUAE mandate and AEP implementation guidelines for Jaywan co-badged cards, including reference to mandate 5480-2024.</w:t>
              <w:br/>
              <w:t>2. Bilateral or multilateral agreements with the selected international schemes for co-badging with Jaywan.</w:t>
              <w:br/>
              <w:t>3. Card management system readiness to support co-badged product definition and routing attributes.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1. The bank shall successfully define at least one Jaywan co-badged card product with an international scheme in the card management system.</w:t>
              <w:br/>
              <w:t>2. Test transactions shall demonstrate that domestic transactions are routed via Jaywan and international transactions are routed via the international scheme in accordance with routing rules.</w:t>
              <w:br/>
              <w:t>3. Co-badged card plastic and digital representations shall reflect both Jaywan and the international scheme branding as per scheme rules, once available internally.</w:t>
              <w:br/>
              <w:t>4. Lifecycle operations for co-badged cards (issuance, reissuance, renewal, closure) shall complete successfully without functional breaks.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1. If an international scheme is not yet ready to support Jaywan co-badging for a specific product type, the bank shall proceed with Jaywan mono-badged issuance for domestic needs while maintaining separate international scheme products for cross-border usage.</w:t>
              <w:br/>
              <w:t>2. If regulatory guidance requires adjustment to routing logic (e.g. temporary routing through international scheme for certain merchant categories), the bank shall reconfigure routing while maintaining compliance with the latest CBUAE instructions.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1. CBUAE circular reference 5480-2024 as quoted in the provided context regarding co-badged card issuance.</w:t>
              <w:br/>
              <w:t>2. CBUAE / AEP communication on offering mono-badge and co-badge card options to customers.</w:t>
              <w:br/>
              <w:t>3. Internal discovery session schedule for Jaywan mono-badged and co-badged additional requirements.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BR-003</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Domestic and International Routing Configuration for Jaywan and Co-Badged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The bank shall configure card transaction routing to ensure that Jaywan is used for domestic transactions while international schemes are used for cross-border transactions, in alignment with CBUAE and AEP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Existing routing rules are aligned with international schemes and do not distinguish Jaywan domestic scheme usage. Domestic transactions are routed based on current BIN and scheme allocations of Visa and MasterCard.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The bank shall configure routing such that domestic transactions within the UAE on Jaywan mono-badged and Jaywan co-badged cards shall be routed through the Jaywan domestic scheme and cross-border transactions shall be routed through the international scheme component of co-badged cards, where applicable, in accordance with the central government instruction that cards must support both domestic and international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1. BIN allocation and routing tables for Jaywan mono-badged and co-badged products from AEP / CBUAE.</w:t>
              <w:br/>
              <w:t>2. Network connectivity and certification with Jaywan domestic switching and with international schemes for co-badged routing.</w:t>
              <w:br/>
              <w:t>3. Internal routing configuration capability in the bank’s authorization and switch systems.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1. Test cases shall confirm that domestic transactions (ATM, POS, e-commerce) for Jaywan-enabled BINs are routed via the Jaywan scheme.</w:t>
              <w:br/>
              <w:t>2. Test cases shall confirm that international transactions on co-badged cards are routed via the assigned international scheme.</w:t>
              <w:br/>
              <w:t>3. No domestic transaction on Jaywan-enabled BINs shall be routed to an international scheme unless explicitly mandated by CBUAE or AEP.</w:t>
              <w:br/>
              <w:t>4. Routing behaviour shall be consistent across ATM, POS, and e-commerce channels in accordance with the documented process flows.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1. In the event of Jaywan scheme unavailability, the bank shall follow CBUAE/AEP contingency guidance, which may include controlled fallback to international schemes where permitted; such contingency routing shall be logged and reported as per regulatory requirements when specified.</w:t>
              <w:br/>
              <w:t>2. For merchants or channels not yet enabled for Jaywan, transactions may be routed through the co-badged international scheme until Jaywan enablement is complete, provided such behaviour does not conflict with CBUAE instructions.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1. UAE central government statement that card routing must be accordingly configured to support both domestic and international transactions as mentioned in the context.</w:t>
              <w:br/>
              <w:t>2. CBUAE / AEP Jaywan readiness documentation indicating domestic activation of the scheme.</w:t>
              <w:br/>
              <w:t>3. Internal documented process flow for CBUAE DMS (to-be for e-commerce and tokenization transactions).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BR-004</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Alignment to CBUAE Domestic Messaging System (DMS) for E-Commerce and Tokenization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The bank shall align its transaction processing for Jaywan-related e-commerce and tokenization transactions with the CBUAE Domestic Messaging System (DMS) as documented in the to-be process flows.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The bank currently supports VISA DMS for Visa e-commerce and tokenization transactions and supports SMS flows for ATM and POS. CBUAE DMS for e-commerce and tokenization is documented as to-be and is not fully implemented.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For Jaywan transactions, the bank shall adopt CBUAE DMS for e-commerce and tokenization channels as per the documented to-be process flow. The end-to-end process shall cover authorization, clearing, settlement, reversals, and dispute initiation in accordance with the domestic system’s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1. Availability of CBUAE DMS interface specifications and process guidelines for e-commerce and tokenized Jaywan transactions.</w:t>
              <w:br/>
              <w:t>2. Completion of system changes and integration between the bank’s switch, card management, e-commerce gateway, and CBUAE DMS.</w:t>
              <w:br/>
              <w:t>3. Internal validation of the documented to-be process flows with Business and IT stakeholders.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1. End-to-end test scenarios for Jaywan e-commerce transactions via CBUAE DMS shall execute successfully including authorization and subsequent clearing.</w:t>
              <w:br/>
              <w:t>2. Tokenized Jaywan transactions processed through digital channels shall follow the CBUAE DMS to-be process as documented.</w:t>
              <w:br/>
              <w:t>3. No regression shall be observed in existing VISA DMS processing for Visa transactions as per current scope.</w:t>
              <w:br/>
              <w:t>4. Operational teams shall confirm that the documented to-be workflows are aligned with the actual system behaviour.</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1. If CBUAE DMS for certain e-commerce or tokenized scenarios is not yet live, the bank shall process those transactions using existing supported channels in accordance with interim guidance from CBUAE and AEP when provided.</w:t>
              <w:br/>
              <w:t>2. In case of CBUAE DMS downtime, the bank shall follow approved contingency procedures defined by CBUAE / AEP, once formally communicated.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1. Internal documented process flow: current SMS (ATM, POS), current VISA DMS (Visa e-commerce and tokenization transactions), CBUAE DMS (to-be for e-commerce and tokenization transactions) as referenced in the meeting notes.</w:t>
              <w:br/>
              <w:t>2. CBUAE / AEP guidance on domestic e-commerce and tokenization enablement for Jaywan.</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BR-005</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Inclusion of POS Tokenized Transactions in Jaywan Scope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The bank shall ensure that POS tokenized transactions are explicitly covered within the scope of Jaywan processing in accordance with stakeholder feedback.</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POS tokenized transactions are currently processed primarily under existing schemes such as Visa, under the bank’s existing tokenization and DMS/SMS configurations. Jaywan-specific treatment is not explicitly defined.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POS tokenized transactions using Jaywan cards shall be processed in accordance with CBUAE DMS and Jaywan scheme rules, and shall be included in all relevant authorization, clearing, reconciliation, dispute and reporting processes defined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1. Confirmation from AEP / CBUAE that POS tokenized transactions are supported for Jaywan.</w:t>
              <w:br/>
              <w:t>2. Availability of POS and wallet integration configurations supporting Jaywan tokenization.</w:t>
              <w:br/>
              <w:t>3. Agreement between Business and IT on inclusion of POS tokenization flows in the Jaywan scope as highlighted by stakeholders.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1. Test POS tokenized transactions using Jaywan cards shall be processed end-to-end with successful authorization and settlement.</w:t>
              <w:br/>
              <w:t>2. POS tokenized Jaywan transactions shall appear correctly in relevant reports and reconciliation outputs.</w:t>
              <w:br/>
              <w:t>3. Reversal and dispute processes for POS tokenized Jaywan transactions shall operate consistently with non-tokenized Jaywan POS transactions in line with available scheme guidance.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1. If POS tokenization for Jaywan is not yet available across all POS terminals, the bank shall allow fallback to non-tokenized card-present Jaywan transactions where supported.</w:t>
              <w:br/>
              <w:t>2. If a specific wallet provider does not yet support Jaywan tokenization, customers shall be informed of the limitation and guided to use supported wallets, subject to AEP announcements regarding wallet readiness.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1. Meeting notes indicating that POS tokenized transactions may need to be in scope.</w:t>
              <w:br/>
              <w:t>2. Internal documented process flows for tokenization transactions under VISA DMS and CBUAE DMS to-be.</w:t>
              <w:br/>
              <w:t>3. CBUAE-classified public content referencing Jaywan enablement on Samsung Wallet and subsequent enablement on Google Pay and Apple Pay.</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BR-006</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Support for Jaywan on Digital Wallets (Samsung Wallet, Google Pay, Apple Pay)</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The bank shall support provisioning and usage of Jaywan cards on Samsung Wallet and prepare for enablement on Google Pay and Apple Pay in accordance with the phased rollout described in the CBUAE-classified public content.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Existing digital wallet integrations (if any) are primarily focused on international scheme cards. Jaywan-specific wallet provisioning and transaction handling are not yet implemented.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The bank shall enable customers to provision eligible Jaywan cards into Samsung Wallet and shall prepare for subsequent enablement on Google Pay and Apple Pay as these services become available for Jaywan. Transactions performed via these wallets shall be processed through Jaywan for domestic usage in line with routing rules and CBUAE / AEP guidance.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1. Confirmation from AEP and wallet providers regarding Jaywan support in Samsung Wallet, and later Google Pay and Apple Pay.</w:t>
              <w:br/>
              <w:t>2. Availability of tokenization and wallet provisioning interfaces compatible with Jaywan.</w:t>
              <w:br/>
              <w:t>3. Completion of required certification and testing with AEP and wallet providers for Jaywan wallet usage.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1. Customers shall be able to successfully add eligible Jaywan cards to Samsung Wallet following prescribed security and verification steps.</w:t>
              <w:br/>
              <w:t>2. Test transactions using Jaywan via Samsung Wallet shall be processed successfully for domestic payments.</w:t>
              <w:br/>
              <w:t>3. Once enabled, Google Pay and Apple Pay shall support Jaywan card provisioning and domestic transaction processing in a similar manner.</w:t>
              <w:br/>
              <w:t>4. Wallet-based Jaywan transactions shall be visible in customer statements and internal reporting in a manner consistent with other Jaywan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1. If a customer attempts to add a Jaywan card to a wallet that does not yet support Jaywan, the bank shall provide a clear message through available channels indicating that Jaywan wallet support is not yet available for that provider.</w:t>
              <w:br/>
              <w:t>2. In case of issues in wallet provisioning for Jaywan, customers shall be able to continue using physical Jaywan cards for payments without impact.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1. CBUAE-classified public content referencing the addition of Jaywan cards into Samsung Wallet and future implementation on Google Pay and Apple Pay.</w:t>
              <w:br/>
              <w:t>2. Internal digital channels roadmap that references wallet integrations for card payments.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BR-007</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Reversals, Refunds, and Chargebacks for Jaywan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The bank shall define and implement processes for reversals, refunds, and chargebacks relating to Jaywan mono-badged and co-badged transactions consistent with existing practices and scheme guidance where explicitly referenced.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Current reversals, refunds, and chargebacks processes exist for existing schemes such as Visa and are operated by Operations and Disputes teams. Jaywan-specific process details are not fully defined in the provided context, though stakeholders have indicated updates are in progress.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The bank shall extend its reversals, refunds, and chargebacks operational processes to include Jaywan transactions across ATM, POS, e-commerce and tokenized channels, aligning with CBUAE and AEP rules when they are formally published and adopted by the bank.</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1. Availability of Jaywan scheme rules and CBUAE guidance on reversals, refunds, and dispute handling.</w:t>
              <w:br/>
              <w:t>2. Internal agreement between Business, Operations, and IT on how Jaywan disputes shall map to existing dispute workflows.</w:t>
              <w:br/>
              <w:t>3. Completion of updates outlined by stakeholders on reversals, refunds, and chargebacks processes for Jaywan-related flows as referenced in meetings.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1. Operations shall be able to initiate and process reversals and refunds for Jaywan transactions through existing or extended systems.</w:t>
              <w:br/>
              <w:t>2. Chargeback cases shall be created and tracked for Jaywan transactions in alignment with agreed internal procedures.</w:t>
              <w:br/>
              <w:t>3. Reporting for reversals, refunds, and chargebacks shall distinguish Jaywan from other schemes where required for regulatory or internal purposes.</w:t>
              <w:br/>
              <w:t>4. No unresolved process gaps shall remain for Jaywan disputes in the documented operating procedures.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1. If specific Jaywan chargeback rules differ from existing scheme rules, the bank shall document Jaywan-specific paths in the dispute procedures while retaining the overall dispute management framework.</w:t>
              <w:br/>
              <w:t>2. Where chargeback is not allowed under Jaywan rules for a specific case type, the bank shall follow CBUAE guidance for handling such cases (e.g. customer compensation from the bank’s own funds where applicable, subject to regulatory instructions when available).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1. Meeting notes indicating updates on reversals, refunds, and chargebacks for Jaywan-related flows.</w:t>
              <w:br/>
              <w:t>2. AEP / CBUAE Jaywan scheme documentation on dispute processing when formally supplied to the bank.</w:t>
              <w:br/>
              <w:t>3. Existing internal dispute handling procedures for international schemes for reference alignment.</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BR-008</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Reconciliation and Reporting for Jaywan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The bank shall establish reconciliation and reporting capabilities for Jaywan mono-badged and co-badged transactions in alignment with reports received from CBUAE / AEP and internal Finance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Existing reconciliation and reporting processes are focused on international schemes and internal GL structures. Stakeholders have requested documentation for reconciliation and have obtained original reports from CBUAE to support this.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The bank shall perform daily and periodic reconciliation of Jaywan transactions and balances using source data from CBUAE / AEP reports and internal ledgers, and shall generate internal and regulatory reports covering Jaywan transaction volumes, values, and other required metrics.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1. Availability of original CBUAE / AEP reports for Jaywan transactions as mentioned in the context.</w:t>
              <w:br/>
              <w:t>2. Finalisation of GL account structure applicable to Jaywan as confirmed by Finance.</w:t>
              <w:br/>
              <w:t>3. Definition and documentation of the end-to-end reconciliation process for Jaywan by Finance and Operations teams.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1. The bank shall be able to reconcile Jaywan transaction totals between internal systems and CBUAE / AEP reports within defined tolerance levels agreed internally.</w:t>
              <w:br/>
              <w:t>2. GL postings for Jaywan-related entries shall map to the confirmed GL structure with no unexplained variances.</w:t>
              <w:br/>
              <w:t>3. Reports required by CBUAE / AEP related to Jaywan usage (where referenced in available documents) shall be produced accurately and within required timelines.</w:t>
              <w:br/>
              <w:t>4. Documentation requested for reconciliation by stakeholders shall be completed, reviewed, and baselined.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1. If any discrepancy is identified between CBUAE / AEP reports and internal records, the bank shall follow its standard reconciliation exception handling process to investigate and resolve the variance.</w:t>
              <w:br/>
              <w:t>2. If a specific regulatory report layout changes, the bank shall update its reporting logic while preserving data integrity for past reporting periods.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1. Meeting notes referencing clarification of report queries with business and receipt of original report from CBUAE.</w:t>
              <w:br/>
              <w:t>2. Stakeholder request for documentation on reconciliation.</w:t>
              <w:br/>
              <w:t>3. Confirmation that GL details are ready based on Finance team input as mentioned in the context.</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BR-009</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General Ledger (GL) Structure for Jaywan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The bank shall maintain a GL structure capable of capturing Jaywan-related financial entries as confirmed by the Finance team.</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The GL structure currently supports international schemes and other payment instruments. GL details for Jaywan have been confirmed as ready by the Finance team according to the meeting notes.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The bank shall utilise the confirmed GL details to record all Jaywan-related fees, interchange, chargebacks, settlements, and other financial movements, ensuring clear segregation from other schemes where required by Finance and CBUAE.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1. Formal documentation of the GL mapping table for Jaywan transactions as endorsed by Finance.</w:t>
              <w:br/>
              <w:t>2. Updates to posting rules in relevant systems (card management, switch, reconciliation tools) to reference Jaywan GL accounts.</w:t>
              <w:br/>
              <w:t>3. Business and IT review of example transactions to validate GL postings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1. Sample Jaywan transactions shall post to the correct GL accounts as per the Finance-approved mapping.</w:t>
              <w:br/>
              <w:t>2. Finance shall confirm that Jaywan-related balances and income/expense items can be identified for management and regulatory reporting.</w:t>
              <w:br/>
              <w:t>3. No conflicts shall arise between Jaywan GL accounts and existing scheme GL accounts in terms of coding and reporting.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1. If Finance updates the GL mapping for Jaywan after initial go-live, the bank shall implement controlled changes ensuring historical data remains traceable.</w:t>
              <w:br/>
              <w:t>2. If a new Jaywan product type is introduced, Finance shall define additional GL mappings before activation of the product.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1. Meeting notes indicating that GL details are ready based on Finance confirmation.</w:t>
              <w:br/>
              <w:t>2. Internal GL mapping documentation for card schemes.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BR-010</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Governance of Discovery Sessions and Demand Management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The bank shall conduct structured discovery sessions and manage additional requirements for Jaywan mono-badged and co-badged cards through a formal demand management process.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Discovery and clarification sessions have been scheduled between Business and IT teams, Card Operations, and other stakeholders to review processes such as dual messaging, VISA process adoption, and potential queries to AEP. A formalised ongoing governance framework is implied but not detailed in the provided context.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The bank shall maintain a planned schedule of discovery sessions to capture further Jaywan-related requirements (including alignment with Visa process where applicable, questions for AEP, and demand discussions). Outputs from these sessions shall be documented and integrated into the demand pipeline for prioritisation and implementation.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1. Agreement among Business, IT, and Operations on meeting cadence and scope for Jaywan-related discovery.</w:t>
              <w:br/>
              <w:t>2. Availability of up-to-date process documentation for current SMS, VISA DMS, and CBUAE DMS to-be flows.</w:t>
              <w:br/>
              <w:t>3. Defined process for logging, prioritising, and tracking Jaywan-related change requests.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1. All planned discovery sessions listed in the meeting schedule for Jaywan mono-badged and co-badged cards shall be conducted and minuted.</w:t>
              <w:br/>
              <w:t>2. Identified requirements and queries to AEP from these sessions shall be recorded and tracked to closure.</w:t>
              <w:br/>
              <w:t>3. The demand backlog for Jaywan shall be visible to key stakeholders with clear status and ownership for each item.</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1. If new regulatory guidance arises between scheduled discovery sessions, an ad-hoc session shall be convened to assess impacts on Jaywan requirements.</w:t>
              <w:br/>
              <w:t>2. If certain items require direct clarification from AEP or CBUAE, they shall be escalated via the agreed liaison channels and the requirement baselining shall occur only after formal clarification is received.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1. Meeting schedule titled 'Discovery sessions for additional requirements for Jaywan Mono badged cards, Jaywan co badged cards'.</w:t>
              <w:br/>
              <w:t>2. Meeting minutes outlining agenda items including review of dual messaging, Visa process clarification, and queries to be requested to AEP.</w:t>
              <w:br/>
              <w:t>3. TCS Confidential meeting overview email summarising ongoing discussions.</w:t>
            </w:r>
          </w:p>
        </w:tc>
      </w:tr>
    </w:tbl>
    <w:p>
      <w:pPr>
        <w:pStyle w:val="Normal"/>
        <w:rPr/>
      </w:pPr>
      <w:r>
        <w:rPr/>
      </w:r>
    </w:p>
    <w:p>
      <w:pPr>
        <w:pStyle w:val="Normal"/>
        <w:rPr>
          <w:b/>
          <w:bCs/>
        </w:rPr>
      </w:pPr>
      <w:r>
        <w:rPr>
          <w:b/>
          <w:bCs/>
        </w:rPr>
        <w:t>Requirement Traceability Matrix</w:t>
      </w:r>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bottom w:val="single" w:sz="4" w:space="0" w:color="000000"/>
              <w:right w:val="single" w:sz="4" w:space="0" w:color="000000"/>
            </w:tcBorders>
          </w:tcPr>
          <w:p>
            <w:r>
              <w:t>BR-001</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bottom w:val="single" w:sz="4" w:space="0" w:color="000000"/>
              <w:right w:val="single" w:sz="4" w:space="0" w:color="000000"/>
            </w:tcBorders>
          </w:tcPr>
          <w:p>
            <w:r>
              <w:t>Issuance and lifecycle management of Jaywan mono-badged cards for domestic and GCC usage.</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bottom w:val="single" w:sz="4" w:space="0" w:color="000000"/>
              <w:right w:val="single" w:sz="4" w:space="0" w:color="000000"/>
            </w:tcBorders>
          </w:tcPr>
          <w:p>
            <w:r>
              <w:t>CBUAE / AEP public communication on Jaywan domestic card scheme; internal business product management.</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bottom w:val="single" w:sz="4" w:space="0" w:color="000000"/>
              <w:right w:val="single" w:sz="4" w:space="0" w:color="000000"/>
            </w:tcBorders>
          </w:tcPr>
          <w:p>
            <w:r>
              <w:t>Card Management System, Authorization Switch, Customer Onboarding Systems, ATM/POS Acquiring Systems.</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bottom w:val="single" w:sz="4" w:space="0" w:color="000000"/>
              <w:right w:val="single" w:sz="4" w:space="0" w:color="000000"/>
            </w:tcBorders>
          </w:tcPr>
          <w:p>
            <w:r>
              <w:t>New Jaywan mono-badged card products available to customers with domestic routing via Jaywan.</w:t>
            </w:r>
          </w:p>
        </w:tc>
      </w:tr>
    </w:tbl>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bottom w:val="single" w:sz="4" w:space="0" w:color="000000"/>
              <w:right w:val="single" w:sz="4" w:space="0" w:color="000000"/>
            </w:tcBorders>
          </w:tcPr>
          <w:p>
            <w:r>
              <w:t>BR-002</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bottom w:val="single" w:sz="4" w:space="0" w:color="000000"/>
              <w:right w:val="single" w:sz="4" w:space="0" w:color="000000"/>
            </w:tcBorders>
          </w:tcPr>
          <w:p>
            <w:r>
              <w:t>Issuance of Jaywan co-badged cards with international schemes to support domestic and international transactions.</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bottom w:val="single" w:sz="4" w:space="0" w:color="000000"/>
              <w:right w:val="single" w:sz="4" w:space="0" w:color="000000"/>
            </w:tcBorders>
          </w:tcPr>
          <w:p>
            <w:r>
              <w:t>Central government circular and CBUAE mandate reference 5480-2024 as stated in context; AEP communication on mono-badge and co-badge options.</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bottom w:val="single" w:sz="4" w:space="0" w:color="000000"/>
              <w:right w:val="single" w:sz="4" w:space="0" w:color="000000"/>
            </w:tcBorders>
          </w:tcPr>
          <w:p>
            <w:r>
              <w:t>Card Management System, Authorization Switch, Scheme Interfaces (Visa, MasterCard), Card Personalisation Systems.</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bottom w:val="single" w:sz="4" w:space="0" w:color="000000"/>
              <w:right w:val="single" w:sz="4" w:space="0" w:color="000000"/>
            </w:tcBorders>
          </w:tcPr>
          <w:p>
            <w:r>
              <w:t>Co-badged Jaywan cards that comply with domestic and international usage requirements.</w:t>
            </w:r>
          </w:p>
        </w:tc>
      </w:tr>
    </w:tbl>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bottom w:val="single" w:sz="4" w:space="0" w:color="000000"/>
              <w:right w:val="single" w:sz="4" w:space="0" w:color="000000"/>
            </w:tcBorders>
          </w:tcPr>
          <w:p>
            <w:r>
              <w:t>BR-003</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bottom w:val="single" w:sz="4" w:space="0" w:color="000000"/>
              <w:right w:val="single" w:sz="4" w:space="0" w:color="000000"/>
            </w:tcBorders>
          </w:tcPr>
          <w:p>
            <w:r>
              <w:t>Configuration of routing rules to direct domestic transactions through Jaywan and international transactions through co-badged schemes.</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bottom w:val="single" w:sz="4" w:space="0" w:color="000000"/>
              <w:right w:val="single" w:sz="4" w:space="0" w:color="000000"/>
            </w:tcBorders>
          </w:tcPr>
          <w:p>
            <w:r>
              <w:t>CBUAE / central government instruction that cards must support both domestic and international transactions and routing must be accordingly configured.</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bottom w:val="single" w:sz="4" w:space="0" w:color="000000"/>
              <w:right w:val="single" w:sz="4" w:space="0" w:color="000000"/>
            </w:tcBorders>
          </w:tcPr>
          <w:p>
            <w:r>
              <w:t>Authorization Switch, Network Gateways, ATM/POS Host Systems, E-commerce Payment Gateways.</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bottom w:val="single" w:sz="4" w:space="0" w:color="000000"/>
              <w:right w:val="single" w:sz="4" w:space="0" w:color="000000"/>
            </w:tcBorders>
          </w:tcPr>
          <w:p>
            <w:r>
              <w:t>Regulatory-compliant routing behaviour for Jaywan and co-badged transactions.</w:t>
            </w:r>
          </w:p>
        </w:tc>
      </w:tr>
    </w:tbl>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bottom w:val="single" w:sz="4" w:space="0" w:color="000000"/>
              <w:right w:val="single" w:sz="4" w:space="0" w:color="000000"/>
            </w:tcBorders>
          </w:tcPr>
          <w:p>
            <w:r>
              <w:t>BR-004</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bottom w:val="single" w:sz="4" w:space="0" w:color="000000"/>
              <w:right w:val="single" w:sz="4" w:space="0" w:color="000000"/>
            </w:tcBorders>
          </w:tcPr>
          <w:p>
            <w:r>
              <w:t>Adoption of CBUAE Domestic Messaging System (DMS) for Jaywan e-commerce and tokenization transactions in line with to-be process flows.</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bottom w:val="single" w:sz="4" w:space="0" w:color="000000"/>
              <w:right w:val="single" w:sz="4" w:space="0" w:color="000000"/>
            </w:tcBorders>
          </w:tcPr>
          <w:p>
            <w:r>
              <w:t>Documented process flow covering current SMS, current VISA DMS, and CBUAE DMS to-be for e-commerce and tokenization.</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bottom w:val="single" w:sz="4" w:space="0" w:color="000000"/>
              <w:right w:val="single" w:sz="4" w:space="0" w:color="000000"/>
            </w:tcBorders>
          </w:tcPr>
          <w:p>
            <w:r>
              <w:t>E-commerce Gateway, Tokenization Platform, Authorization Switch, Reconciliation Systems.</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bottom w:val="single" w:sz="4" w:space="0" w:color="000000"/>
              <w:right w:val="single" w:sz="4" w:space="0" w:color="000000"/>
            </w:tcBorders>
          </w:tcPr>
          <w:p>
            <w:r>
              <w:t>Domestic e-commerce and tokenized Jaywan transactions processed via CBUAE DMS.</w:t>
            </w:r>
          </w:p>
        </w:tc>
      </w:tr>
    </w:tbl>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bottom w:val="single" w:sz="4" w:space="0" w:color="000000"/>
              <w:right w:val="single" w:sz="4" w:space="0" w:color="000000"/>
            </w:tcBorders>
          </w:tcPr>
          <w:p>
            <w:r>
              <w:t>BR-005</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bottom w:val="single" w:sz="4" w:space="0" w:color="000000"/>
              <w:right w:val="single" w:sz="4" w:space="0" w:color="000000"/>
            </w:tcBorders>
          </w:tcPr>
          <w:p>
            <w:r>
              <w:t>Inclusion of POS tokenized transactions in the scope of Jaywan processing.</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bottom w:val="single" w:sz="4" w:space="0" w:color="000000"/>
              <w:right w:val="single" w:sz="4" w:space="0" w:color="000000"/>
            </w:tcBorders>
          </w:tcPr>
          <w:p>
            <w:r>
              <w:t>Stakeholder comment in meeting that POS tokenized transactions may need to be in scope.</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bottom w:val="single" w:sz="4" w:space="0" w:color="000000"/>
              <w:right w:val="single" w:sz="4" w:space="0" w:color="000000"/>
            </w:tcBorders>
          </w:tcPr>
          <w:p>
            <w:r>
              <w:t>POS Terminals, Tokenization Service, Authorization Switch, Card Management System.</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bottom w:val="single" w:sz="4" w:space="0" w:color="000000"/>
              <w:right w:val="single" w:sz="4" w:space="0" w:color="000000"/>
            </w:tcBorders>
          </w:tcPr>
          <w:p>
            <w:r>
              <w:t>POS tokenized Jaywan transactions processed and reported consistently with other Jaywan transactions.</w:t>
            </w:r>
          </w:p>
        </w:tc>
      </w:tr>
    </w:tbl>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bottom w:val="single" w:sz="4" w:space="0" w:color="000000"/>
              <w:right w:val="single" w:sz="4" w:space="0" w:color="000000"/>
            </w:tcBorders>
          </w:tcPr>
          <w:p>
            <w:r>
              <w:t>BR-006</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bottom w:val="single" w:sz="4" w:space="0" w:color="000000"/>
              <w:right w:val="single" w:sz="4" w:space="0" w:color="000000"/>
            </w:tcBorders>
          </w:tcPr>
          <w:p>
            <w:r>
              <w:t>Support for Jaywan card provisioning and usage on Samsung Wallet and later Google Pay and Apple Pay.</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bottom w:val="single" w:sz="4" w:space="0" w:color="000000"/>
              <w:right w:val="single" w:sz="4" w:space="0" w:color="000000"/>
            </w:tcBorders>
          </w:tcPr>
          <w:p>
            <w:r>
              <w:t>CBUAE-classified public information on wallet enablement and expansion of Jaywan usability.</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bottom w:val="single" w:sz="4" w:space="0" w:color="000000"/>
              <w:right w:val="single" w:sz="4" w:space="0" w:color="000000"/>
            </w:tcBorders>
          </w:tcPr>
          <w:p>
            <w:r>
              <w:t>Digital Wallet Integration Layer, Tokenization Platform, Mobile Banking Interfaces, Authorization Switch.</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bottom w:val="single" w:sz="4" w:space="0" w:color="000000"/>
              <w:right w:val="single" w:sz="4" w:space="0" w:color="000000"/>
            </w:tcBorders>
          </w:tcPr>
          <w:p>
            <w:r>
              <w:t>Jaywan cardholders able to use domestic scheme cards through supported digital wallets.</w:t>
            </w:r>
          </w:p>
        </w:tc>
      </w:tr>
    </w:tbl>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bottom w:val="single" w:sz="4" w:space="0" w:color="000000"/>
              <w:right w:val="single" w:sz="4" w:space="0" w:color="000000"/>
            </w:tcBorders>
          </w:tcPr>
          <w:p>
            <w:r>
              <w:t>BR-007</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bottom w:val="single" w:sz="4" w:space="0" w:color="000000"/>
              <w:right w:val="single" w:sz="4" w:space="0" w:color="000000"/>
            </w:tcBorders>
          </w:tcPr>
          <w:p>
            <w:r>
              <w:t>Processes for reversals, refunds, and chargebacks for Jaywan transactions.</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bottom w:val="single" w:sz="4" w:space="0" w:color="000000"/>
              <w:right w:val="single" w:sz="4" w:space="0" w:color="000000"/>
            </w:tcBorders>
          </w:tcPr>
          <w:p>
            <w:r>
              <w:t>Meeting notes indicating updates on reversals, refunds, and chargebacks; internal Operations and Disputes requirements.</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bottom w:val="single" w:sz="4" w:space="0" w:color="000000"/>
              <w:right w:val="single" w:sz="4" w:space="0" w:color="000000"/>
            </w:tcBorders>
          </w:tcPr>
          <w:p>
            <w:r>
              <w:t>Dispute Management System, Card Management System, Reconciliation System, GL Posting Engine.</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bottom w:val="single" w:sz="4" w:space="0" w:color="000000"/>
              <w:right w:val="single" w:sz="4" w:space="0" w:color="000000"/>
            </w:tcBorders>
          </w:tcPr>
          <w:p>
            <w:r>
              <w:t>Operational capability to handle after-sales transaction adjustments for Jaywan in line with scheme and regulatory expectations.</w:t>
            </w:r>
          </w:p>
        </w:tc>
      </w:tr>
    </w:tbl>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bottom w:val="single" w:sz="4" w:space="0" w:color="000000"/>
              <w:right w:val="single" w:sz="4" w:space="0" w:color="000000"/>
            </w:tcBorders>
          </w:tcPr>
          <w:p>
            <w:r>
              <w:t>BR-008</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bottom w:val="single" w:sz="4" w:space="0" w:color="000000"/>
              <w:right w:val="single" w:sz="4" w:space="0" w:color="000000"/>
            </w:tcBorders>
          </w:tcPr>
          <w:p>
            <w:r>
              <w:t>Reconciliation and reporting using CBUAE / AEP reports and internal GL for Jaywan.</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bottom w:val="single" w:sz="4" w:space="0" w:color="000000"/>
              <w:right w:val="single" w:sz="4" w:space="0" w:color="000000"/>
            </w:tcBorders>
          </w:tcPr>
          <w:p>
            <w:r>
              <w:t>Business clarifications on reports; receipt of original CBUAE report; request for reconciliation documentation.</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bottom w:val="single" w:sz="4" w:space="0" w:color="000000"/>
              <w:right w:val="single" w:sz="4" w:space="0" w:color="000000"/>
            </w:tcBorders>
          </w:tcPr>
          <w:p>
            <w:r>
              <w:t>Reconciliation Tools, Data Warehouse, Reporting Platforms, GL Systems.</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bottom w:val="single" w:sz="4" w:space="0" w:color="000000"/>
              <w:right w:val="single" w:sz="4" w:space="0" w:color="000000"/>
            </w:tcBorders>
          </w:tcPr>
          <w:p>
            <w:r>
              <w:t>Accurate reconciliation and reporting for Jaywan, supporting Finance and regulatory needs.</w:t>
            </w:r>
          </w:p>
        </w:tc>
      </w:tr>
    </w:tbl>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bottom w:val="single" w:sz="4" w:space="0" w:color="000000"/>
              <w:right w:val="single" w:sz="4" w:space="0" w:color="000000"/>
            </w:tcBorders>
          </w:tcPr>
          <w:p>
            <w:r>
              <w:t>BR-009</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bottom w:val="single" w:sz="4" w:space="0" w:color="000000"/>
              <w:right w:val="single" w:sz="4" w:space="0" w:color="000000"/>
            </w:tcBorders>
          </w:tcPr>
          <w:p>
            <w:r>
              <w:t>GL structure and mapping for Jaywan-related financial entries.</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bottom w:val="single" w:sz="4" w:space="0" w:color="000000"/>
              <w:right w:val="single" w:sz="4" w:space="0" w:color="000000"/>
            </w:tcBorders>
          </w:tcPr>
          <w:p>
            <w:r>
              <w:t>Finance team confirmation that GL details are ready for Jaywan.</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bottom w:val="single" w:sz="4" w:space="0" w:color="000000"/>
              <w:right w:val="single" w:sz="4" w:space="0" w:color="000000"/>
            </w:tcBorders>
          </w:tcPr>
          <w:p>
            <w:r>
              <w:t>GL Engine, Card Management System, Settlement and Clearing Systems, Reporting Systems.</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bottom w:val="single" w:sz="4" w:space="0" w:color="000000"/>
              <w:right w:val="single" w:sz="4" w:space="0" w:color="000000"/>
            </w:tcBorders>
          </w:tcPr>
          <w:p>
            <w:r>
              <w:t>Clear financial accounting and segregation of Jaywan transactions and balances.</w:t>
            </w:r>
          </w:p>
        </w:tc>
      </w:tr>
    </w:tbl>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bottom w:val="single" w:sz="4" w:space="0" w:color="000000"/>
              <w:right w:val="single" w:sz="4" w:space="0" w:color="000000"/>
            </w:tcBorders>
          </w:tcPr>
          <w:p>
            <w:r>
              <w:t>BR-010</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bottom w:val="single" w:sz="4" w:space="0" w:color="000000"/>
              <w:right w:val="single" w:sz="4" w:space="0" w:color="000000"/>
            </w:tcBorders>
          </w:tcPr>
          <w:p>
            <w:r>
              <w:t>Governance for discovery sessions and demand management for Jaywan.</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bottom w:val="single" w:sz="4" w:space="0" w:color="000000"/>
              <w:right w:val="single" w:sz="4" w:space="0" w:color="000000"/>
            </w:tcBorders>
          </w:tcPr>
          <w:p>
            <w:r>
              <w:t>Meeting schedule for discovery sessions and minutes capturing agenda items and required queries to AEP.</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bottom w:val="single" w:sz="4" w:space="0" w:color="000000"/>
              <w:right w:val="single" w:sz="4" w:space="0" w:color="000000"/>
            </w:tcBorders>
          </w:tcPr>
          <w:p>
            <w:r>
              <w:t>Project Management and Demand Management Tools, Documentation Repositories, Internal Governance Framework.</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bottom w:val="single" w:sz="4" w:space="0" w:color="000000"/>
              <w:right w:val="single" w:sz="4" w:space="0" w:color="000000"/>
            </w:tcBorders>
          </w:tcPr>
          <w:p>
            <w:r>
              <w:t>Controlled capture and prioritisation of additional Jaywan requirements and clarifications.</w:t>
            </w:r>
          </w:p>
        </w:tc>
      </w:tr>
    </w:tbl>
    <w:p>
      <w:pPr>
        <w:pStyle w:val="Normal"/>
        <w:rPr/>
      </w:pPr>
      <w:r>
        <w:rPr/>
      </w:r>
    </w:p>
    <w:p>
      <w:pPr>
        <w:pStyle w:val="Normal"/>
        <w:rPr>
          <w:b/>
          <w:bCs/>
        </w:rPr>
      </w:pPr>
      <w:r>
        <w:rPr>
          <w:b/>
          <w:bCs/>
        </w:rPr>
        <w:t>Non-functional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No. of users</w:t>
            </w:r>
          </w:p>
        </w:tc>
        <w:tc>
          <w:tcPr>
            <w:tcW w:w="4314" w:type="dxa"/>
            <w:tcBorders>
              <w:top w:val="single" w:sz="8" w:space="0" w:color="000000"/>
              <w:bottom w:val="single" w:sz="8" w:space="0" w:color="000000"/>
              <w:right w:val="single" w:sz="8" w:space="0" w:color="000000"/>
            </w:tcBorders>
          </w:tcPr>
          <w:p>
            <w:r>
              <w:t>The solution shall support all existing and new card customers of the bank who are eligible for Jaywan mono-badged and co-badged cards within the UAE, recognising that precise user counts are not specified in the provided context and shall be derived from internal portfolio data.</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Peak Volume</w:t>
            </w:r>
          </w:p>
        </w:tc>
        <w:tc>
          <w:tcPr>
            <w:tcW w:w="4314" w:type="dxa"/>
            <w:tcBorders>
              <w:bottom w:val="single" w:sz="8" w:space="0" w:color="000000"/>
              <w:right w:val="single" w:sz="8" w:space="0" w:color="000000"/>
            </w:tcBorders>
          </w:tcPr>
          <w:p>
            <w:r>
              <w:t>The solution shall be designed to handle peak transactional loads for domestic card payments across ATM, POS, e-commerce, and wallet channels in line with the bank’s current and projected transaction growth, noting that specific numerical volumes are not provided in the context and shall be defined during capacity planning.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Monthly Volume</w:t>
            </w:r>
          </w:p>
        </w:tc>
        <w:tc>
          <w:tcPr>
            <w:tcW w:w="4314" w:type="dxa"/>
            <w:tcBorders>
              <w:bottom w:val="single" w:sz="8" w:space="0" w:color="000000"/>
              <w:right w:val="single" w:sz="8" w:space="0" w:color="000000"/>
            </w:tcBorders>
          </w:tcPr>
          <w:p>
            <w:r>
              <w:t>The solution shall support monthly transaction volumes for Jaywan comparable to the bank’s domestic card usage forecasts, with exact figures to be confirmed by the bank’s capacity planning and Finance teams as they are not included in the provided material.</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Availability</w:t>
            </w:r>
          </w:p>
        </w:tc>
        <w:tc>
          <w:tcPr>
            <w:tcW w:w="4314" w:type="dxa"/>
            <w:tcBorders>
              <w:bottom w:val="single" w:sz="8" w:space="0" w:color="000000"/>
              <w:right w:val="single" w:sz="8" w:space="0" w:color="000000"/>
            </w:tcBorders>
          </w:tcPr>
          <w:p>
            <w:r>
              <w:t>Jaywan-related services (authorization, routing, and core processing) shall target high availability aligned with CBUAE expectations for critical payment infrastructure; specific percentage targets (e.g. 99.9% or higher) are not explicitly stated in the provided context and shall be agreed in separate service level agreements.</w:t>
            </w:r>
          </w:p>
        </w:tc>
      </w:tr>
    </w:tbl>
    <w:p>
      <w:pPr>
        <w:pStyle w:val="Normal"/>
        <w:rPr/>
      </w:pPr>
      <w:r>
        <w:rPr/>
      </w:r>
    </w:p>
    <w:p>
      <w:pPr>
        <w:pStyle w:val="Normal"/>
        <w:rPr/>
      </w:pPr>
      <w:r>
        <w:rPr>
          <w:b/>
          <w:bCs/>
        </w:rPr>
        <w:t>Impact on Operational process:</w:t>
      </w:r>
      <w:r>
        <w:rPr/>
        <w:t xml:space="preserve"> 1. Card Operations shall update procedures to cover issuance, maintenance, and closure of Jaywan mono-badged and co-badged cards, including any differences from existing scheme handling as documented.</w:t>
        <w:br/>
        <w:t>2. Operations teams handling ATM, POS, and e-commerce shall adjust workflows to accommodate Jaywan-specific routing, dual messaging, and CBUAE DMS processing as per the documented to-be flows.</w:t>
        <w:br/>
        <w:t>3. Dispute and Chargeback teams shall extend their standard operating procedures to include Jaywan reversals, refunds, and chargebacks as highlighted in stakeholder updates.</w:t>
        <w:br/>
        <w:t>4. Reconciliation and Finance teams shall embed Jaywan reports from CBUAE / AEP into daily and monthly reconciliation cycles using the confirmed GL structure and newly documented reconciliation processes.</w:t>
        <w:br/>
        <w:t>5. Customer service and front-line staff shall be equipped to handle customer queries related to Jaywan products, domestic vs international usage, and wallet enablement, in coordination with AEP’s awareness campaign.</w:t>
      </w:r>
    </w:p>
    <w:p>
      <w:pPr>
        <w:pStyle w:val="Normal"/>
        <w:rPr/>
      </w:pPr>
      <w:r>
        <w:rPr/>
      </w:r>
    </w:p>
    <w:p>
      <w:pPr>
        <w:pStyle w:val="Normal"/>
        <w:rPr/>
      </w:pPr>
      <w:r>
        <w:rPr/>
      </w:r>
    </w:p>
    <w:p>
      <w:pPr>
        <w:pStyle w:val="Normal"/>
        <w:rPr/>
      </w:pPr>
      <w:r>
        <w:rPr>
          <w:b/>
          <w:bCs/>
        </w:rPr>
        <w:t>Regulatory impact:</w:t>
      </w:r>
      <w:r>
        <w:rPr/>
        <w:t xml:space="preserve"> 1. The bank shall comply with central government and CBUAE mandates that all licensed financial institutions must launch Jaywan co-badged cards and configure card routing to support both domestic and international transactions, including mandate reference 5480-2024 as quoted in the context.</w:t>
        <w:br/>
        <w:t>2. The bank shall align with CBUAE and AEP directives regarding Jaywan mono-badged cards, co-badged options, and readiness of the financial infrastructure for local and global activation of Jaywan.</w:t>
        <w:br/>
        <w:t>3. The bank shall ensure adherence to any future CBUAE guidance on CBUAE Domestic Messaging System usage, reconciliation reporting, and cross-border bilateral agreements for Jaywan (e.g. with India by mid-2025) as referenced in the public classification content, subject to receipt of detailed regulations.</w:t>
        <w:br/>
        <w:t>4. The bank shall ensure that all changes remain compliant with broader CBUAE regulations applicable to card issuance, consumer protection, and digital payments, as interpreted by its Compliance function.</w:t>
      </w:r>
    </w:p>
    <w:p>
      <w:pPr>
        <w:pStyle w:val="Normal"/>
        <w:rPr/>
      </w:pPr>
      <w:r>
        <w:rPr/>
      </w:r>
    </w:p>
    <w:p>
      <w:pPr>
        <w:pStyle w:val="Normal"/>
        <w:rPr/>
      </w:pPr>
      <w:r>
        <w:rPr/>
      </w:r>
    </w:p>
    <w:p>
      <w:pPr>
        <w:pStyle w:val="Normal"/>
        <w:rPr/>
      </w:pPr>
      <w:r>
        <w:rPr>
          <w:b/>
          <w:bCs/>
        </w:rPr>
        <w:t>Reports requirement:</w:t>
      </w:r>
      <w:r>
        <w:rPr/>
        <w:t xml:space="preserve"> 1. The bank shall consume original reports shared by CBUAE / AEP for Jaywan transactions and use them as a basis for reconciliation and internal reporting, as referenced in the meeting notes.</w:t>
        <w:br/>
        <w:t>2. The bank shall produce internal management reports covering Jaywan transaction volumes, values, and scheme-level performance for mono-badged and co-badged cards, segregated by channel where necessary (ATM, POS, e-commerce, wallet).</w:t>
        <w:br/>
        <w:t>3. The bank shall maintain documentation on reconciliation for Jaywan as requested by stakeholders, ensuring that report definitions, data sources, and reconciliation rules are clearly described.</w:t>
        <w:br/>
        <w:t>4. Where CBUAE or AEP requires specific regulatory or statistical reporting for Jaywan usage, the bank shall generate and submit such reports in the required formats and timelines once formally communicated.</w:t>
      </w:r>
    </w:p>
    <w:p>
      <w:pPr>
        <w:pStyle w:val="Normal"/>
        <w:rPr/>
      </w:pPr>
      <w:r>
        <w:rPr/>
      </w:r>
    </w:p>
    <w:p>
      <w:pPr>
        <w:pStyle w:val="Normal"/>
        <w:rPr/>
      </w:pPr>
      <w:r>
        <w:rPr/>
      </w:r>
    </w:p>
    <w:p>
      <w:pPr>
        <w:pStyle w:val="Normal"/>
        <w:rPr/>
      </w:pPr>
      <w:r>
        <w:rPr>
          <w:b/>
          <w:bCs/>
        </w:rPr>
        <w:t>Access requirement:</w:t>
      </w:r>
      <w:r>
        <w:rPr/>
        <w:t xml:space="preserve"> 1. Access to Jaywan configuration and product setup within the card management system shall be restricted to authorised Product, IT, and Operations users following the bank’s role-based access controls.</w:t>
        <w:br/>
        <w:t>2. Access to reconciliation reports and GL postings related to Jaywan shall be limited to authorised Finance, Risk, and Audit personnel as per internal segregation of duties policies.</w:t>
        <w:br/>
        <w:t>3. Access to dispute and chargeback processing screens for Jaywan transactions shall be limited to authorised Operations staff in line with existing dispute handling controls.</w:t>
        <w:br/>
        <w:t>4. Access to documentation arising from discovery sessions, process flows, and AEP/CBUAE communications shall be controlled through internal document management systems with appropriate entitlements.</w:t>
      </w:r>
    </w:p>
    <w:p>
      <w:pPr>
        <w:pStyle w:val="Normal"/>
        <w:rPr/>
      </w:pPr>
      <w:r>
        <w:rPr/>
      </w:r>
    </w:p>
    <w:p>
      <w:pPr>
        <w:pStyle w:val="Normal"/>
        <w:rPr/>
      </w:pPr>
      <w:r>
        <w:rPr/>
      </w:r>
    </w:p>
    <w:p>
      <w:pPr>
        <w:pStyle w:val="Normal"/>
        <w:rPr/>
      </w:pPr>
      <w:r>
        <w:rPr>
          <w:b/>
          <w:bCs/>
        </w:rPr>
        <w:t>Security requirement:</w:t>
      </w:r>
      <w:r>
        <w:rPr/>
        <w:t xml:space="preserve"> 1. The bank shall ensure that all Jaywan cardholder data, including PANs and tokenized identifiers, is protected in accordance with applicable CBUAE guidelines and relevant card security standards; detailed security standards are not included in the provided context and shall be referenced from separate governance documents.</w:t>
        <w:br/>
        <w:t>2. Tokenization and wallet provisioning for Jaywan (Samsung Wallet, Google Pay, Apple Pay) shall follow secure provisioning and authentication mechanisms as defined by AEP and wallet providers.</w:t>
        <w:br/>
        <w:t>3. Access to Jaywan processing systems shall follow the bank’s existing information security policies, including authentication, authorisation, logging, and monitoring controls.</w:t>
        <w:br/>
        <w:t>4. Any bilateral or international expansion of Jaywan usage (e.g. agreements with India) shall be implemented in a manner that maintains confidentiality and integrity of transaction data as per CBUAE and AEP instructions when published.</w:t>
      </w:r>
    </w:p>
    <w:p>
      <w:pPr>
        <w:pStyle w:val="Normal"/>
        <w:rPr/>
      </w:pPr>
      <w:r>
        <w:rPr/>
      </w:r>
    </w:p>
    <w:p>
      <w:pPr>
        <w:pStyle w:val="Normal"/>
        <w:rPr/>
      </w:pPr>
      <w:r>
        <w:rPr/>
      </w:r>
    </w:p>
    <w:p>
      <w:pPr>
        <w:pStyle w:val="Normal"/>
        <w:rPr/>
      </w:pPr>
      <w:r>
        <w:rPr>
          <w:b/>
          <w:bCs/>
        </w:rPr>
        <w:t>Data requirement:</w:t>
      </w:r>
      <w:r>
        <w:rPr/>
        <w:t xml:space="preserve"> 1. The bank shall maintain accurate master data for Jaywan card products, including BIN ranges, scheme indicators, and routing attributes necessary for domestic and international processing.</w:t>
        <w:br/>
        <w:t>2. Transaction data for Jaywan, including mono-badged and co-badged transactions across channels (ATM, POS, e-commerce, wallets), shall be stored in transaction systems and downstream data stores for reconciliation, reporting, and audit in line with internal retention policies and CBUAE requirements, where specified elsewhere.</w:t>
        <w:br/>
        <w:t>3. Data models used for reporting and reconciliation shall support identification of Jaywan transactions separately from other schemes to facilitate regulatory and management analysis.</w:t>
        <w:br/>
        <w:t>4. Any data elements required by CBUAE / AEP in regulatory reports for Jaywan shall be captured at source and preserved through the data pipeline for accurate submission once formally specified.</w:t>
      </w:r>
    </w:p>
    <w:p>
      <w:pPr>
        <w:pStyle w:val="Normal"/>
        <w:rPr/>
      </w:pPr>
      <w:r>
        <w:rPr/>
      </w:r>
    </w:p>
    <w:p>
      <w:pPr>
        <w:pStyle w:val="Normal"/>
        <w:rPr/>
      </w:pPr>
      <w:r>
        <w:rPr/>
      </w:r>
    </w:p>
    <w:p>
      <w:pPr>
        <w:pStyle w:val="Normal"/>
        <w:rPr/>
      </w:pPr>
      <w:r>
        <w:rPr>
          <w:b/>
          <w:bCs/>
        </w:rPr>
        <w:t>Training requirement:</w:t>
      </w:r>
      <w:r>
        <w:rPr/>
        <w:t xml:space="preserve"> 1. Business, IT, Operations, and Customer Service teams shall receive training on Jaywan mono-badged and co-badged products, including domestic vs international routing behaviour, as part of the bank’s readiness activities.</w:t>
        <w:br/>
        <w:t>2. Operations staff in Card Operations, Reconciliation, and Disputes shall be trained on updated process flows for CBUAE DMS, reversals, refunds, chargebacks, and reconciliation specific to Jaywan.</w:t>
        <w:br/>
        <w:t>3. Digital channels and wallet support teams shall be trained on Jaywan wallet enablement (Samsung Wallet initially, and later Google Pay and Apple Pay) aligned with AEP’s public awareness campaign and internal timelines.</w:t>
        <w:br/>
        <w:t>4. Training materials shall reference official CBUAE and AEP communications on Jaywan where available, and shall be maintained under version control as regulations and scheme rules evolve.</w:t>
      </w:r>
    </w:p>
    <w:p>
      <w:pPr>
        <w:pStyle w:val="Normal"/>
        <w:rPr/>
      </w:pPr>
      <w:r>
        <w:rPr/>
      </w:r>
    </w:p>
    <w:p>
      <w:pPr>
        <w:pStyle w:val="Normal"/>
        <w:rPr/>
      </w:pPr>
      <w:r>
        <w:rPr/>
      </w:r>
    </w:p>
    <w:p>
      <w:pPr>
        <w:pStyle w:val="Normal"/>
        <w:widowControl/>
        <w:bidi w:val="0"/>
        <w:spacing w:lineRule="auto" w:line="278"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c147e"/>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c147e"/>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c147e"/>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c147e"/>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c147e"/>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c147e"/>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c147e"/>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c147e"/>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c147e"/>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c147e"/>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c147e"/>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c147e"/>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c147e"/>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c147e"/>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c147e"/>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c147e"/>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c147e"/>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c147e"/>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c147e"/>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c147e"/>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c147e"/>
    <w:rPr>
      <w:i/>
      <w:iCs/>
      <w:color w:themeColor="text1" w:themeTint="bf" w:val="404040"/>
    </w:rPr>
  </w:style>
  <w:style w:type="character" w:styleId="IntenseEmphasis">
    <w:name w:val="Intense Emphasis"/>
    <w:basedOn w:val="DefaultParagraphFont"/>
    <w:uiPriority w:val="21"/>
    <w:qFormat/>
    <w:rsid w:val="003c147e"/>
    <w:rPr>
      <w:i/>
      <w:iCs/>
      <w:color w:themeColor="accent1" w:themeShade="bf" w:val="0F4761"/>
    </w:rPr>
  </w:style>
  <w:style w:type="character" w:styleId="IntenseQuoteChar" w:customStyle="1">
    <w:name w:val="Intense Quote Char"/>
    <w:basedOn w:val="DefaultParagraphFont"/>
    <w:link w:val="IntenseQuote"/>
    <w:uiPriority w:val="30"/>
    <w:qFormat/>
    <w:rsid w:val="003c147e"/>
    <w:rPr>
      <w:i/>
      <w:iCs/>
      <w:color w:themeColor="accent1" w:themeShade="bf" w:val="0F4761"/>
    </w:rPr>
  </w:style>
  <w:style w:type="character" w:styleId="IntenseReference">
    <w:name w:val="Intense Reference"/>
    <w:basedOn w:val="DefaultParagraphFont"/>
    <w:uiPriority w:val="32"/>
    <w:qFormat/>
    <w:rsid w:val="003c147e"/>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3c147e"/>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c147e"/>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c147e"/>
    <w:pPr>
      <w:spacing w:before="160" w:after="160"/>
      <w:jc w:val="center"/>
    </w:pPr>
    <w:rPr>
      <w:i/>
      <w:iCs/>
      <w:color w:themeColor="text1" w:themeTint="bf" w:val="404040"/>
    </w:rPr>
  </w:style>
  <w:style w:type="paragraph" w:styleId="ListParagraph">
    <w:name w:val="List Paragraph"/>
    <w:basedOn w:val="Normal"/>
    <w:uiPriority w:val="34"/>
    <w:qFormat/>
    <w:rsid w:val="003c147e"/>
    <w:pPr>
      <w:spacing w:before="0" w:after="160"/>
      <w:ind w:left="720"/>
      <w:contextualSpacing/>
    </w:pPr>
    <w:rPr/>
  </w:style>
  <w:style w:type="paragraph" w:styleId="IntenseQuote">
    <w:name w:val="Intense Quote"/>
    <w:basedOn w:val="Normal"/>
    <w:next w:val="Normal"/>
    <w:link w:val="IntenseQuoteChar"/>
    <w:uiPriority w:val="30"/>
    <w:qFormat/>
    <w:rsid w:val="003c147e"/>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241</TotalTime>
  <Application>LibreOffice/25.2.7.2$Windows_X86_64 LibreOffice_project/5cbfd1ab6520636bb5f7b99185aa69bd7456825d</Application>
  <AppVersion>15.0000</AppVersion>
  <Pages>4</Pages>
  <Words>133</Words>
  <Characters>1223</Characters>
  <CharactersWithSpaces>1283</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2026-01-21T10:44:00Z</dcterms:created>
  <dc:creator>Md Anwar</dc:creator>
  <dc:description/>
  <dc:language>en-US</dc:language>
  <cp:lastModifiedBy/>
  <dcterms:modified xsi:type="dcterms:W3CDTF">2026-01-27T08:33:00Z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