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Jaywan Mono-badged and Co-badged Card Enablement</w:t>
      </w:r>
    </w:p>
    <w:p>
      <w:pPr>
        <w:pStyle w:val="Normal"/>
        <w:rPr/>
      </w:pPr>
      <w:r>
        <w:t>ID: BRS-JAYWAN-COBADGE-001</w:t>
      </w:r>
    </w:p>
    <w:p>
      <w:pPr>
        <w:pStyle w:val="Normal"/>
        <w:rPr/>
      </w:pPr>
      <w:r>
        <w:t>Program: Jaywan Domestic Card Scheme Enablement</w:t>
      </w:r>
    </w:p>
    <w:p>
      <w:pPr>
        <w:pStyle w:val="Normal"/>
        <w:rPr/>
      </w:pPr>
      <w:r>
        <w:t>Type: Business Requirements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Requirements Specification defines the business, regulatory and operational requirements for the implementation of the UAE domestic card scheme “Jaywan”, covering both mono-badged Jaywan cards for domestic and GCC usage and co-badged Jaywan cards with international schemes (e.g. Visa, Mastercard) for domestic and international usage. The requirements are based on the Central Bank of the UAE (CBUAE) mandate and circulars, and on the readiness of the Al Etihad Payments (AEP) infrastructure to support domestic card issuing and acquiring, including enablement for e‑commerce, tokenisation, mobile wallets and cross-border usage as communicated for the 2025 launch.</w:t>
      </w:r>
    </w:p>
    <w:p>
      <w:pPr>
        <w:pStyle w:val="Normal"/>
        <w:rPr/>
      </w:pPr>
      <w:r/>
    </w:p>
    <w:p>
      <w:pPr>
        <w:pStyle w:val="Normal"/>
        <w:rPr/>
      </w:pPr>
      <w:r>
        <w:t>Current constraints: CBUAE has mandated that all licensed financial institutions issuing international scheme cards (e.g. Visa, Mastercard) shall in future issue Jaywan co-badged cards in accordance with CBUAE circular and mandate reference number 5480/2024. Existing card portfolios are predominantly single-badged international scheme cards with routing primarily via international networks for both domestic and international transactions, resulting in higher transaction costs and limited utilisation of domestic payment infrastructure. Detailed technical specifications, finalised routing rules, full reconciliation models and certain bilateral cross-border Jaywan arrangements are governed by AEP documentation and are not fully covered in the provided context.</w:t>
      </w:r>
    </w:p>
    <w:p>
      <w:pPr>
        <w:pStyle w:val="Normal"/>
        <w:rPr/>
      </w:pPr>
      <w:r/>
    </w:p>
    <w:p>
      <w:pPr>
        <w:pStyle w:val="Normal"/>
        <w:rPr/>
      </w:pPr>
      <w:r>
        <w:t>Objective: The licensed financial institution shall comply with the CBUAE mandate to enable Jaywan mono-badged and co-badged cards, leveraging the AEP domestic card infrastructure to reduce domestic payment costs, enhance financial sovereignty, and provide secure, seamless payment experiences that meet UAE market requirements. The bank shall ensure that card issuing, acquiring, authorisation, clearing, settlement, GL accounting, dispute handling and reporting processes are updated to support Jaywan domestic routing for eligible transactions while maintaining international routing for cross-border usage via the co-badge schemes.</w:t>
      </w:r>
    </w:p>
    <w:p>
      <w:pPr>
        <w:pStyle w:val="Normal"/>
        <w:rPr/>
      </w:pPr>
      <w:r/>
    </w:p>
    <w:p>
      <w:pPr>
        <w:pStyle w:val="Normal"/>
        <w:rPr/>
      </w:pPr>
      <w:r>
        <w:t>In scope: 1. Implementation of Jaywan mono-badged cards for domestic and GCC usage, as per AEP and CBUAE guidance.</w:t>
        <w:br/>
        <w:t>2. Implementation of Jaywan co-badged cards with international schemes (e.g. Visa, Mastercard) for domestic and international usage, aligned with CBUAE circular reference 5480/2024.</w:t>
        <w:br/>
        <w:t>3. Configuration of card routing rules to process eligible domestic transactions through the Jaywan domestic scheme and eligible international transactions through the relevant international scheme.</w:t>
        <w:br/>
        <w:t>4. Integration with AEP domestic switching, authorisation and settlement infrastructure, including dual messaging where applicable.</w:t>
        <w:br/>
        <w:t>5. Support for ATM, POS, e‑commerce and tokenised transactions (including mobile wallets) under the Jaywan scheme, subject to AEP specifications.</w:t>
        <w:br/>
        <w:t>6. Updates to operational processes for reversals, refunds, chargebacks, reconciliation and GL postings for Jaywan transactions.</w:t>
        <w:br/>
        <w:t>7. Reporting to internal stakeholders and to CBUAE/AEP as required by applicable circulars and reporting formats, where made available to the bank.</w:t>
        <w:br/>
        <w:t>8. Discovery and documentation of additional business requirements arising from planned discovery sessions for Jaywan mono-badged and co-badged cards, as per the provided meeting schedule.</w:t>
      </w:r>
    </w:p>
    <w:p>
      <w:pPr>
        <w:pStyle w:val="Normal"/>
        <w:rPr/>
      </w:pPr>
      <w:r/>
    </w:p>
    <w:p>
      <w:pPr>
        <w:pStyle w:val="Normal"/>
        <w:rPr/>
      </w:pPr>
      <w:r>
        <w:t>Out of scope: 1. Detailed technical design, network certification and scheme certification activities, which shall be covered under separate technical design and implementation documents.</w:t>
        <w:br/>
        <w:t>2. Definition or modification of AEP or CBUAE scheme rules, interchange structures, fee models and bilateral agreements with foreign jurisdictions (e.g. India), which are owned by AEP/CBUAE.</w:t>
        <w:br/>
        <w:t>3. Non-card payment channels and instruments (e.g. account‑to‑account instant payments, cheques, wire transfers) unless explicitly linked to Jaywan card usage.</w:t>
        <w:br/>
        <w:t>4. Detailed infrastructure sizing, hardware procurement, and low-level performance tuning activities.</w:t>
        <w:br/>
        <w:t>5. Marketing, brand design and external campaign content for Jaywan awareness, which shall be handled by the bank’s Marketing / Communications functions in alignment with AEP campaigns.</w:t>
        <w:br/>
        <w:t>6. Development of specifications for Samsung Wallet, Google Pay and Apple Pay beyond the business requirement to support tokenised and wallet transactions under Jaywan, which will be addressed in separate channel-specific initiatives based on AEP enablement plans.</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pPr>
              <w:pStyle w:val="Normal"/>
              <w:spacing w:before="0" w:after="160"/>
              <w:rPr/>
            </w:pPr>
            <w:r>
              <w:t>BR-001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pPr>
              <w:pStyle w:val="Normal"/>
              <w:spacing w:before="0" w:after="160"/>
              <w:rPr/>
            </w:pPr>
            <w:r>
              <w:t>Compliance with CBUAE Mandate for Jaywan Co-badged Card Issuance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pPr>
              <w:pStyle w:val="Normal"/>
              <w:spacing w:before="0" w:after="160"/>
              <w:rPr/>
            </w:pPr>
            <w:r>
              <w:t>The bank shall comply with the CBUAE circular and mandate reference 5480/2024 by issuing Jaywan co-badged cards for customers currently eligible for Visa or Mastercard cards, ensuring support for both domestic and international transactions as per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pPr>
              <w:pStyle w:val="Normal"/>
              <w:spacing w:before="0" w:after="160"/>
              <w:rPr/>
            </w:pPr>
            <w:r>
              <w:t>Currently, the bank primarily issues mono-badged international scheme cards (e.g. Visa or Mastercard) for domestic and international use. Domestic card transactions are routed via international schemes, and there is no Jaywan co-badged option in production.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pPr>
              <w:pStyle w:val="Normal"/>
              <w:spacing w:before="0" w:after="160"/>
              <w:rPr/>
            </w:pPr>
            <w:r>
              <w:t>The bank shall issue Jaywan co-badged cards (Jaywan + Visa or Jaywan + Mastercard) for eligible customer segments in accordance with CBUAE circular 5480/2024. Domestic-eligible transactions shall be routed via Jaywan, and international transactions shall be routed via the respective international scheme. Card lifecycle processes (issuance, renewal, replacement) shall support co-badged products.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pPr>
              <w:pStyle w:val="Normal"/>
              <w:spacing w:before="0" w:after="160"/>
              <w:rPr/>
            </w:pPr>
            <w:r>
              <w:t>1. Availability of formal CBUAE circular and mandate reference 5480/2024 and detailed Jaywan co-badge scheme rules from AEP.</w:t>
              <w:br/>
              <w:t>2. Approved product constructs and pricing from the bank’s Product team.</w:t>
              <w:br/>
              <w:t>3. Card management system capability to store and manage dual scheme attributes.</w:t>
              <w:br/>
              <w:t>4. Agreement with international schemes for co-badge configuration, if required by scheme rules.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pPr>
              <w:pStyle w:val="Normal"/>
              <w:spacing w:before="0" w:after="160"/>
              <w:rPr/>
            </w:pPr>
            <w:r>
              <w:t>1. The bank shall demonstrate that for new-to-bank and renewal customers in mandated segments, at least one Jaywan co-badged product is available for issuance.</w:t>
              <w:br/>
              <w:t>2. Test cases shall evidence successful authorisation and settlement of domestic transactions via Jaywan and international transactions via the co-badge scheme.</w:t>
              <w:br/>
              <w:t>3. Internal compliance shall confirm adherence to CBUAE circular 5480/2024 in the implemented product set.</w:t>
              <w:br/>
              <w:t>4. Card portfolio MI shall show progressive issuance of Jaywan co-badged cards in line with internal migration plans agreed with CBUAE, where applicable.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pPr>
              <w:pStyle w:val="Normal"/>
              <w:spacing w:before="0" w:after="160"/>
              <w:rPr/>
            </w:pPr>
            <w:r>
              <w:t>1. Where co-badged issuance is not feasible due to customer-specific constraints (e.g. legacy product, blocked country), the bank shall document exceptions and obtain internal risk and compliance approval.</w:t>
              <w:br/>
              <w:t>2. For certain segments (e.g. corporate, pre-paid) where CBUAE guidance allows phased adoption, the bank may continue mono-badged issuance temporarily, subject to documented plans to migrate to co-badged cards.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pPr>
              <w:pStyle w:val="Normal"/>
              <w:spacing w:before="0" w:after="160"/>
              <w:rPr/>
            </w:pPr>
            <w:r>
              <w:t>BR-001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pPr>
              <w:pStyle w:val="Normal"/>
              <w:spacing w:before="0" w:after="160"/>
              <w:rPr/>
            </w:pPr>
            <w:r>
              <w:t>Compliance with CBUAE mandate 5480/2024 for Jaywan co-badged card issuance.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pPr>
              <w:pStyle w:val="Normal"/>
              <w:spacing w:before="0" w:after="160"/>
              <w:rPr/>
            </w:pPr>
            <w:r>
              <w:t>Regulatory Circular, Card Issuing Channels (Branch, Online, Mobile)</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pPr>
              <w:pStyle w:val="Normal"/>
              <w:spacing w:before="0" w:after="160"/>
              <w:rPr/>
            </w:pPr>
            <w:r>
              <w:t>Card Management System, Core Banking, Switch, CRM, Digital Channels</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pPr>
              <w:pStyle w:val="Normal"/>
              <w:spacing w:before="0" w:after="160"/>
              <w:rPr/>
            </w:pPr>
            <w:r>
              <w:t>Co-badged Jaywan cards issued in alignment with CBUAE requirements, enabling domestic and international usage.</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t>To be defined based on the bank’s active cardholder base and target Jaywan penetration; the solution shall support all eligible cardholders migrating to Jaywan mono-badged and co-badged products as per CBUAE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pPr>
              <w:pStyle w:val="Normal"/>
              <w:spacing w:before="0" w:after="160"/>
              <w:rPr/>
            </w:pPr>
            <w:r>
              <w:t>To be determined following detailed capacity planning; the solution shall support peak domestic transaction volumes for Jaywan equivalent to current domestic card usage with appropriate growth buffers, as agreed with AEP and internal Capacity Management.</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pPr>
              <w:pStyle w:val="Normal"/>
              <w:spacing w:before="0" w:after="160"/>
              <w:rPr/>
            </w:pPr>
            <w:r>
              <w:t>To be estimated jointly by Business and Finance based on expected migration from existing schemes; the solution shall support projected monthly Jaywan transaction volumes across ATM, POS, e‑commerce, and tokenised channels without degradation of service levels.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pPr>
              <w:pStyle w:val="Normal"/>
              <w:spacing w:before="0" w:after="160"/>
              <w:rPr/>
            </w:pPr>
            <w:r>
              <w:t>Systems supporting Jaywan authorisation, clearing, settlement, reconciliation and reporting shall achieve availability targets aligned with critical payment infrastructure standards (e.g. near 24x7 availability), in accordance with CBUAE and AEP expectations and the bank’s internal SLAs.</w:t>
            </w:r>
          </w:p>
        </w:tc>
      </w:tr>
    </w:tbl>
    <w:p>
      <w:pPr>
        <w:pStyle w:val="Normal"/>
        <w:rPr/>
      </w:pPr>
      <w:r/>
    </w:p>
    <w:p>
      <w:pPr>
        <w:pStyle w:val="Normal"/>
        <w:rPr/>
      </w:pPr>
      <w:r>
        <w:t>Impact on Operational process: Operational processes across Card Operations, GBO-ATM/CDM, Reconciliation, Finance, Customer Service and Dispute Management shall be updated to incorporate Jaywan mono-badged and co-badged flows. This includes new SOPs for card issuance and maintenance, routing and network monitoring, transaction investigations, reconciliation and GL postings, reversals, refunds, chargebacks and regulatory reporting. Existing process documentation for SMS (ATM, POS), Visa DMS (e‑commerce and tokenisation) and CBUAE DMS to‑be flows shall be extended to cover Jaywan-specific paths. Additional workload is expected during migration and early adoption phases, requiring resourcing and workload planning.</w:t>
      </w:r>
    </w:p>
    <w:p>
      <w:pPr>
        <w:pStyle w:val="Normal"/>
        <w:rPr/>
      </w:pPr>
      <w:r/>
    </w:p>
    <w:p>
      <w:pPr>
        <w:pStyle w:val="Normal"/>
        <w:rPr/>
      </w:pPr>
      <w:r/>
    </w:p>
    <w:p>
      <w:pPr>
        <w:pStyle w:val="Normal"/>
        <w:rPr/>
      </w:pPr>
      <w:r>
        <w:t>Regulatory impact: The implementation is primarily driven by CBUAE circular and mandate reference 5480/2024, requiring licensed financial institutions issuing Visa or Mastercard cards to issue Jaywan co-badged cards supporting both domestic and international transactions. The bank shall ensure full compliance with CBUAE and AEP scheme rules on routing, consumer protection, dispute handling, reporting, AML/CFT, data retention and operational resilience. Regulatory reporting obligations for Jaywan transaction data and performance metrics shall be met as per prescribed formats and timelines. Any deviations or phased approaches shall be documented and, where required, agreed with CBUAE.</w:t>
      </w:r>
    </w:p>
    <w:p>
      <w:pPr>
        <w:pStyle w:val="Normal"/>
        <w:rPr/>
      </w:pPr>
      <w:r/>
    </w:p>
    <w:p>
      <w:pPr>
        <w:pStyle w:val="Normal"/>
        <w:rPr/>
      </w:pPr>
      <w:r/>
    </w:p>
    <w:p>
      <w:pPr>
        <w:pStyle w:val="Normal"/>
        <w:rPr/>
      </w:pPr>
      <w:r>
        <w:t>Reports requirement: The bank shall generate: (1) Regulatory reports to CBUAE and AEP on Jaywan transaction volumes, values, scheme fees, merchant and channel distributions, dispute metrics and system availability, in line with official templates; (2) Internal MI reports for Product, Finance, Risk and Operations highlighting Jaywan adoption, domestic routing share, cost savings relative to international schemes, and portfolio performance; (3) Operational reports for reconciliation and exception management, including unmatched items, settlement discrepancies, and ageing of breaks; (4) Management dashboards tracking progress of migration to Jaywan co-badged and mono-badged products. Report formats and data definitions shall be aligned with original reports received from CBUAE and AEP and internal data governance standards.</w:t>
      </w:r>
    </w:p>
    <w:p>
      <w:pPr>
        <w:pStyle w:val="Normal"/>
        <w:rPr/>
      </w:pPr>
      <w:r/>
    </w:p>
    <w:p>
      <w:pPr>
        <w:pStyle w:val="Normal"/>
        <w:rPr/>
      </w:pPr>
      <w:r/>
    </w:p>
    <w:p>
      <w:pPr>
        <w:pStyle w:val="Normal"/>
        <w:rPr/>
      </w:pPr>
      <w:r>
        <w:t>Access requirement: Access to Jaywan-related systems, data and reports shall follow the bank’s role-based access control model. Card Operations, Finance, Reconciliation, Risk, Compliance, IT Support and Business teams shall be granted access strictly on a need-to-know basis, segregating duties between transaction processing, approval and reconciliation. Access to regulatory reporting and sensitive scheme data shall be restricted to authorised personnel and subject to periodic review. External access to AEP and CBUAE interfaces shall be controlled through secure channels and governed by appropriate authentication and authorisation mechanisms.</w:t>
      </w:r>
    </w:p>
    <w:p>
      <w:pPr>
        <w:pStyle w:val="Normal"/>
        <w:rPr/>
      </w:pPr>
      <w:r/>
    </w:p>
    <w:p>
      <w:pPr>
        <w:pStyle w:val="Normal"/>
        <w:rPr/>
      </w:pPr>
      <w:r/>
    </w:p>
    <w:p>
      <w:pPr>
        <w:pStyle w:val="Normal"/>
        <w:rPr/>
      </w:pPr>
      <w:r>
        <w:t>Security requirement: Jaywan implementation shall adhere to the bank’s information security policies, CBUAE regulations and applicable scheme-level security standards. Cardholder data and transaction data shall be protected in transit and at rest using industry-accepted encryption and key management practices. Tokenised and wallet-based Jaywan transactions shall use secure tokenisation and device binding as per AEP and wallet provider specifications. Access to production systems shall be controlled, logged and monitored. Security incident management procedures shall be updated to include Jaywan-specific threat scenarios. The solution shall support compliance with PCI-DSS or equivalent standards for card data security, as applicable.</w:t>
      </w:r>
    </w:p>
    <w:p>
      <w:pPr>
        <w:pStyle w:val="Normal"/>
        <w:rPr/>
      </w:pPr>
      <w:r/>
    </w:p>
    <w:p>
      <w:pPr>
        <w:pStyle w:val="Normal"/>
        <w:rPr/>
      </w:pPr>
      <w:r/>
    </w:p>
    <w:p>
      <w:pPr>
        <w:pStyle w:val="Normal"/>
        <w:rPr/>
      </w:pPr>
      <w:r>
        <w:t>Data requirement: The bank shall capture and store Jaywan-specific data elements, including scheme identifiers, BIN ranges, routing indicators, fee and interchange data, dispute codes, and wallet-token references where applicable. Data models in transaction processing systems, data warehouse and reporting layers shall be extended to distinguish Jaywan mono-badged and co-badged transactions from other schemes. Data quality controls shall be established to ensure completeness, accuracy and timeliness of Jaywan data for reconciliation, reporting and analytics. Data retention shall comply with CBUAE regulations and internal records management policies.</w:t>
      </w:r>
    </w:p>
    <w:p>
      <w:pPr>
        <w:pStyle w:val="Normal"/>
        <w:rPr/>
      </w:pPr>
      <w:r/>
    </w:p>
    <w:p>
      <w:pPr>
        <w:pStyle w:val="Normal"/>
        <w:rPr/>
      </w:pPr>
      <w:r/>
    </w:p>
    <w:p>
      <w:pPr>
        <w:pStyle w:val="Normal"/>
        <w:rPr/>
      </w:pPr>
      <w:r>
        <w:t>Training requirement: The bank shall provide structured training and awareness sessions on Jaywan mono-badged and co-badged products for all impacted teams, including Branch staff, Contact Centre, Digital Support, Card Operations, Reconciliation, Finance, Risk, Compliance and IT Support. Training shall cover regulatory context (including CBUAE mandate 5480/2024), product features, routing behaviour, dispute handling, reconciliation changes, security considerations and customer communication guidelines. Reference materials such as FAQs, process maps and quick reference guides shall be developed and maintained. Participation in AEP or CBUAE-led awareness programmes shall be encouraged to ensure consistent understanding across the ecosystem.</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