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Islamic Bank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Requirements Specification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b/>
          <w:bCs/>
        </w:rPr>
        <w:t>Title:</w:t>
      </w:r>
      <w:r>
        <w:rPr/>
        <w:t xml:space="preserve"> - Business Requirements Specification for Jaywan Domestic Card Scheme Enablement and Co‑Badged Card Issuance</w:t>
      </w:r>
    </w:p>
    <w:p>
      <w:pPr>
        <w:pStyle w:val="Normal"/>
        <w:rPr/>
      </w:pPr>
      <w:r>
        <w:rPr>
          <w:b/>
          <w:bCs/>
        </w:rPr>
        <w:t>ID:</w:t>
      </w:r>
      <w:r>
        <w:rPr/>
        <w:t xml:space="preserve"> - BRS-JAYWAN-001</w:t>
      </w:r>
    </w:p>
    <w:p>
      <w:pPr>
        <w:pStyle w:val="Normal"/>
        <w:rPr/>
      </w:pPr>
      <w:r>
        <w:rPr>
          <w:b/>
          <w:bCs/>
        </w:rPr>
        <w:t>Program:</w:t>
      </w:r>
      <w:r>
        <w:rPr/>
        <w:t xml:space="preserve"> - Jaywan Domestic Card Scheme – Mono-Badged and Co-Badged Cards Enablement</w:t>
      </w:r>
    </w:p>
    <w:p>
      <w:pPr>
        <w:pStyle w:val="Normal"/>
        <w:rPr/>
      </w:pPr>
      <w:r>
        <w:rPr>
          <w:b/>
          <w:bCs/>
        </w:rPr>
        <w:t>Type:</w:t>
      </w:r>
      <w:r>
        <w:rPr/>
        <w:t xml:space="preserve"> - Business Requirement Specification (BRS)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Table Of Content</w:t>
      </w:r>
    </w:p>
    <w:tbl>
      <w:tblPr>
        <w:tblW w:w="9240" w:type="dxa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20"/>
        <w:gridCol w:w="4619"/>
      </w:tblGrid>
      <w:tr>
        <w:trPr/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Serial Number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</w:tr>
      <w:tr>
        <w:tc>
          <w:tcPr>
            <w:tcW w:type="dxa" w:w="4620"/>
          </w:tcPr>
          <w:p>
            <w:r>
              <w:t>1</w:t>
            </w:r>
          </w:p>
        </w:tc>
        <w:tc>
          <w:tcPr>
            <w:tcW w:type="dxa" w:w="4619"/>
          </w:tcPr>
          <w:p>
            <w:r>
              <w:t>Document Sign off</w:t>
            </w:r>
          </w:p>
        </w:tc>
      </w:tr>
      <w:tr>
        <w:tc>
          <w:tcPr>
            <w:tcW w:type="dxa" w:w="4620"/>
          </w:tcPr>
          <w:p>
            <w:r>
              <w:t>2</w:t>
            </w:r>
          </w:p>
        </w:tc>
        <w:tc>
          <w:tcPr>
            <w:tcW w:type="dxa" w:w="4619"/>
          </w:tcPr>
          <w:p>
            <w:r>
              <w:t>Document History</w:t>
            </w:r>
          </w:p>
        </w:tc>
      </w:tr>
      <w:tr>
        <w:tc>
          <w:tcPr>
            <w:tcW w:type="dxa" w:w="4620"/>
          </w:tcPr>
          <w:p>
            <w:r>
              <w:t>3</w:t>
            </w:r>
          </w:p>
        </w:tc>
        <w:tc>
          <w:tcPr>
            <w:tcW w:type="dxa" w:w="4619"/>
          </w:tcPr>
          <w:p>
            <w:r>
              <w:t>Overview</w:t>
            </w:r>
          </w:p>
        </w:tc>
      </w:tr>
      <w:tr>
        <w:tc>
          <w:tcPr>
            <w:tcW w:type="dxa" w:w="4620"/>
          </w:tcPr>
          <w:p>
            <w:r>
              <w:t>4</w:t>
            </w:r>
          </w:p>
        </w:tc>
        <w:tc>
          <w:tcPr>
            <w:tcW w:type="dxa" w:w="4619"/>
          </w:tcPr>
          <w:p>
            <w:r>
              <w:t>Current constraints</w:t>
            </w:r>
          </w:p>
        </w:tc>
      </w:tr>
      <w:tr>
        <w:tc>
          <w:tcPr>
            <w:tcW w:type="dxa" w:w="4620"/>
          </w:tcPr>
          <w:p>
            <w:r>
              <w:t>5</w:t>
            </w:r>
          </w:p>
        </w:tc>
        <w:tc>
          <w:tcPr>
            <w:tcW w:type="dxa" w:w="4619"/>
          </w:tcPr>
          <w:p>
            <w:r>
              <w:t>Objective</w:t>
            </w:r>
          </w:p>
        </w:tc>
      </w:tr>
      <w:tr>
        <w:tc>
          <w:tcPr>
            <w:tcW w:type="dxa" w:w="4620"/>
          </w:tcPr>
          <w:p>
            <w:r>
              <w:t>6</w:t>
            </w:r>
          </w:p>
        </w:tc>
        <w:tc>
          <w:tcPr>
            <w:tcW w:type="dxa" w:w="4619"/>
          </w:tcPr>
          <w:p>
            <w:r>
              <w:t>In scope</w:t>
            </w:r>
          </w:p>
        </w:tc>
      </w:tr>
      <w:tr>
        <w:tc>
          <w:tcPr>
            <w:tcW w:type="dxa" w:w="4620"/>
          </w:tcPr>
          <w:p>
            <w:r>
              <w:t>7</w:t>
            </w:r>
          </w:p>
        </w:tc>
        <w:tc>
          <w:tcPr>
            <w:tcW w:type="dxa" w:w="4619"/>
          </w:tcPr>
          <w:p>
            <w:r>
              <w:t>Out of scope</w:t>
            </w:r>
          </w:p>
        </w:tc>
      </w:tr>
      <w:tr>
        <w:tc>
          <w:tcPr>
            <w:tcW w:type="dxa" w:w="4620"/>
          </w:tcPr>
          <w:p>
            <w:r>
              <w:t>8</w:t>
            </w:r>
          </w:p>
        </w:tc>
        <w:tc>
          <w:tcPr>
            <w:tcW w:type="dxa" w:w="4619"/>
          </w:tcPr>
          <w:p>
            <w:r>
              <w:t>Description</w:t>
            </w:r>
          </w:p>
        </w:tc>
      </w:tr>
      <w:tr>
        <w:tc>
          <w:tcPr>
            <w:tcW w:type="dxa" w:w="4620"/>
          </w:tcPr>
          <w:p>
            <w:r>
              <w:t>9</w:t>
            </w:r>
          </w:p>
        </w:tc>
        <w:tc>
          <w:tcPr>
            <w:tcW w:type="dxa" w:w="4619"/>
          </w:tcPr>
          <w:p>
            <w:r>
              <w:t>Business Requirements</w:t>
            </w:r>
          </w:p>
        </w:tc>
      </w:tr>
      <w:tr>
        <w:tc>
          <w:tcPr>
            <w:tcW w:type="dxa" w:w="4620"/>
          </w:tcPr>
          <w:p>
            <w:r>
              <w:t>10</w:t>
            </w:r>
          </w:p>
        </w:tc>
        <w:tc>
          <w:tcPr>
            <w:tcW w:type="dxa" w:w="4619"/>
          </w:tcPr>
          <w:p>
            <w:r>
              <w:t>Requirement Traceability Matrix</w:t>
            </w:r>
          </w:p>
        </w:tc>
      </w:tr>
      <w:tr>
        <w:tc>
          <w:tcPr>
            <w:tcW w:type="dxa" w:w="4620"/>
          </w:tcPr>
          <w:p>
            <w:r>
              <w:t>11</w:t>
            </w:r>
          </w:p>
        </w:tc>
        <w:tc>
          <w:tcPr>
            <w:tcW w:type="dxa" w:w="4619"/>
          </w:tcPr>
          <w:p>
            <w:r>
              <w:t>Non-Functional Requirements</w:t>
            </w:r>
          </w:p>
        </w:tc>
      </w:tr>
      <w:tr>
        <w:tc>
          <w:tcPr>
            <w:tcW w:type="dxa" w:w="4620"/>
          </w:tcPr>
          <w:p>
            <w:r>
              <w:t>12</w:t>
            </w:r>
          </w:p>
        </w:tc>
        <w:tc>
          <w:tcPr>
            <w:tcW w:type="dxa" w:w="4619"/>
          </w:tcPr>
          <w:p>
            <w:r>
              <w:t>Impact on Operational Process</w:t>
            </w:r>
          </w:p>
        </w:tc>
      </w:tr>
      <w:tr>
        <w:tc>
          <w:tcPr>
            <w:tcW w:type="dxa" w:w="4620"/>
          </w:tcPr>
          <w:p>
            <w:r>
              <w:t>13</w:t>
            </w:r>
          </w:p>
        </w:tc>
        <w:tc>
          <w:tcPr>
            <w:tcW w:type="dxa" w:w="4619"/>
          </w:tcPr>
          <w:p>
            <w:r>
              <w:t>Regulatory Impact</w:t>
            </w:r>
          </w:p>
        </w:tc>
      </w:tr>
      <w:tr>
        <w:tc>
          <w:tcPr>
            <w:tcW w:type="dxa" w:w="4620"/>
          </w:tcPr>
          <w:p>
            <w:r>
              <w:t>14</w:t>
            </w:r>
          </w:p>
        </w:tc>
        <w:tc>
          <w:tcPr>
            <w:tcW w:type="dxa" w:w="4619"/>
          </w:tcPr>
          <w:p>
            <w:r>
              <w:t>Reports Requirement</w:t>
            </w:r>
          </w:p>
        </w:tc>
      </w:tr>
      <w:tr>
        <w:tc>
          <w:tcPr>
            <w:tcW w:type="dxa" w:w="4620"/>
          </w:tcPr>
          <w:p>
            <w:r>
              <w:t>15</w:t>
            </w:r>
          </w:p>
        </w:tc>
        <w:tc>
          <w:tcPr>
            <w:tcW w:type="dxa" w:w="4619"/>
          </w:tcPr>
          <w:p>
            <w:r>
              <w:t>Access Requirement</w:t>
            </w:r>
          </w:p>
        </w:tc>
      </w:tr>
      <w:tr>
        <w:tc>
          <w:tcPr>
            <w:tcW w:type="dxa" w:w="4620"/>
          </w:tcPr>
          <w:p>
            <w:r>
              <w:t>16</w:t>
            </w:r>
          </w:p>
        </w:tc>
        <w:tc>
          <w:tcPr>
            <w:tcW w:type="dxa" w:w="4619"/>
          </w:tcPr>
          <w:p>
            <w:r>
              <w:t>Security Requirement</w:t>
            </w:r>
          </w:p>
        </w:tc>
      </w:tr>
      <w:tr>
        <w:tc>
          <w:tcPr>
            <w:tcW w:type="dxa" w:w="4620"/>
          </w:tcPr>
          <w:p>
            <w:r>
              <w:t>17</w:t>
            </w:r>
          </w:p>
        </w:tc>
        <w:tc>
          <w:tcPr>
            <w:tcW w:type="dxa" w:w="4619"/>
          </w:tcPr>
          <w:p>
            <w:r>
              <w:t>Data Requirement</w:t>
            </w:r>
          </w:p>
        </w:tc>
      </w:tr>
      <w:tr>
        <w:tc>
          <w:tcPr>
            <w:tcW w:type="dxa" w:w="4620"/>
          </w:tcPr>
          <w:p>
            <w:r>
              <w:t>18</w:t>
            </w:r>
          </w:p>
        </w:tc>
        <w:tc>
          <w:tcPr>
            <w:tcW w:type="dxa" w:w="4619"/>
          </w:tcPr>
          <w:p>
            <w:r>
              <w:t>Training Requirement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Document Sign off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57"/>
        <w:gridCol w:w="2157"/>
        <w:gridCol w:w="2158"/>
        <w:gridCol w:w="2157"/>
      </w:tblGrid>
      <w:tr>
        <w:trPr/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Name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Department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Approval date</w:t>
            </w:r>
          </w:p>
        </w:tc>
      </w:tr>
      <w:tr>
        <w:trPr/>
        <w:tc>
          <w:tcPr>
            <w:tcW w:w="2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Document History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4"/>
        <w:gridCol w:w="3269"/>
        <w:gridCol w:w="3127"/>
      </w:tblGrid>
      <w:tr>
        <w:trPr/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Version</w:t>
            </w:r>
          </w:p>
        </w:tc>
        <w:tc>
          <w:tcPr>
            <w:tcW w:w="32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3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1.0</w:t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Initial Draft</w:t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- 30-Jan-2026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Overview:</w:t>
      </w:r>
      <w:r>
        <w:rPr/>
        <w:t xml:space="preserve"> - Jaywan is the UAE’s first domestic card scheme operated by Al Etihad Payments (AEP), a subsidiary of the Central Bank of the UAE (CBUAE)</w:t>
        <w:br/>
        <w:t>- The CBUAE has mandated licensed Financial Institutions (FIs) to support Jaywan domestic card transactions in line with national payment strategy and financial sovereignty objectives</w:t>
        <w:br/>
        <w:t>- The scheme supports mono-badged domestic and GCC usage cards, and co-badged cards in partnership with international payment networks for local and international usage</w:t>
        <w:br/>
        <w:t>- The payment infrastructure has been confirmed as ready by AEP to activate Jaywan locally and globally, including upcoming enablement on Samsung Wallet, Google Pay, and Apple Pay</w:t>
        <w:br/>
        <w:t>- The initiative aims to reduce domestic payment costs, improve routing efficiency, and provide a secure, seamless, and inclusive payment experience to consumers and corporates</w:t>
        <w:br/>
        <w:t>- Discovery sessions and working meetings between Business, IT, Card Operations, Finance, and external stakeholders (including AEP and international schemes) are ongoing to refine requirements for Jaywan mono-badged and co-badged cards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Current constraints:</w:t>
      </w:r>
      <w:r>
        <w:rPr/>
        <w:t xml:space="preserve"> - The bank currently issues international scheme cards (e.g. Visa, Mastercard) without Jaywan co-badging in line with past practices</w:t>
        <w:br/>
        <w:t>- Existing card management, authorization, clearing, settlement, and GL setup are designed primarily for international schemes and do not natively support Jaywan routing, fees, and reporting structures</w:t>
        <w:br/>
        <w:t>- Current domestic e-commerce and tokenization flows are based on existing VISA DMS and do not fully reflect the future CBUAE/AEP DMS model for Jaywan</w:t>
        <w:br/>
        <w:t>- POS tokenized transactions under Jaywan have not yet been fully defined and may not be included in current solution scope or impact assessment</w:t>
        <w:br/>
        <w:t>- Reversal, refund, and chargeback processes for Jaywan transactions are not fully aligned with AEP’s operating rules and are still under clarification</w:t>
        <w:br/>
        <w:t>- Reconciliation documentation and reporting templates from CBUAE/AEP are in progress and require further analysis before full automation</w:t>
        <w:br/>
        <w:t>- Some bilateral cross-border enablement aspects (e.g. India by mid-2025 and other countries) are still being defined at scheme level, constraining detailed 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Objective:</w:t>
      </w:r>
      <w:r>
        <w:rPr/>
        <w:t xml:space="preserve"> - CBUAE has issued a mandate that all licensed financial institutions shall launch Jaywan co-badged cards in compliance with the Central Bank circular (reference 5480/2024 as provided in context)</w:t>
        <w:br/>
        <w:t>- Banks issuing Mastercard or Visa cards shall, for eligible portfolios, issue co-badged cards that support both domestic transactions via Jaywan and international transactions via the relevant international scheme</w:t>
        <w:br/>
        <w:t>- Card routing shall be configured to ensure domestic transactions are processed via Jaywan and international transactions via the selected international scheme, in line with CBUAE and AEP guidance</w:t>
        <w:br/>
        <w:t>- The bank shall enable issuance and lifecycle management of Jaywan mono-badged cards for domestic and GCC usage where business decides to support such portfolios</w:t>
        <w:br/>
        <w:t>- The bank shall ensure readiness of systems, operations, finance, risk, and customer channels to support Jaywan transactions across POS, ATM, e-commerce, tokenized payments, and contactless mobile wallets</w:t>
        <w:br/>
        <w:t>- The bank shall comply with CBUAE and AEP regulations, technical standards, and reporting obligations related to the Jaywan scheme and domestic card processing</w:t>
        <w:br/>
        <w:t>- The bank shall leverage Jaywan to support reduction of domestic payment acceptance and issuance costs and to maintain a secure and seamless payment experience for customers and merchants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 scope:</w:t>
      </w:r>
      <w:r>
        <w:rPr/>
        <w:t xml:space="preserve"> - Definition and implementation of business requirements for Jaywan mono-badged cards for domestic and GCC usage</w:t>
        <w:br/>
        <w:t>- Definition and implementation of business requirements for Jaywan co-badged cards with international schemes (e.g. Visa, Mastercard) for domestic and international usage</w:t>
        <w:br/>
        <w:t>- Configuration of routing logic to prioritize Jaywan for domestic UAE transactions and applicable GCC transactions, and to route international transactions via the designated international scheme</w:t>
        <w:br/>
        <w:t>- Alignment of dual messaging system processes for Jaywan (authorization, clearing, settlement) similar to existing VISA DMS where applicable and as permitted by AEP</w:t>
        <w:br/>
        <w:t>- Definition of to-be process flows for ATM, POS, e-commerce, and tokenized transactions under the Jaywan scheme, including CBUAE DMS for e-commerce and tokenization</w:t>
        <w:br/>
        <w:t>- Inclusion and impact assessment of POS tokenized transactions for Jaywan where required by business and regulators</w:t>
        <w:br/>
        <w:t>- GL account structure, posting rules, and reconciliation approach for Jaywan mono-badged and co-badged transactions, as confirmed with Finance</w:t>
        <w:br/>
        <w:t>- Impact assessment and definition of business rules for reversals, refunds, and chargebacks for Jaywan in line with AEP rules</w:t>
        <w:br/>
        <w:t>- Customer communication and support readiness related to Jaywan product features, fees, and dispute handling</w:t>
        <w:br/>
        <w:t>- Reporting requirements to CBUAE/AEP and internal stakeholders (Operations, Finance, Risk, Compliance, Business) for Jaywan transaction monitoring and reconciliation</w:t>
        <w:br/>
        <w:t>- Support for enablement of Jaywan cards in digital wallets (Samsung Wallet initially, then Google Pay and Apple Pay) as the scheme and bank become ready</w:t>
        <w:br/>
        <w:t>- Coordination with AEP and other stakeholders on open questions, clarifications, and adoption of standard documents (process, file formats, operating rules)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Out of scope:</w:t>
      </w:r>
      <w:r>
        <w:rPr/>
        <w:t xml:space="preserve"> - Detailed technical design, low-level system design, and code-level specifications for Jaywan integration</w:t>
        <w:br/>
        <w:t>- Negotiation of commercial interchange rates, scheme fees, or bilateral commercial terms with AEP or international schemes</w:t>
        <w:br/>
        <w:t>- Non-card payment instruments such as instant payments, direct debits, and wire transfers outside the Jaywan card scheme</w:t>
        <w:br/>
        <w:t>- Detailed design of bilateral international corridor arrangements beyond high-level requirements (e.g. specific India corridor configuration and pricing)</w:t>
        <w:br/>
        <w:t>- Changes to existing non-card-related GL structures and accounting policies not directly impacted by Jaywan</w:t>
        <w:br/>
        <w:t>- Enterprise-wide changes to AML, sanctions, and fraud platforms beyond necessary parameterization to recognize and monitor Jaywan transactions</w:t>
        <w:br/>
        <w:t>- Marketing campaign content design beyond high-level requirements for awareness and communication alignment with AEP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Business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BR-001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Jaywan Co-Badged Card Issuance Mandate Compliance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comply with the CBUAE mandate requiring issuance of Jaywan co-badged cards alongside existing international schemes for eligible portfolios</w:t>
              <w:br/>
              <w:t>- The bank shall ensure that newly issued cards for relevant product lines are co-badged with Jaywan and at least one international scheme (e.g. Visa, Mastercard) as per regulatory circular</w:t>
              <w:br/>
              <w:t>- The bank shall maintain alignment with CBUAE circular reference provided (5480/2024 as per context) and any subsequent updates shared formally by the regulator or AEP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issues single-badged international scheme cards (e.g. Visa, Mastercard) for debit, credit, and prepaid products without Jaywan branding or routing</w:t>
              <w:br/>
              <w:t>- Domestic and international transactions are both processed via the respective international scheme, subject to acquirer routing and scheme rules</w:t>
              <w:br/>
              <w:t>- Existing product setup, card BIN ranges, and customer communication are aligned solely to international scheme requirements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issue co-badged cards for defined portfolios where the card carries both Jaywan and the selected international scheme marks</w:t>
              <w:br/>
              <w:t>- The bank shall ensure that the card BINs and card profiles support domestic routing via Jaywan and international routing via the respective scheme as per CBUAE and AEP guidance</w:t>
              <w:br/>
              <w:t>- The bank shall define which existing and new products will migrate to or be launched as Jaywan co-badged cards in line with regulatory timelines</w:t>
              <w:br/>
              <w:t>- The bank shall ensure customer onboarding, card fulfilment, and lifecycle management processes explicitly recognize the co-badged nature of the card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CBUAE circular and AEP implementation guidelines shall be reviewed and formally acknowledged by Compliance and Legal</w:t>
              <w:br/>
              <w:t>- AEP shall provide the bank with Jaywan-specific BIN allocation, branding specifications, and operating rules</w:t>
              <w:br/>
              <w:t>- International schemes shall confirm co-badging rules and any restrictions for use of their marks alongside Jaywan</w:t>
              <w:br/>
              <w:t>- Internal product governance and approval processes shall endorse the move to co-badged portfolio structures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All new cards in defined portfolios shall be issued as Jaywan co-badged cards after the effective date approved by Business and Compliance</w:t>
              <w:br/>
              <w:t>- Card plastics and digital card art shall display Jaywan and the selected international scheme marks in accordance with branding guidelines</w:t>
              <w:br/>
              <w:t>- The product catalogue shall list Jaywan co-badged variants for the relevant debit, credit, and prepaid offerings</w:t>
              <w:br/>
              <w:t>- Compliance shall confirm that issuance practices align with CBUAE circular requirements and that no non-compliant single-badged international cards are issued in the in-scope portfolios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Certain niche or exceptional products may remain as single-badged international scheme cards where permitted by CBUAE and AEP, subject to explicit regulatory approval</w:t>
              <w:br/>
              <w:t>- For legacy portfolios where immediate migration is not feasible, the bank may phase in co-badged issuance upon expiry or replacement of existing cards, subject to a documented migration plan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CBUAE Circular – Jaywan Co-Badged Card Mandate (reference 5480/2024 as per provided context)</w:t>
              <w:br/>
              <w:t>- AEP Jaywan Scheme Operating Rules and Branding Guidelines</w:t>
              <w:br/>
              <w:t>- Internal Product Approval and Governance Policy</w:t>
              <w:br/>
              <w:t>- Meeting minutes and discovery sessions related to Jaywan co-badged card requirements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BR-002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Jaywan Mono-Badged Card Issuance for Domestic and GCC Usage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support issuance of Jaywan mono-badged cards for domestic and eligible GCC usage as per AEP guidelines</w:t>
              <w:br/>
              <w:t>- Jaywan mono-badged cards shall be designed to operate without an international scheme companion badge and shall be restricted to geo-zones defined by AEP and the bank’s risk policy</w:t>
              <w:br/>
              <w:t>- The bank shall position Jaywan mono-badged cards for specific customer segments or use cases based on business strategy and regulatory expectations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does not currently issue Jaywan mono-badged cards and relies solely on international scheme cards for all usage</w:t>
              <w:br/>
              <w:t>- Domestic and GCC usage is facilitated via international schemes with associated cost and dependency implications</w:t>
              <w:br/>
              <w:t>- No dedicated mono-badged domestic card proposition exists in the product catalogue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create at least one Jaywan mono-badged card product for domestic transactions and GCC usage where supported by the scheme</w:t>
              <w:br/>
              <w:t>- The bank shall configure card parameters, usage restrictions, and pricing for Jaywan mono-badged cards in line with CBUAE and AEP expectations</w:t>
              <w:br/>
              <w:t>- The bank shall ensure that mono-badged Jaywan cards are recognized across internal systems (card management, authorization, GL, reporting) as a distinct scheme and product type</w:t>
              <w:br/>
              <w:t>- The bank shall define clear customer communication on usage limitations (e.g. no non-GCC international transactions) where applicable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shall confirm the rules for GCC acceptance and any bilateral or regional arrangements relevant to Jaywan mono-badged cards</w:t>
              <w:br/>
              <w:t>- The Finance team shall confirm GL accounts and fee structures applicable to mono-badged domestic and GCC transactions</w:t>
              <w:br/>
              <w:t>- Risk and Compliance shall approve customer eligibility criteria and usage restrictions for mono-badged products</w:t>
              <w:br/>
              <w:t>- Card personalization and embossing specifications for mono-badged Jaywan cards shall be finalized with card vendors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At least one Jaywan mono-badged card product shall be defined and approved in the product catalogue</w:t>
              <w:br/>
              <w:t>- Test cards for mono-badged Jaywan products shall successfully perform domestic and approved GCC test transactions during UAT</w:t>
              <w:br/>
              <w:t>- Customer-facing documentation and disclosures shall clearly explain the geographic usage scope of Jaywan mono-badged cards</w:t>
              <w:br/>
              <w:t>- Internal systems shall correctly classify and report transactions on mono-badged Jaywan cards as domestic or GCC in alignment with AEP guidance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GCC enablement is not available at initial launch, the bank may launch mono-badged Jaywan cards with UAE-only usage and later extend to GCC based on scheme readiness</w:t>
              <w:br/>
              <w:t>- The bank may restrict mono-badged issuance to selected segments initially (e.g. basic accounts, payroll) and expand progressively based on performance and regulatory feedback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Jaywan Scheme Guidelines for Mono-Badged Cards</w:t>
              <w:br/>
              <w:t>- CBUAE Policy Papers on Domestic Card Schemes and GCC Usage</w:t>
              <w:br/>
              <w:t>- Internal Product Strategy Documents for Domestic Card Offerings</w:t>
              <w:br/>
              <w:t>- Discovery session minutes on Jaywan mono-badged requirements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BR-003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Domestic and International Transaction Routing for Jaywan Co-Badged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routing logic ensuring that domestic UAE transactions on co-badged cards are processed via Jaywan while international transactions are processed via the relevant international scheme</w:t>
              <w:br/>
              <w:t>- The bank shall comply with CBUAE and AEP requirements on mandatory use of Jaywan for domestic transactions where acceptance infrastructure is available</w:t>
              <w:br/>
              <w:t>- The bank shall ensure routing rules are consistently applied across POS, ATM, e-commerce, and tokenized channels where technically feasible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Domestic and international transactions on existing cards are routed based on international scheme rules and acquirer configuration without Jaywan considerations</w:t>
              <w:br/>
              <w:t>- The bank’s authorization and switch systems apply scheme selection based primarily on BIN and acquirer data for international schemes only</w:t>
              <w:br/>
              <w:t>- There is no dedicated domestic scheme routing logic specific to Jaywan within current system configurations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authorization and switch systems so that domestic UAE transactions on Jaywan co-badged cards default to Jaywan routing when the merchant/acquirer supports Jaywan</w:t>
              <w:br/>
              <w:t>- The bank shall ensure that cross-border transactions (outside UAE, and as applicable outside GCC) on co-badged cards are routed via the designated international scheme</w:t>
              <w:br/>
              <w:t>- The bank shall define clear exception handling rules where Jaywan is not available at the merchant/acquirer, including fallback to the international scheme where permitted by regulation</w:t>
              <w:br/>
              <w:t>- The bank shall coordinate with acquiring partners and AEP to validate that routing behavior aligns with domestic scheme objectives and regulatory expectations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shall provide technical specifications and routing rules for Jaywan, including domestic acceptance parameters and MCC or geo-based rules where applicable</w:t>
              <w:br/>
              <w:t>- International schemes shall confirm co-badge routing principles and any constraints on domestic routing prioritization</w:t>
              <w:br/>
              <w:t>- The bank’s switch and authorization system owners shall confirm technical feasibility and configuration approach for multi-scheme routing</w:t>
              <w:br/>
              <w:t>- End-to-end test plans shall be defined to validate routing behavior under multiple domestic and international scenarios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Domestic test transactions on co-badged cards at Jaywan-enabled merchants shall be processed via Jaywan as evidenced by scheme identifiers in logs and reports</w:t>
              <w:br/>
              <w:t>- International test transactions on co-badged cards shall be processed via the correct international scheme with accurate scheme identifiers</w:t>
              <w:br/>
              <w:t>- Fallback scenarios where Jaywan is not supported at the merchant/acquirer shall follow the defined exception logic and be traceable in logs</w:t>
              <w:br/>
              <w:t>- Compliance and AEP shall confirm routing behavior meets regulatory and scheme expectations as part of launch readiness sign-off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 rare cases where technical limitations at a particular channel prevent Jaywan routing, the bank may temporarily route via the international scheme subject to documented risk assessment and regulatory notification where required</w:t>
              <w:br/>
              <w:t>- For certain cross-border GCC transactions, routing may follow specific corridor rules as defined by AEP and international agreements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Jaywan Technical and Routing Specifications</w:t>
              <w:br/>
              <w:t>- International Scheme Co-Badge Routing Guidelines</w:t>
              <w:br/>
              <w:t>- Bank Switch and Authorization System Configuration Standards</w:t>
              <w:br/>
              <w:t>- Discovery session minutes on VISA DMS processes and adoption for Jaywan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BR-004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Dual Messaging and DMS Process Alignment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align its dual messaging (authorization and clearing) processes for Jaywan with CBUAE and AEP requirements, leveraging existing VISA DMS experience where applicable</w:t>
              <w:br/>
              <w:t>- The bank shall define and document to-be process flows for Jaywan across ATM, POS, e-commerce, and tokenized channels under the CBUAE DMS framework</w:t>
              <w:br/>
              <w:t>- The bank shall ensure that all impacted operational units (Card Operations, GBO-ATM/CDM, Reconciliation) understand and adopt the new Jaywan DMS processes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Current SMS processes exist for ATM and POS under existing schemes</w:t>
              <w:br/>
              <w:t>- VISA DMS processes are implemented for VISA e-commerce and tokenization transactions</w:t>
              <w:br/>
              <w:t>- A to-be CBUAE DMS model for domestic e-commerce and tokenization transactions is documented but not fully implemented for Jaywan</w:t>
              <w:br/>
              <w:t>- Operational teams follow existing scheme-specific workflows for authorizations, clearings, reversals, and exceptions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Jaywan DMS processes that cover authorization, clearing, reversal, and settlement flows consistent with AEP specifications</w:t>
              <w:br/>
              <w:t>- The bank shall document end-to-end to-be flows for Jaywan across ATM, POS, e-commerce, and tokenized channels, including reconciliation touchpoints</w:t>
              <w:br/>
              <w:t>- The bank shall ensure that Jaywan-specific message formats, timelines, and cut-offs are embedded into operational procedures</w:t>
              <w:br/>
              <w:t>- The bank shall adopt standardized approaches where possible by re-using and adapting existing VISA DMS process patterns to minimize complexity while staying within scheme rules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shall provide final Jaywan message formats, DMS rules, and settlement cycles</w:t>
              <w:br/>
              <w:t>- Business and IT teams shall validate and update documented process flows for current SMS, existing VISA DMS, and to-be CBUAE DMS to incorporate Jaywan</w:t>
              <w:br/>
              <w:t>- Card Operations, GBO-ATM/CDM, and Reconciliation teams shall review and confirm their roles and responsibilities in the to-be Jaywan processes</w:t>
              <w:br/>
              <w:t>- System impact assessments shall identify required changes to switching, card host, reconciliation tools, and GL posting engines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Approved and version-controlled process flow documents shall exist for Jaywan DMS across all in-scope channels</w:t>
              <w:br/>
              <w:t>- UAT shall demonstrate successful end-to-end processing for Jaywan authorization, clearing, and settlement scenarios, including reversals and exceptions</w:t>
              <w:br/>
              <w:t>- Operational runbooks shall be updated to include Jaywan-specific steps and controls</w:t>
              <w:br/>
              <w:t>- Internal audit or process assurance shall confirm that Jaywan DMS processes are clearly defined and aligned with regulatory expectations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For certain low-volume channels, the bank may temporarily follow semi-manual or hybrid processes for Jaywan clearings, subject to risk acceptance and a plan to automate in subsequent phases</w:t>
              <w:br/>
              <w:t>- For exceptional cross-border flows where Jaywan interacts with other domestic schemes, specific bilateral DMS arrangements may be documented separately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Documented process flows for current SMS and VISA DMS (e-commerce and tokenization)</w:t>
              <w:br/>
              <w:t>- Draft and final CBUAE DMS specifications for domestic transactions</w:t>
              <w:br/>
              <w:t>- AEP Jaywan Operating Rules and Message Specifications</w:t>
              <w:br/>
              <w:t>- Minutes from discovery session with Card Operations, GBO-ATM/CDM, and Business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BR-005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Inclusion of POS Tokenized Transactions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consider POS tokenized transactions within the scope of Jaywan enablement where required by the business and supported by AEP</w:t>
              <w:br/>
              <w:t>- The bank shall ensure that tokenized POS transactions on Jaywan cards, including contactless and mobile wallet transactions, are processed securely and in compliance with scheme and regulatory requirements</w:t>
              <w:br/>
              <w:t>- The bank shall align the treatment of POS tokenized transactions under Jaywan with existing practices for VISA DMS tokenized transactions where possible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VISA DMS is in place for VISA e-commerce and tokenization transactions</w:t>
              <w:br/>
              <w:t>- POS tokenized transactions are handled under existing international scheme frameworks and are not explicitly defined for Jaywan</w:t>
              <w:br/>
              <w:t>- Business stakeholders have raised that POS tokenized transactions may need to be in scope for Jaywan but final decision and design are pending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define whether POS tokenized transactions are in scope for Jaywan in the initial phase and document this decision formally</w:t>
              <w:br/>
              <w:t>- Where in scope, the bank shall configure systems and processes so that POS tokenized Jaywan transactions follow secure tokenization, routing, and DMS rules compliant with AEP</w:t>
              <w:br/>
              <w:t>- The bank shall ensure contactless and mobile wallet usage of Jaywan cards at POS is supported in line with scheme and wallet provider requirements</w:t>
              <w:br/>
              <w:t>- The bank shall ensure consistent customer experience and dispute handling for tokenized and non-tokenized Jaywan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shall confirm tokenization standards, supported token requestors, and POS tokenization rules for Jaywan</w:t>
              <w:br/>
              <w:t>- Wallet providers (e.g. Samsung, Google, Apple) shall confirm technical integration and scheme support for Jaywan</w:t>
              <w:br/>
              <w:t>- Information Security and Risk stakeholders shall review tokenization risk controls for Jaywan</w:t>
              <w:br/>
              <w:t>- Business and IT shall agree on the go-live scope for POS tokenized transactions under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 formal scope decision document shall state inclusion or phased inclusion of POS tokenized transactions for Jaywan</w:t>
              <w:br/>
              <w:t>- Where in scope, POS tokenized Jaywan test transactions shall be successfully executed in UAT and reflect accurate routing, tokenization, and posting</w:t>
              <w:br/>
              <w:t>- Customer support scripts shall address POS tokenized Jaywan card queries, including lost devices and token lifecycle events</w:t>
              <w:br/>
              <w:t>- No unresolved high-risk security or compliance issues shall remain for POS tokenized Jaywan transactions at go-live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POS tokenized transactions are deferred, Jaywan enablement shall initially focus on physical card transactions and may enable POS tokenization in a subsequent phase with separate requirements</w:t>
              <w:br/>
              <w:t>- Certain wallet providers may be enabled at different times (e.g. Samsung Wallet first, then Google Pay and Apple Pay) based on scheme readiness and commercial agreements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Existing VISA DMS tokenization transaction process documentation</w:t>
              <w:br/>
              <w:t>- AEP Jaywan Tokenization and Mobile Wallet Guidelines (to be obtained)</w:t>
              <w:br/>
              <w:t>- Internal Tokenization and Digital Wallet Policies</w:t>
              <w:br/>
              <w:t>- Meeting minutes highlighting POS tokenized transaction scope considerations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BR-006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GL Accounting and Reconciliation for Jaywan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dedicated GL structures and reconciliation processes for Jaywan mono-badged and co-badged transactions in line with Finance team confirmation</w:t>
              <w:br/>
              <w:t>- The bank shall ensure that all Jaywan-related financial entries (fees, interchange, chargebacks, refunds, reversals) are accurately posted and reconciled</w:t>
              <w:br/>
              <w:t>- The bank shall align reconciliation reporting with CBUAE and AEP formats provided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Finance has confirmed that GL details are prepared based on internal discussions, but Jaywan-specific postings are not yet in production</w:t>
              <w:br/>
              <w:t>- Current reconciliation processes and reports are centered around international schemes and existing domestic flows</w:t>
              <w:br/>
              <w:t>- Queries have been raised regarding reconciliation documentation and original reports from CBUAE, some of which have now been shared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GL accounts for Jaywan scheme settlement, income, and expense categories as approved by Finance</w:t>
              <w:br/>
              <w:t>- The bank shall implement automated reconciliation processes for Jaywan that match scheme files, bank records, and GL entries</w:t>
              <w:br/>
              <w:t>- The bank shall generate reconciliation reports aligned with CBUAE/AEP templates and internal MIS needs for Jaywan portfolios</w:t>
              <w:br/>
              <w:t>- The bank shall incorporate Jaywan-related reversals, refunds, and chargebacks in accounting logic based on finalized operational and scheme rules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Finance shall finalize and sign off GL account mapping and posting rules for Jaywan</w:t>
              <w:br/>
              <w:t>- CBUAE/AEP shall provide original reconciliation report formats and data field definitions</w:t>
              <w:br/>
              <w:t>- System teams shall confirm capability of reconciliation tools to ingest Jaywan files</w:t>
              <w:br/>
              <w:t>- Operations and Finance shall agree on reconciliation responsibilities and timelines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GL posting rules for Jaywan shall be documented and validated through test cycles involving sample transactions and settlement files</w:t>
              <w:br/>
              <w:t>- Reconciliation for Jaywan pilot or test batches shall show no unexplained variances after adjustments</w:t>
              <w:br/>
              <w:t>- CBUAE/AEP and internal stakeholders shall receive agreed reports accurately reflecting Jaywan transaction and settlement positions</w:t>
              <w:br/>
              <w:t>- Finance shall sign off on readiness of GL and reconciliation processes prior to go-live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Initially, partial manual reconciliation may be used for low-volume Jaywan transactions subject to documented controls and a plan for full automation</w:t>
              <w:br/>
              <w:t>- Some fee components or adjustments may be grouped at higher levels initially and later broken down as data quality and volumes mature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Finance-confirmed GL Account Details for Jaywan (internal)</w:t>
              <w:br/>
              <w:t>- CBUAE/AEP Reconciliation Report Templates and Specifications</w:t>
              <w:br/>
              <w:t>- Internal Reconciliation Policy and Procedure Manuals</w:t>
              <w:br/>
              <w:t>- Email communications and minutes referencing GL readiness and reconciliation documentation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BR-007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Reversals, Refunds, and Chargebacks for Jaywan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define and implement business rules and operational processes for processing reversals, refunds, and chargebacks for Jaywan transactions</w:t>
              <w:br/>
              <w:t>- The bank shall ensure that these dispute and adjustment processes comply with AEP and CBUAE guidelines and are aligned with customer protection standards</w:t>
              <w:br/>
              <w:t>- The bank shall provide clear customer communication and support for Jaywan-related disputes and adjustments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Existing reversals, refunds, and chargebacks are executed based on international scheme rules and internal policies</w:t>
              <w:br/>
              <w:t>- Jaywan-specific reversal, refund, and chargeback processes are under discussion and partially clarified in meetings but not fully finalized</w:t>
              <w:br/>
              <w:t>- Operational teams rely on scheme documentation and experience from international schemes without dedicated Jaywan procedures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document end-to-end processes for Jaywan reversals, refunds, and chargebacks, including timelines, evidentiary requirements, and liability rules</w:t>
              <w:br/>
              <w:t>- The bank shall configure systems to process Jaywan dispute transactions with proper scheme identifiers and GL impacts</w:t>
              <w:br/>
              <w:t>- The bank shall train dispute handling teams on Jaywan rules and ensure they can distinguish between Jaywan and international scheme disputes for co-badged cards</w:t>
              <w:br/>
              <w:t>- The bank shall ensure that regulatory timelines for consumer dispute resolution under Jaywan are met and monitored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shall issue detailed dispute and chargeback rules for Jaywan, including reason codes and lifecycle stages</w:t>
              <w:br/>
              <w:t>- Legal and Compliance shall review Jaywan dispute rules and align them with local consumer protection requirements</w:t>
              <w:br/>
              <w:t>- Card Operations and Dispute Management teams shall participate in process design workshops for Jaywan</w:t>
              <w:br/>
              <w:t>- Systems shall be assessed for capabilities to support Jaywan-specific dispute codes and workflows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Approved operating procedures for Jaywan reversals, refunds, and chargebacks shall be published for relevant teams</w:t>
              <w:br/>
              <w:t>- UAT scenarios shall validate at least one end-to-end case each for reversal, refund, and chargeback under Jaywan</w:t>
              <w:br/>
              <w:t>- Dispute dashboards or reports shall allow segregation and monitoring of Jaywan cases and compliance with turnaround times</w:t>
              <w:br/>
              <w:t>- No critical gaps shall be identified by Compliance or Internal Audit regarding dispute handling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 early phases, certain complex dispute scenarios may be handled with additional manual review steps until full automation is delivered</w:t>
              <w:br/>
              <w:t>- For co-badged cards, some disputes may be managed through the international scheme where the transaction was processed outside Jaywan’s acceptance domain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Jaywan Dispute and Chargeback Rules (to be provided)</w:t>
              <w:br/>
              <w:t>- Existing Bank Dispute Management Policies for Card Transactions</w:t>
              <w:br/>
              <w:t>- Meeting minutes referencing updates on reversals, refunds, and chargebacks for Jaywan</w:t>
              <w:br/>
              <w:t>- CBUAE Consumer Protection Regulations relevant to card disputes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BR-008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Reporting and Regulatory Submissions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reporting capabilities to meet CBUAE and AEP reporting obligations for Jaywan transactions and scheme participation</w:t>
              <w:br/>
              <w:t>- The bank shall update internal MIS and operational reports to include Jaywan-specific metrics for monitoring performance, risk, and compliance</w:t>
              <w:br/>
              <w:t>- The bank shall ensure that reports used for reconciliation, risk management, and business decision-making reflect Jaywan volumes and values separately from other schemes where required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Queries have been clarified with business regarding existing reports, and an original report from CBUAE has been shared for reference</w:t>
              <w:br/>
              <w:t>- Current reporting structures primarily focus on international schemes and existing domestic flows without Jaywan segmentation</w:t>
              <w:br/>
              <w:t>- Some documentation on reconciliation and reporting is still being requested and reviewed by stakeholders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design Jaywan-specific regulatory reports aligned with templates and data definitions from CBUAE/AEP</w:t>
              <w:br/>
              <w:t>- The bank shall enhance existing internal reports (e.g. daily settlement, scheme performance, fraud monitoring) to include Jaywan as a separate scheme or category</w:t>
              <w:br/>
              <w:t>- The bank shall ensure that reports support analysis of Jaywan’s impact on payment costs, transaction volumes, and customer adoption</w:t>
              <w:br/>
              <w:t>- The bank shall validate that data lineage and quality controls are in place for all Jaywan-related reporting fields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CBUAE/AEP shall provide finalized reporting templates, including frequency, thresholds, and submission channels</w:t>
              <w:br/>
              <w:t>- Data owners shall confirm source systems and data elements required for Jaywan reporting</w:t>
              <w:br/>
              <w:t>- BI and Reporting teams shall assess impact on existing report generation platforms</w:t>
              <w:br/>
              <w:t>- Business and Compliance shall review and approve final report definitions and layouts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All mandatory Jaywan regulatory reports shall be produced in test cycles and validated by Compliance and AEP where applicable</w:t>
              <w:br/>
              <w:t>- Internal MIS reports shall display Jaywan metrics distinctly and accurately for at least one full reporting period in trial run</w:t>
              <w:br/>
              <w:t>- No critical reconciliation gaps shall appear between Jaywan scheme reports and internal ledgers</w:t>
              <w:br/>
              <w:t>- Report submission timelines and controls shall be documented and adhered to for at least one full cycle before go-live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Where full automation is not feasible initially, interim spreadsheets or semi-manual extracts may be used for low-volume Jaywan reporting with appropriate controls</w:t>
              <w:br/>
              <w:t>- Some less critical internal dashboards may be implemented after go-live as a subsequent enhancement phase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CBUAE/AEP Jaywan Reporting Templates and Guidelines</w:t>
              <w:br/>
              <w:t>- Internal MIS and Regulatory Reporting Policies</w:t>
              <w:br/>
              <w:t>- Email communications confirming receipt of original CBUAE report formats</w:t>
              <w:br/>
              <w:t>- Discovery session minutes addressing report requirements and clarifications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BR-009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Digital Wallet and Tokenization Enablement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enable Jaywan card provisioning into supported digital wallets in alignment with scheme roadmap (Samsung Wallet initially, followed by Google Pay and Apple Pay)</w:t>
              <w:br/>
              <w:t>- The bank shall ensure that wallet-based transactions on Jaywan cards provide a secure, seamless payment experience consistent with AEP and wallet provider requirements</w:t>
              <w:br/>
              <w:t>- The bank shall support consumer awareness and usage of Jaywan in digital wallets as part of wider adoption initiatives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Existing wallet integrations (if any) are oriented around international schemes and may not currently recognize Jaywan as a distinct scheme</w:t>
              <w:br/>
              <w:t>- Jaywan readiness for Samsung Wallet has been announced at ecosystem level, with further enablement for Google Pay and Apple Pay in the next phase</w:t>
              <w:br/>
              <w:t>- The bank’s current product and operations documentation does not fully cover Jaywan wallet usage scenarios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digital wallet integration such that Jaywan cards can be tokenized, provisioned, and used across supported devices and form factors</w:t>
              <w:br/>
              <w:t>- The bank shall ensure that transaction routing from wallets follows Jaywan domestic routing rules where applicable</w:t>
              <w:br/>
              <w:t>- The bank shall define operational procedures for managing wallet tokens, including activation, suspension, de-provisioning, and lost or stolen devices for Jaywan cards</w:t>
              <w:br/>
              <w:t>- The bank shall align customer education materials with AEP’s awareness campaign to highlight Jaywan wallet features and benefits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and wallet providers shall confirm technical specifications, certification requirements, and go-live timelines for Jaywan enablement on each wallet</w:t>
              <w:br/>
              <w:t>- Information Security shall review and approve security controls for tokenized Jaywan wallet transactions</w:t>
              <w:br/>
              <w:t>- Channels and Digital Banking teams shall ensure that mobile and online channels display Jaywan wallet functionality correctly</w:t>
              <w:br/>
              <w:t>- Customer support teams shall be briefed on common wallet-related use cases and issues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Jaywan cards shall be successfully provisioned to at least one wallet (e.g. Samsung Wallet) in pilot testing and used for live test transactions</w:t>
              <w:br/>
              <w:t>- Wallet transactions using Jaywan cards shall be correctly reflected in transaction history, GL, and reports with appropriate scheme identification</w:t>
              <w:br/>
              <w:t>- Customer-facing FAQs and guides on Jaywan wallet usage shall be published and accessible</w:t>
              <w:br/>
              <w:t>- No high-risk security or stability issues shall be identified in penetration and performance tests for Jaywan wallet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certain wallets are not ready for Jaywan at project go-live, the bank may prioritize one wallet first and roll out to others in subsequent phases with separate readiness assessments</w:t>
              <w:br/>
              <w:t>- For customers on devices not supporting relevant wallets, Jaywan functionality shall remain available via physical cards and non-wallet channels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Jaywan Roadmap for Digital Wallet Enablement</w:t>
              <w:br/>
              <w:t>- Wallet Provider Integration Guides for Jaywan (Samsung, Google, Apple)</w:t>
              <w:br/>
              <w:t>- Internal Digital Banking and Tokenization Standards</w:t>
              <w:br/>
              <w:t>- AEP public communications on wallet enablement and awareness campaigns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BR-010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Governance, Discovery Sessions, and Stakeholder Alignment for Jaywan Implementation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maintain a structured governance framework and discovery session schedule to capture and refine additional requirements for Jaywan mono-badged and co-badged cards</w:t>
              <w:br/>
              <w:t>- The bank shall ensure alignment between Business, IT, Card Operations, Finance, Risk, and external stakeholders (AEP, schemes) throughout implementation</w:t>
              <w:br/>
              <w:t>- The bank shall document decisions, open issues, and dependencies arising from discovery sessions and meetings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Discovery and clarification sessions involving Business, IT, Card Operations, and Management are ongoing, including agenda items on dual messaging, VISA process adoption, AEP queries, and demand</w:t>
              <w:br/>
              <w:t>- Minutes of discussion and progress updates are circulated, but some queries and documentation requests remain open</w:t>
              <w:br/>
              <w:t>- A meeting schedule exists for discovery sessions focused on additional requirements for Jaywan mono-badged and co-badged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maintain and execute a structured schedule of discovery sessions with clear agendas, attendees, and expected outcomes for Jaywan requirements</w:t>
              <w:br/>
              <w:t>- The bank shall track and manage open questions to AEP and schemes, ensuring timely responses and incorporation into requirements</w:t>
              <w:br/>
              <w:t>- The bank shall use a formal change control process to update business requirements and process documents based on discovery outcomes</w:t>
              <w:br/>
              <w:t>- The bank shall ensure that key decisions on scope, timelines, and risk acceptance are documented and approved by appropriate governance forums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 project governance structure, including steering committee and working groups, shall be confirmed for the Jaywan implementation</w:t>
              <w:br/>
              <w:t>- A centralized repository for minutes, action logs, and reference documents shall be established</w:t>
              <w:br/>
              <w:t>- Key stakeholders from Business, IT, Operations, Finance, Risk, Compliance, and external partners shall be identified and engaged</w:t>
              <w:br/>
              <w:t>- A template for discovery session documentation shall be agreed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Discovery sessions for Jaywan mono-badged and co-badged card requirements shall be held in accordance with the published schedule, with attendance tracked</w:t>
              <w:br/>
              <w:t>- All critical open issues logged in discovery sessions shall have a resolution owner and target date</w:t>
              <w:br/>
              <w:t>- Business requirements and process flows shall be updated and version-controlled, reflecting outcomes of discovery sessions</w:t>
              <w:br/>
              <w:t>- Steering committee or equivalent governance forum shall review and endorse major decisions prior to implementation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For urgent regulatory clarifications, ad-hoc sessions or bilateral meetings may be scheduled outside the standard discovery calendar, with outputs integrated into the central log</w:t>
              <w:br/>
              <w:t>- Some non-critical enhancements identified in discovery may be deferred to post go-live phases per prioritization outcomes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Discovery sessions schedule for Jaywan mono-badged and co-badged additional requirements</w:t>
              <w:br/>
              <w:t>- Minutes of meetings summarizing discussion points and decisions</w:t>
              <w:br/>
              <w:t>- Project governance charter and RACI matrix</w:t>
              <w:br/>
              <w:t>- Communications with AEP and international schemes responding to requirement queries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Requirement Traceability Matrix</w:t>
      </w:r>
    </w:p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BR-001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Compliance with CBUAE mandate for Jaywan co-badged card issuance for eligible portfolios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Regulatory circulars and communications from CBUAE and AEP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Card Management System</w:t>
              <w:br/>
              <w:t>- Card Embossing/Personalization System</w:t>
              <w:br/>
              <w:t>- Customer Onboarding and CRM</w:t>
              <w:br/>
              <w:t>- Product Catalogue and Pricing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issue Jaywan co-badged cards in accordance with regulatory requirements and update all affected product setups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BR-002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Introduction of Jaywan mono-badged cards for domestic and GCC usage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Business strategy discussions</w:t>
              <w:br/>
              <w:t>- AEP scheme guidance on mono-badged products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Card Management System</w:t>
              <w:br/>
              <w:t>- Authorization and Switch Systems</w:t>
              <w:br/>
              <w:t>- GL and Billing Systems</w:t>
              <w:br/>
              <w:t>- Customer Channels (Branches, Online, Mobile)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offer Jaywan mono-badged products with appropriate geographic usage restrictions and system support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BR-003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Routing configuration for domestic Jaywan and international scheme processing on co-badged cards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CBUAE circulars</w:t>
              <w:br/>
              <w:t>- AEP technical specifications</w:t>
              <w:br/>
              <w:t>- Scheme co-badge guidelines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Authorization and Switch Systems</w:t>
              <w:br/>
              <w:t>- Network Interfaces</w:t>
              <w:br/>
              <w:t>- Transaction Routing and Rules Engine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Domestic UAE transactions shall be routed via Jaywan while international transactions shall be routed via the selected international scheme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BR-004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Alignment of Jaywan dual messaging and DMS processes across channels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Internal process documentation sessions</w:t>
              <w:br/>
              <w:t>- Discussions with Card Operations and GBO-ATM/CDM</w:t>
              <w:br/>
              <w:t>- AEP DMS specifications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ATM and POS Switch</w:t>
              <w:br/>
              <w:t>- E-commerce Payment Gateway</w:t>
              <w:br/>
              <w:t>- Clearing and Settlement Systems</w:t>
              <w:br/>
              <w:t>- Reconciliation Tools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operate Jaywan DMS in compliance with CBUAE framework with documented end-to-end flows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BR-005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Inclusion and handling of POS tokenized transactions for Jaywan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Business clarification meetings</w:t>
              <w:br/>
              <w:t>- Tokenization and wallet strategy discussions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Tokenization Platform</w:t>
              <w:br/>
              <w:t>- POS and Wallet Integration Layer</w:t>
              <w:br/>
              <w:t>- Authorization and Risk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support secure POS tokenized Jaywan transactions where in scope and align flows with scheme requirements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BR-006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GL accounting and reconciliation structure for Jaywan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Finance confirmation of GL readiness</w:t>
              <w:br/>
              <w:t>- CBUAE/AEP reconciliation report templates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GL and Finance Systems</w:t>
              <w:br/>
              <w:t>- Reconciliation Platform</w:t>
              <w:br/>
              <w:t>- Settlement and Nostro Management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record and reconcile Jaywan transactions accurately and report positions to internal and external stakeholders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BR-007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Reversals, refunds, and chargeback processes specific to Jaywan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Operational meetings and updates</w:t>
              <w:br/>
              <w:t>- AEP dispute rule expectations</w:t>
              <w:br/>
              <w:t>- Consumer protection requirements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Dispute Management System</w:t>
              <w:br/>
              <w:t>- Card Management System</w:t>
              <w:br/>
              <w:t>- GL and Reporting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process Jaywan disputes in line with scheme and regulatory timelines while providing customer protection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BR-008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Reporting capabilities for Jaywan regulatory and internal MIS needs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CBUAE/AEP original report formats</w:t>
              <w:br/>
              <w:t>- Internal MIS requirements from Business and Operations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Data Warehouse and BI Platform</w:t>
              <w:br/>
              <w:t>- Regulatory Reporting Systems</w:t>
              <w:br/>
              <w:t>- Reconciliation and Settlement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produce accurate, timely Jaywan reports for regulators and internal stakeholders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BR-009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Digital wallet and tokenization enablement for Jaywan cards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AEP public announcements on wallet enablement</w:t>
              <w:br/>
              <w:t>- Bank’s digital strategy and wallet roadmap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Tokenization and Wallet Integration Platforms</w:t>
              <w:br/>
              <w:t>- Mobile Banking Channels</w:t>
              <w:br/>
              <w:t>- Authorization and Risk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allow Jaywan cards to be used via supported digital wallets with secure tokenization and routing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BR-010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Governance and discovery sessions for Jaywan mono-badged and co-badged requirements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Project governance framework</w:t>
              <w:br/>
              <w:t>- Meeting schedules and minutes</w:t>
              <w:br/>
              <w:t>- Communications from PMO and Business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Project Management and Document Repositories</w:t>
              <w:br/>
              <w:t>- Change Management Tools</w:t>
              <w:br/>
              <w:t>- Stakeholder Communication Channels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Bank shall maintain structured governance ensuring traceable decisions and complete requirement capture for Jaywan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No. of users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- To be defined based on bank’s Jaywan issuance projections and portfolio segmentation</w:t>
              <w:br/>
              <w:t>- Bank shall estimate expected active cardholders for Jaywan mono-badged and co-badged products to size capacity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Peak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To be defined after analysis of expected peak transaction periods (e.g. salary days, public holidays, seasonal peaks)</w:t>
              <w:br/>
              <w:t>- Bank shall ensure systems can handle peak Jaywan authorization and clearing volumes without degradation beyond agreed SLAs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Monthly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To be defined based on projected monthly transaction counts and values for Jaywan across ATM, POS, e-commerce, and wallets</w:t>
              <w:br/>
              <w:t>- Bank shall periodically review actual Jaywan volumes against projections and adjust capacity plans accordingly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Availability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Jaywan-related services shall align with CBUAE expectations for critical payment infrastructure availability (e.g. targeted high-availability similar to 24x7 payment systems)</w:t>
              <w:br/>
              <w:t>- Bank shall define and agree target availability metrics (e.g. percentage uptime) for Jaywan authorization, switching, and critical processing components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Impact on Operational process:</w:t>
      </w:r>
      <w:r>
        <w:rPr/>
        <w:t xml:space="preserve"> - 1. Review current card issuance, transaction processing, and dispute management processes for alignment gaps with Jaywan requirements</w:t>
        <w:br/>
        <w:t>- 2. Update card issuance and fulfilment procedures to cater for Jaywan mono-badged and co-badged products, including new checks and scheme codes</w:t>
        <w:br/>
        <w:t>- 3. Adapt authorization and switching operational runbooks to include Jaywan routing, monitoring, and incident handling procedures</w:t>
        <w:br/>
        <w:t>- 4. Define and implement new workflows for Jaywan DMS processing across ATM, POS, e-commerce, and tokenized channels, including file handling and cut-off management</w:t>
        <w:br/>
        <w:t>- 5. Enhance reconciliation operations to incorporate Jaywan scheme files, GL mappings, and exception handling routines</w:t>
        <w:br/>
        <w:t>- 6. Establish Jaywan-specific procedures for reversals, refunds, and chargebacks including evidence collection, timelines, and escalation paths</w:t>
        <w:br/>
        <w:t>- 7. Update call center, branch, and back-office scripts to address Jaywan product features, usage restrictions, and dispute scenarios</w:t>
        <w:br/>
        <w:t>- 8. Introduce operational controls and monitoring for Jaywan wallet provisioning and token lifecycle management</w:t>
        <w:br/>
        <w:t>- 9. Align operational reporting and daily dashboards to include Jaywan metrics for volumes, failures, and exceptions</w:t>
        <w:br/>
        <w:t>- 10. Coordinate with AEP and schemes for incident communication, maintenance windows, and operational readiness reviews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Regulatory impact:</w:t>
      </w:r>
      <w:r>
        <w:rPr/>
        <w:t xml:space="preserve"> - 1. Comply with CBUAE circular mandating Jaywan co-badged card issuance for licensed financial institutions</w:t>
        <w:br/>
        <w:t>- 2. Align transaction routing so that domestic transactions are processed via Jaywan where acceptance infrastructure is available, supporting CBUAE’s domestic scheme objectives</w:t>
        <w:br/>
        <w:t>- 3. Implement reporting obligations to CBUAE and AEP using prescribed templates and submission cycles for Jaywan transaction data and scheme participation metrics</w:t>
        <w:br/>
        <w:t>- 4. Ensure customer protection and dispute resolution processes for Jaywan meet or exceed CBUAE consumer protection standards and relevant local regulations</w:t>
        <w:br/>
        <w:t>- 5. Maintain compliance with CBUAE standards on payment security, data protection, and operational resilience for domestic payment infrastructures</w:t>
        <w:br/>
        <w:t>- 6. Facilitate supervisory review and audit by maintaining documentation, logs, and evidence demonstrating full alignment with Jaywan-related regulatory expectations</w:t>
        <w:br/>
        <w:t>- 7. Monitor ongoing regulatory updates regarding bilateral agreements (e.g. India corridor), GCC usage, and wallet enablement to update business requirements when formally issued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Reports requirement:</w:t>
      </w:r>
      <w:r>
        <w:rPr/>
        <w:t xml:space="preserve"> - 1. Regulatory Reports</w:t>
        <w:br/>
        <w:t>- - Bank shall produce CBUAE and AEP mandated Jaywan transaction and settlement reports in the required frequency and format</w:t>
        <w:br/>
        <w:t>- - Bank shall segregate domestic, GCC, and international Jaywan-related volumes and values where requested by regulators</w:t>
        <w:br/>
        <w:t>- 2. Operational and Reconciliation Reports</w:t>
        <w:br/>
        <w:t>- - Bank shall generate daily reconciliation reports comparing Jaywan scheme files, internal ledgers, and GL postings</w:t>
        <w:br/>
        <w:t>- - Bank shall provide exception reports for unmatched Jaywan transactions, settlement variances, and delayed postings</w:t>
        <w:br/>
        <w:t>- 3. Management Information (MI) and Business Reports</w:t>
        <w:br/>
        <w:t>- - Bank shall provide dashboards and periodic reports tracking Jaywan adoption, usage by channel, and impact on payment costs</w:t>
        <w:br/>
        <w:t>- - Bank shall segment Jaywan mono-badged and co-badged performance by product, geography, and customer segment where data permits</w:t>
        <w:br/>
        <w:t>- 4. Risk and Compliance Reports</w:t>
        <w:br/>
        <w:t>- - Bank shall incorporate Jaywan transaction flows into AML, fraud, and sanctions monitoring reports, including scheme-specific filters</w:t>
        <w:br/>
        <w:t>- - Bank shall monitor and report on Jaywan dispute volumes, reversal trends, and customer complaints for oversight</w:t>
        <w:br/>
        <w:t>- 5. Ad-hoc and Analytical Reports</w:t>
        <w:br/>
        <w:t>- - Bank shall support ad-hoc analysis requests from Business, Finance, and Regulators related to Jaywan scheme performance and strategic assessment</w:t>
        <w:br/>
        <w:t>- - Bank shall ensure underlying data for Jaywan is accessible in the data warehouse for advanced analytics subject to access controls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Access requirement:</w:t>
      </w:r>
      <w:r>
        <w:rPr/>
        <w:t xml:space="preserve"> - 1. Role-Based Access Control (RBAC)</w:t>
        <w:br/>
        <w:t>- - Bank shall define roles for Jaywan-related functions (e.g. configuration, operations, reconciliation, dispute management) and restrict access accordingly</w:t>
        <w:br/>
        <w:t>- 2. Principle of Least Privilege</w:t>
        <w:br/>
        <w:t>- - Bank shall ensure users only have access to Jaywan data and functions necessary for their role, minimizing unauthorized exposure</w:t>
        <w:br/>
        <w:t>- 3. Segregation of Duties</w:t>
        <w:br/>
        <w:t>- - Bank shall segregate duties between configuration, transaction processing, and reconciliation roles for Jaywan to reduce operational risk</w:t>
        <w:br/>
        <w:t>- 4. Audit Trails</w:t>
        <w:br/>
        <w:t>- - Bank shall maintain detailed logs of user access and changes related to Jaywan configurations, transactions, and reports for audit purposes</w:t>
        <w:br/>
        <w:t>- 5. External Partner Access</w:t>
        <w:br/>
        <w:t>- - Bank shall control and monitor any access provided to external parties (e.g. service providers) related to Jaywan integrations in accordance with outsourcing and security policies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Security requirement:</w:t>
      </w:r>
      <w:r>
        <w:rPr/>
        <w:t xml:space="preserve"> - 1. Data Security and Encryption</w:t>
        <w:br/>
        <w:t>- - Bank shall ensure that Jaywan cardholder data is protected in line with applicable card security standards and CBUAE regulations, including encryption in transit and at rest</w:t>
        <w:br/>
        <w:t>- 2. Tokenization Security</w:t>
        <w:br/>
        <w:t>- - Bank shall enforce secure tokenization for Jaywan cards used in digital wallets and e-commerce, ensuring token life-cycle management complies with scheme and bank policies</w:t>
        <w:br/>
        <w:t>- 3. Access and Authentication</w:t>
        <w:br/>
        <w:t>- - Bank shall ensure strong authentication mechanisms are in place for systems managing Jaywan configurations and operations</w:t>
        <w:br/>
        <w:t>- 4. Monitoring and Incident Response</w:t>
        <w:br/>
        <w:t>- - Bank shall include Jaywan-related traffic and systems within its security monitoring, SIEM, and incident response frameworks</w:t>
        <w:br/>
        <w:t>- 5. Vulnerability Management</w:t>
        <w:br/>
        <w:t>- - Bank shall assess and remediate vulnerabilities in Jaywan-related components as part of regular security testing and patching cycles</w:t>
        <w:br/>
        <w:t>- 6. Compliance with Regulatory and Scheme Security Standards</w:t>
        <w:br/>
        <w:t>- - Bank shall comply with CBUAE, AEP, and relevant international scheme security guidelines for domestic card schemes and co-badged configurations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Data requirement:</w:t>
      </w:r>
      <w:r>
        <w:rPr/>
        <w:t xml:space="preserve"> - 1. Data Elements and Standards</w:t>
        <w:br/>
        <w:t>- - Bank shall capture and store Jaywan-specific scheme identifiers, BIN details, routing flags, and transaction attributes across systems</w:t>
        <w:br/>
        <w:t>- 2. Data Quality and Validation</w:t>
        <w:br/>
        <w:t>- - Bank shall implement validation controls to ensure accuracy and completeness of Jaywan transaction and customer data</w:t>
        <w:br/>
        <w:t>- 3. Data Retention</w:t>
        <w:br/>
        <w:t>- - Bank shall retain Jaywan transactional and reference data in line with CBUAE record-keeping requirements and internal policies</w:t>
        <w:br/>
        <w:t>- 4. Data Integration</w:t>
        <w:br/>
        <w:t>- - Bank shall integrate Jaywan-related data into data warehouse and reporting platforms with clear lineage and transformation rules</w:t>
        <w:br/>
        <w:t>- 5. Privacy and Confidentiality</w:t>
        <w:br/>
        <w:t>- - Bank shall handle Jaywan-related customer data in compliance with applicable data protection laws and internal privacy standards</w:t>
        <w:br/>
        <w:t>- 6. Reference Data Management</w:t>
        <w:br/>
        <w:t>- - Bank shall maintain up-to-date reference data for Jaywan products, BINs, fees, and routing parameters in centralized repositories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Training requirement:</w:t>
      </w:r>
      <w:r>
        <w:rPr/>
        <w:t xml:space="preserve"> - 1. Operational Training</w:t>
        <w:br/>
        <w:t>- - Bank shall provide targeted training to Card Operations, GBO-ATM/CDM, Reconciliation, and Dispute Management teams on Jaywan processes</w:t>
        <w:br/>
        <w:t>- 2. Frontline Staff Training</w:t>
        <w:br/>
        <w:t>- - Bank shall train branch and call center staff on Jaywan product features, usage rules, and common customer queries</w:t>
        <w:br/>
        <w:t>- 3. IT and Support Training</w:t>
        <w:br/>
        <w:t>- - Bank shall train IT support and monitoring teams on Jaywan system configurations, routing logic, and incident handling procedures</w:t>
        <w:br/>
        <w:t>- 4. Compliance and Risk Training</w:t>
        <w:br/>
        <w:t>- - Bank shall brief Compliance, Risk, and Audit teams on regulatory expectations and risk controls specific to Jaywan</w:t>
        <w:br/>
        <w:t>- 5. Refresher and Update Sessions</w:t>
        <w:br/>
        <w:t>- - Bank shall conduct refresher sessions when AEP or CBUAE issue significant updates to Jaywan rules, or when new features such as additional wallets are introduced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Open Questions:</w:t>
      </w:r>
      <w:r>
        <w:rPr/>
        <w:t xml:space="preserve"> {open_questions}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Contradictions (if any):</w:t>
      </w:r>
      <w:r>
        <w:rPr/>
        <w:t xml:space="preserve"> {contradictions_found_in_input_documents}</w:t>
      </w:r>
    </w:p>
    <w:p>
      <w:pPr>
        <w:pStyle w:val="Normal"/>
        <w:rPr>
          <w:rFonts w:ascii="Consolas;Courier New;monospace" w:hAnsi="Consolas;Courier New;monospace"/>
          <w:b w:val="false"/>
          <w:color w:val="CE9178"/>
          <w:sz w:val="24"/>
          <w:szCs w:val="24"/>
          <w:shd w:fill="1F1F1F" w:val="clear"/>
        </w:rPr>
      </w:pPr>
      <w:r>
        <w:rPr>
          <w:rFonts w:ascii="Consolas;Courier New;monospace" w:hAnsi="Consolas;Courier New;monospace"/>
          <w:b w:val="false"/>
          <w:color w:val="CE9178"/>
          <w:sz w:val="24"/>
          <w:szCs w:val="24"/>
          <w:shd w:fill="1F1F1F" w:val="clea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4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14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147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147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14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14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14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147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14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147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3c14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14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Application>LibreOffice/25.2.7.2$Windows_X86_64 LibreOffice_project/5cbfd1ab6520636bb5f7b99185aa69bd7456825d</Application>
  <AppVersion>15.0000</AppVersion>
  <Pages>4</Pages>
  <Words>141</Words>
  <Characters>1328</Characters>
  <CharactersWithSpaces>1393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2026-01-21T10:44:00Z</dcterms:created>
  <dc:creator>Md Anwar</dc:creator>
  <dc:description/>
  <dc:language>en-US</dc:language>
  <cp:lastModifiedBy/>
  <dcterms:modified xsi:type="dcterms:W3CDTF">2026-01-30T11:24:18Z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