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First Islamic Bank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Business Requirements Specification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>
          <w:b/>
          <w:bCs/>
        </w:rPr>
        <w:t>Title:</w:t>
      </w:r>
      <w:r>
        <w:rPr/>
        <w:t xml:space="preserve"> - Business Requirements Specification for Jaywan Domestic and Co-badged Card Implementation</w:t>
      </w:r>
    </w:p>
    <w:p>
      <w:pPr>
        <w:pStyle w:val="Normal"/>
        <w:rPr/>
      </w:pPr>
      <w:r>
        <w:rPr>
          <w:b/>
          <w:bCs/>
        </w:rPr>
        <w:t>ID:</w:t>
      </w:r>
      <w:r>
        <w:rPr/>
        <w:t xml:space="preserve"> - BRS-JAYWAN-COBADGE-001</w:t>
      </w:r>
    </w:p>
    <w:p>
      <w:pPr>
        <w:pStyle w:val="Normal"/>
        <w:rPr/>
      </w:pPr>
      <w:r>
        <w:rPr>
          <w:b/>
          <w:bCs/>
        </w:rPr>
        <w:t>Program:</w:t>
      </w:r>
      <w:r>
        <w:rPr/>
        <w:t xml:space="preserve"> - Jaywan Domestic Card Scheme Enablement for Licensed Financial Institutions</w:t>
      </w:r>
    </w:p>
    <w:p>
      <w:pPr>
        <w:pStyle w:val="Normal"/>
        <w:rPr/>
      </w:pPr>
      <w:r>
        <w:rPr>
          <w:b/>
          <w:bCs/>
        </w:rPr>
        <w:t>Type:</w:t>
      </w:r>
      <w:r>
        <w:rPr/>
        <w:t xml:space="preserve"> - Business Requirement Specification (BRS) – Cards, Switching and e-Payments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Table Of Content</w:t>
      </w:r>
    </w:p>
    <w:tbl>
      <w:tblPr>
        <w:tblW w:w="9240" w:type="dxa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20"/>
        <w:gridCol w:w="4619"/>
      </w:tblGrid>
      <w:tr>
        <w:trPr/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Serial Number</w:t>
            </w:r>
          </w:p>
        </w:tc>
        <w:tc>
          <w:tcPr>
            <w:tcW w:w="4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</w:tr>
      <w:tr>
        <w:tc>
          <w:tcPr>
            <w:tcW w:type="dxa" w:w="4620"/>
          </w:tcPr>
          <w:p>
            <w:r>
              <w:t>1</w:t>
            </w:r>
          </w:p>
        </w:tc>
        <w:tc>
          <w:tcPr>
            <w:tcW w:type="dxa" w:w="4619"/>
          </w:tcPr>
          <w:p>
            <w:r>
              <w:t>Document Sign off</w:t>
            </w:r>
          </w:p>
        </w:tc>
      </w:tr>
      <w:tr>
        <w:tc>
          <w:tcPr>
            <w:tcW w:type="dxa" w:w="4620"/>
          </w:tcPr>
          <w:p>
            <w:r>
              <w:t>2</w:t>
            </w:r>
          </w:p>
        </w:tc>
        <w:tc>
          <w:tcPr>
            <w:tcW w:type="dxa" w:w="4619"/>
          </w:tcPr>
          <w:p>
            <w:r>
              <w:t>Document History</w:t>
            </w:r>
          </w:p>
        </w:tc>
      </w:tr>
      <w:tr>
        <w:tc>
          <w:tcPr>
            <w:tcW w:type="dxa" w:w="4620"/>
          </w:tcPr>
          <w:p>
            <w:r>
              <w:t>3</w:t>
            </w:r>
          </w:p>
        </w:tc>
        <w:tc>
          <w:tcPr>
            <w:tcW w:type="dxa" w:w="4619"/>
          </w:tcPr>
          <w:p>
            <w:r>
              <w:t>Overview</w:t>
            </w:r>
          </w:p>
        </w:tc>
      </w:tr>
      <w:tr>
        <w:tc>
          <w:tcPr>
            <w:tcW w:type="dxa" w:w="4620"/>
          </w:tcPr>
          <w:p>
            <w:r>
              <w:t>4</w:t>
            </w:r>
          </w:p>
        </w:tc>
        <w:tc>
          <w:tcPr>
            <w:tcW w:type="dxa" w:w="4619"/>
          </w:tcPr>
          <w:p>
            <w:r>
              <w:t>Current constraints</w:t>
            </w:r>
          </w:p>
        </w:tc>
      </w:tr>
      <w:tr>
        <w:tc>
          <w:tcPr>
            <w:tcW w:type="dxa" w:w="4620"/>
          </w:tcPr>
          <w:p>
            <w:r>
              <w:t>5</w:t>
            </w:r>
          </w:p>
        </w:tc>
        <w:tc>
          <w:tcPr>
            <w:tcW w:type="dxa" w:w="4619"/>
          </w:tcPr>
          <w:p>
            <w:r>
              <w:t>Objective</w:t>
            </w:r>
          </w:p>
        </w:tc>
      </w:tr>
      <w:tr>
        <w:tc>
          <w:tcPr>
            <w:tcW w:type="dxa" w:w="4620"/>
          </w:tcPr>
          <w:p>
            <w:r>
              <w:t>6</w:t>
            </w:r>
          </w:p>
        </w:tc>
        <w:tc>
          <w:tcPr>
            <w:tcW w:type="dxa" w:w="4619"/>
          </w:tcPr>
          <w:p>
            <w:r>
              <w:t>In scope</w:t>
            </w:r>
          </w:p>
        </w:tc>
      </w:tr>
      <w:tr>
        <w:tc>
          <w:tcPr>
            <w:tcW w:type="dxa" w:w="4620"/>
          </w:tcPr>
          <w:p>
            <w:r>
              <w:t>7</w:t>
            </w:r>
          </w:p>
        </w:tc>
        <w:tc>
          <w:tcPr>
            <w:tcW w:type="dxa" w:w="4619"/>
          </w:tcPr>
          <w:p>
            <w:r>
              <w:t>Out of scope</w:t>
            </w:r>
          </w:p>
        </w:tc>
      </w:tr>
      <w:tr>
        <w:tc>
          <w:tcPr>
            <w:tcW w:type="dxa" w:w="4620"/>
          </w:tcPr>
          <w:p>
            <w:r>
              <w:t>8</w:t>
            </w:r>
          </w:p>
        </w:tc>
        <w:tc>
          <w:tcPr>
            <w:tcW w:type="dxa" w:w="4619"/>
          </w:tcPr>
          <w:p>
            <w:r>
              <w:t>Description</w:t>
            </w:r>
          </w:p>
        </w:tc>
      </w:tr>
      <w:tr>
        <w:tc>
          <w:tcPr>
            <w:tcW w:type="dxa" w:w="4620"/>
          </w:tcPr>
          <w:p>
            <w:r>
              <w:t>9</w:t>
            </w:r>
          </w:p>
        </w:tc>
        <w:tc>
          <w:tcPr>
            <w:tcW w:type="dxa" w:w="4619"/>
          </w:tcPr>
          <w:p>
            <w:r>
              <w:t>Business Requirements</w:t>
            </w:r>
          </w:p>
        </w:tc>
      </w:tr>
      <w:tr>
        <w:tc>
          <w:tcPr>
            <w:tcW w:type="dxa" w:w="4620"/>
          </w:tcPr>
          <w:p>
            <w:r>
              <w:t>10</w:t>
            </w:r>
          </w:p>
        </w:tc>
        <w:tc>
          <w:tcPr>
            <w:tcW w:type="dxa" w:w="4619"/>
          </w:tcPr>
          <w:p>
            <w:r>
              <w:t>Requirement Traceability Matrix</w:t>
            </w:r>
          </w:p>
        </w:tc>
      </w:tr>
      <w:tr>
        <w:tc>
          <w:tcPr>
            <w:tcW w:type="dxa" w:w="4620"/>
          </w:tcPr>
          <w:p>
            <w:r>
              <w:t>11</w:t>
            </w:r>
          </w:p>
        </w:tc>
        <w:tc>
          <w:tcPr>
            <w:tcW w:type="dxa" w:w="4619"/>
          </w:tcPr>
          <w:p>
            <w:r>
              <w:t>Non-Functional Requirements</w:t>
            </w:r>
          </w:p>
        </w:tc>
      </w:tr>
      <w:tr>
        <w:tc>
          <w:tcPr>
            <w:tcW w:type="dxa" w:w="4620"/>
          </w:tcPr>
          <w:p>
            <w:r>
              <w:t>12</w:t>
            </w:r>
          </w:p>
        </w:tc>
        <w:tc>
          <w:tcPr>
            <w:tcW w:type="dxa" w:w="4619"/>
          </w:tcPr>
          <w:p>
            <w:r>
              <w:t>Impact on Operational Process</w:t>
            </w:r>
          </w:p>
        </w:tc>
      </w:tr>
      <w:tr>
        <w:tc>
          <w:tcPr>
            <w:tcW w:type="dxa" w:w="4620"/>
          </w:tcPr>
          <w:p>
            <w:r>
              <w:t>13</w:t>
            </w:r>
          </w:p>
        </w:tc>
        <w:tc>
          <w:tcPr>
            <w:tcW w:type="dxa" w:w="4619"/>
          </w:tcPr>
          <w:p>
            <w:r>
              <w:t>Regulatory Impact</w:t>
            </w:r>
          </w:p>
        </w:tc>
      </w:tr>
      <w:tr>
        <w:tc>
          <w:tcPr>
            <w:tcW w:type="dxa" w:w="4620"/>
          </w:tcPr>
          <w:p>
            <w:r>
              <w:t>14</w:t>
            </w:r>
          </w:p>
        </w:tc>
        <w:tc>
          <w:tcPr>
            <w:tcW w:type="dxa" w:w="4619"/>
          </w:tcPr>
          <w:p>
            <w:r>
              <w:t>Reports Requirement</w:t>
            </w:r>
          </w:p>
        </w:tc>
      </w:tr>
      <w:tr>
        <w:tc>
          <w:tcPr>
            <w:tcW w:type="dxa" w:w="4620"/>
          </w:tcPr>
          <w:p>
            <w:r>
              <w:t>15</w:t>
            </w:r>
          </w:p>
        </w:tc>
        <w:tc>
          <w:tcPr>
            <w:tcW w:type="dxa" w:w="4619"/>
          </w:tcPr>
          <w:p>
            <w:r>
              <w:t>Access Requirement</w:t>
            </w:r>
          </w:p>
        </w:tc>
      </w:tr>
      <w:tr>
        <w:tc>
          <w:tcPr>
            <w:tcW w:type="dxa" w:w="4620"/>
          </w:tcPr>
          <w:p>
            <w:r>
              <w:t>16</w:t>
            </w:r>
          </w:p>
        </w:tc>
        <w:tc>
          <w:tcPr>
            <w:tcW w:type="dxa" w:w="4619"/>
          </w:tcPr>
          <w:p>
            <w:r>
              <w:t>Security Requirement</w:t>
            </w:r>
          </w:p>
        </w:tc>
      </w:tr>
      <w:tr>
        <w:tc>
          <w:tcPr>
            <w:tcW w:type="dxa" w:w="4620"/>
          </w:tcPr>
          <w:p>
            <w:r>
              <w:t>17</w:t>
            </w:r>
          </w:p>
        </w:tc>
        <w:tc>
          <w:tcPr>
            <w:tcW w:type="dxa" w:w="4619"/>
          </w:tcPr>
          <w:p>
            <w:r>
              <w:t>Data Requirement</w:t>
            </w:r>
          </w:p>
        </w:tc>
      </w:tr>
      <w:tr>
        <w:tc>
          <w:tcPr>
            <w:tcW w:type="dxa" w:w="4620"/>
          </w:tcPr>
          <w:p>
            <w:r>
              <w:t>18</w:t>
            </w:r>
          </w:p>
        </w:tc>
        <w:tc>
          <w:tcPr>
            <w:tcW w:type="dxa" w:w="4619"/>
          </w:tcPr>
          <w:p>
            <w:r>
              <w:t>Training Requirement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Document Sign off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57"/>
        <w:gridCol w:w="2157"/>
        <w:gridCol w:w="2158"/>
        <w:gridCol w:w="2157"/>
      </w:tblGrid>
      <w:tr>
        <w:trPr/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Name</w:t>
            </w:r>
          </w:p>
        </w:tc>
        <w:tc>
          <w:tcPr>
            <w:tcW w:w="21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Department</w:t>
            </w:r>
          </w:p>
        </w:tc>
        <w:tc>
          <w:tcPr>
            <w:tcW w:w="215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Remarks</w:t>
            </w:r>
          </w:p>
        </w:tc>
        <w:tc>
          <w:tcPr>
            <w:tcW w:w="21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Approval date</w:t>
            </w:r>
          </w:p>
        </w:tc>
      </w:tr>
      <w:tr>
        <w:trPr/>
        <w:tc>
          <w:tcPr>
            <w:tcW w:w="215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215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215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215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Document History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4"/>
        <w:gridCol w:w="3269"/>
        <w:gridCol w:w="3127"/>
      </w:tblGrid>
      <w:tr>
        <w:trPr/>
        <w:tc>
          <w:tcPr>
            <w:tcW w:w="2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Version</w:t>
            </w:r>
          </w:p>
        </w:tc>
        <w:tc>
          <w:tcPr>
            <w:tcW w:w="32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Remarks</w:t>
            </w:r>
          </w:p>
        </w:tc>
        <w:tc>
          <w:tcPr>
            <w:tcW w:w="3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Date</w:t>
            </w:r>
          </w:p>
        </w:tc>
      </w:tr>
      <w:tr>
        <w:trPr/>
        <w:tc>
          <w:tcPr>
            <w:tcW w:w="22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1.0</w:t>
            </w:r>
          </w:p>
        </w:tc>
        <w:tc>
          <w:tcPr>
            <w:tcW w:w="326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Initial Draft</w:t>
            </w:r>
          </w:p>
        </w:tc>
        <w:tc>
          <w:tcPr>
            <w:tcW w:w="312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- 02-Feb-2026</w:t>
            </w:r>
          </w:p>
        </w:tc>
      </w:tr>
      <w:tr>
        <w:trPr/>
        <w:tc>
          <w:tcPr>
            <w:tcW w:w="22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3269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  <w:tc>
          <w:tcPr>
            <w:tcW w:w="3127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Overview:</w:t>
      </w:r>
      <w:r>
        <w:rPr/>
        <w:t xml:space="preserve"> - This document shall define the business requirements for implementing the CBUAE-mandated Jaywan domestic card scheme, including mono-badge and co-badged card propositions across issuing and acquiring for licensed financial institutions in the UAE</w:t>
        <w:br/>
        <w:t>- The requirements shall ensure alignment with CBUAE circulars, Al Etihad Payments (AEP) guidelines and Jaywan scheme rules for domestic transactions, international routing, tokenization and digital wallets</w:t>
        <w:br/>
        <w:t>- The scope shall cover end-to-end card lifecycle processes, routing configuration for domestic versus international usage, and integration with CBUAE / AEP infrastructures including the domestic card switch and dual messaging platforms</w:t>
        <w:br/>
        <w:t>- The document shall reflect the objective of strengthening financial sovereignty, reducing domestic payment costs and enabling secure, seamless digital payments in alignment with UAE’s national payment strategy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Current constraints:</w:t>
      </w:r>
      <w:r>
        <w:rPr/>
        <w:t xml:space="preserve"> - Detailed CBUAE circular text and full Jaywan scheme rulebook are not provided in the input and shall be treated as external reference documents</w:t>
        <w:br/>
        <w:t>- Technical specifications for AEP domestic switch, dual messaging, and tokenization frameworks are not available in this document and shall be obtained from AEP and CBUAE</w:t>
        <w:br/>
        <w:t>- Exact service level targets, performance benchmarks and fee structures for Jaywan transactions are not specified in the provided content and shall be derived from scheme and bilateral agreements</w:t>
        <w:br/>
        <w:t>- Final business processes for reversals, refunds and chargebacks under Jaywan are under discussion and shall be confirmed with AEP and CBUAE operations</w:t>
        <w:br/>
        <w:t>- Detailed reconciliation formats and GL mapping structures are referenced as available with Finance and CBUAE but are not attached to the provided input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Objective:</w:t>
      </w:r>
      <w:r>
        <w:rPr/>
        <w:t xml:space="preserve"> - The implementation shall comply with the CBUAE central government mandate that all licensed financial institutions shall launch Jaywan domestic cards as mono-badge and Jaywan co-badged cards with international schemes</w:t>
        <w:br/>
        <w:t>- The implementation shall ensure that all new cards issued by banks currently issuing Visa or MasterCard shall in future be configured as co-badged cards that support both domestic and international transactions in line with CBUAE mandate reference number 5480-2024</w:t>
        <w:br/>
        <w:t>- The implementation shall enable domestic card routing through the Jaywan / AEP domestic infrastructure for UAE and GCC-eligible transactions while allowing international transactions via partner international schemes for co-badged cards</w:t>
        <w:br/>
        <w:t>- The implementation shall support reduction in domestic payment acceptance and processing costs while maintaining or improving service quality and security for cardholders and merchants</w:t>
        <w:br/>
        <w:t>- The implementation shall ensure readiness of financial infrastructure, including card management systems, host systems, switching interfaces and reconciliation processes, to activate Jaywan locally and support future global expansion</w:t>
        <w:br/>
        <w:t>- The implementation shall enable tokenized card usage via digital wallets such as Samsung Wallet at initial stage and support onboarding to Google Pay and Apple Pay as per AEP roadmap</w:t>
        <w:br/>
        <w:t>- The implementation shall support CBUAE and AEP awareness and reporting expectations by enabling generation of required MIS, regulatory and reconciliation reports for Jaywan transactions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In scope:</w:t>
      </w:r>
      <w:r>
        <w:rPr/>
        <w:t xml:space="preserve"> - Issuance of Jaywan mono-badge cards for domestic and GCC usage as per AEP and CBUAE guidelines</w:t>
        <w:br/>
        <w:t>- Issuance of Jaywan co-badged cards in partnership with international schemes (e.g. Visa or MasterCard) for both domestic and international usage aligned with CBUAE circulars</w:t>
        <w:br/>
        <w:t>- Configuration of card routing rules so that domestic transactions are processed via Jaywan scheme and international transactions via the relevant international scheme for co-badged cards</w:t>
        <w:br/>
        <w:t>- Enablement of Jaywan card usage across ATM, POS, e-commerce and tokenized transaction channels subject to scheme and technical readiness</w:t>
        <w:br/>
        <w:t>- Integration with CBUAE / AEP dual messaging system for e-commerce and tokenized transactions as a to-be process, extending from current Visa DMS arrangements</w:t>
        <w:br/>
        <w:t>- Definition and documentation of end-to-end business processes for authorisation, clearing, settlement, reversals, refunds, chargebacks and dispute management for Jaywan transactions</w:t>
        <w:br/>
        <w:t>- GL and reconciliation design for Jaywan domestic and co-badged transactions, leveraging existing GL structures validated by Finance</w:t>
        <w:br/>
        <w:t>- Report definition and configuration for scheme, regulatory, operational and reconciliation reporting related to Jaywan</w:t>
        <w:br/>
        <w:t>- Impact assessment and update of customer communications, product disclosures and fees for Jaywan card products</w:t>
        <w:br/>
        <w:t>- Coordination and requirement gathering sessions (discovery sessions) for additional requirements for Jaywan mono-badge and co-badged cards with Business and IT stakeholders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Out of scope:</w:t>
      </w:r>
      <w:r>
        <w:rPr/>
        <w:t xml:space="preserve"> - Definition of detailed Jaywan scheme technical specifications, which shall be governed by AEP and CBUAE technical documentation</w:t>
        <w:br/>
        <w:t>- Commercial negotiations with international schemes or AEP regarding interchange, MDR, and fee structures</w:t>
        <w:br/>
        <w:t>- Non-card payment instruments and non-card domestic schemes that are outside the Jaywan card initiative</w:t>
        <w:br/>
        <w:t>- Detailed design and build of mobile wallet platforms (Samsung Wallet, Google Pay, Apple Pay) beyond business requirements for tokenization and usage enablement</w:t>
        <w:br/>
        <w:t>- Customer marketing campaign content and creative design for Jaywan awareness activities</w:t>
        <w:br/>
        <w:t>- Infrastructure capacity planning at AEP and CBUAE switch environments, which shall be managed by those entities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Business requirements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BR-001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Compliance with CBUAE Mandate for Jaywan Co-badged Card Issuance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comply with the CBUAE central government mandate requiring all licensed financial institutions to launch Jaywan co-badged cards in line with mandate reference number 5480-2024</w:t>
              <w:br/>
              <w:t>- The bank shall ensure that any bank currently issuing Visa or MasterCard products shall, for applicable portfolios, migrate new issuance to Jaywan co-badged cards that support both domestic and international transactions</w:t>
              <w:br/>
              <w:t>- The bank shall ensure that card product configurations, customer journeys and operational processes reflect the dual-routing nature of co-badged cards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currently issues international scheme-branded cards (e.g. Visa or MasterCard) without Jaywan domestic co-badging</w:t>
              <w:br/>
              <w:t>- Domestic and international card transactions are routed exclusively via the respective international schemes based on current routing logic</w:t>
              <w:br/>
              <w:t>- CBUAE mandate for Jaywan co-badging is not yet operationalised within card product catalogues, card management systems and processes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issue Jaywan co-badged cards where one badge is Jaywan for domestic usage and the other badge is an international scheme (e.g. Visa or MasterCard) for international usage</w:t>
              <w:br/>
              <w:t>- The bank shall ensure that domestic transactions that fall under Jaywan rules shall be routed via Jaywan, while cross-border transactions shall route via the international scheme</w:t>
              <w:br/>
              <w:t>- The bank shall update product governance, card application forms, customer communications and operational processes to reflect Jaywan co-badged status</w:t>
              <w:br/>
              <w:t>- The bank shall align product rollout timelines with CBUAE circular implementation dates and AEP readiness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Availability of official CBUAE circular including reference number 5480-2024 and related implementation timelines</w:t>
              <w:br/>
              <w:t>- Availability of Jaywan co-badging rules and operating regulations from AEP and CBUAE</w:t>
              <w:br/>
              <w:t>- Agreement with at least one international card scheme for co-badge configuration and routing</w:t>
              <w:br/>
              <w:t>- Internal product approval from Product Committee, Risk, Compliance and Shariah (if applicable)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demonstrate that all newly issued eligible credit and debit cards are configured as Jaywan co-badged cards in line with CBUAE guidance</w:t>
              <w:br/>
              <w:t>- The bank shall demonstrate that BIN tables and card ranges are registered and recognised by both Jaywan and the partner international scheme</w:t>
              <w:br/>
              <w:t>- The bank shall demonstrate through test cases that domestic transactions route via Jaywan and international transactions route via the international scheme for co-badged cards</w:t>
              <w:br/>
              <w:t>- The bank shall obtain documented sign-off from Compliance confirming adherence to CBUAE mandate requirements for Jaywan co-badged issuance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In case the international scheme co-badging agreement is not finalised for a specific portfolio by the mandated date, the bank shall seek clarification and potential phased implementation approval from CBUAE</w:t>
              <w:br/>
              <w:t>- In case of technical constraints preventing immediate co-badge issuance for certain customer segments, the bank shall propose a migration roadmap and seek regulator concurrence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CBUAE circular and mandate reference number 5480-2024 for Jaywan co-badged card issuance</w:t>
              <w:br/>
              <w:t>- AEP Jaywan scheme high-level announcement and readiness communication</w:t>
              <w:br/>
              <w:t>- Bank internal product governance policy and card issuance standards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BR-002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Issuance of Jaywan Mono-badge Domestic Cards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enable issuance of Jaywan mono-badge cards for domestic and GCC usage, in accordance with AEP scheme guidance</w:t>
              <w:br/>
              <w:t>- The bank shall define customer segments and products where Jaywan mono-badge cards are appropriate (e.g. payroll, entry-level accounts, government programmes) in line with regulatory guidance</w:t>
              <w:br/>
              <w:t>- The bank shall ensure that mono-badge cards transact only via Jaywan for domestic and eligible GCC transactions as per scheme rules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does not currently issue Jaywan mono-badge domestic cards</w:t>
              <w:br/>
              <w:t>- Domestic-only products may exist but are typically based on international scheme rails or proprietary local arrangements</w:t>
              <w:br/>
              <w:t>- GCC usage for cards is currently routed via international schemes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configure Jaywan mono-badge card BINs and card ranges in the card management system for issuance</w:t>
              <w:br/>
              <w:t>- The bank shall ensure that Jaywan mono-badge cards are accepted across domestic acceptance points enabled for Jaywan, including ATM, POS and relevant e-commerce, and as per AEP GCC arrangements when available</w:t>
              <w:br/>
              <w:t>- The bank shall ensure that mono-badge cards shall decline transactions attempted outside the permitted domestic or GCC scope as per scheme rules</w:t>
              <w:br/>
              <w:t>- The bank shall define fees, limits and features for Jaywan mono-badge products consistent with cost reduction objectives and customer needs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Receipt of Jaywan mono-badge BINs and ranges from AEP</w:t>
              <w:br/>
              <w:t>- Confirmation from AEP regarding GCC acceptance scope and rules</w:t>
              <w:br/>
              <w:t>- System readiness in CMS, switch, authorisation host and ledger systems to support mono-badge products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successfully issue test and pilot Jaywan mono-badge cards and complete end-to-end transaction testing across ATM, POS and applicable e-commerce</w:t>
              <w:br/>
              <w:t>- The bank shall validate that mono-badge cards are declined for non-permitted international usage according to configured rules</w:t>
              <w:br/>
              <w:t>- The bank shall confirm that GL and reconciliation entries for Jaywan mono-badge flows are working as per Finance-approved design</w:t>
              <w:br/>
              <w:t>- The bank shall have approved product documentation and customer disclosures specific to Jaywan mono-badge cards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If GCC usage is not available at go-live, the bank shall configure mono-badge cards initially for UAE-only domestic usage and update configuration when AEP confirms GCC enablement</w:t>
              <w:br/>
              <w:t>- If specific merchant categories are initially excluded, the bank shall document restrictions and plan phased enablement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communication on Jaywan mono-badge product options</w:t>
              <w:br/>
              <w:t>- CBUAE payment strategy and policy documents on domestic schemes</w:t>
              <w:br/>
              <w:t>- Bank internal product catalogue and card segmentation strategy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BR-003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Domestic Versus International Transaction Routing Configuration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configure transaction routing logic such that domestic transactions for Jaywan mono-badge and the domestic leg of Jaywan co-badged cards are processed via the Jaywan scheme</w:t>
              <w:br/>
              <w:t>- The bank shall configure routing so that international cross-border transactions for Jaywan co-badged cards are processed via the respective international scheme network</w:t>
              <w:br/>
              <w:t>- The bank shall ensure routing configurations support cost optimisation, regulatory compliance and operational efficiency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Routing logic currently directs all card transactions through international schemes for both domestic and international usage</w:t>
              <w:br/>
              <w:t>- Domestic cost optimisation through a local scheme is not implemented</w:t>
              <w:br/>
              <w:t>- Dual-badge routing rules and scheme prioritisation logic are not in place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implement BIN-level and country-level routing rules in the switch and host systems to prioritise Jaywan for domestic UAE transactions and applicable GCC scopes</w:t>
              <w:br/>
              <w:t>- The bank shall implement logic in co-badged card processing so that terminal and routing identifiers enable correct selection between Jaywan and the international scheme</w:t>
              <w:br/>
              <w:t>- The bank shall ensure that card-on-file, tokenized and e-commerce transactions follow the same routing principles based on location and scheme rules</w:t>
              <w:br/>
              <w:t>- The bank shall ensure that routing tables are governed under change control with Compliance and Scheme Management approvals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Clear routing rules and priority matrices from AEP and international schemes</w:t>
              <w:br/>
              <w:t>- Switch system capability to perform multi-scheme routing based on BIN, MCC, merchant country and transaction attributes</w:t>
              <w:br/>
              <w:t>- End-to-end testing environment to validate routing scenarios across ATM, POS and e-commerce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provide evidence through test cases that domestic transactions for Jaywan cards consistently route via Jaywan and not via the international scheme</w:t>
              <w:br/>
              <w:t>- The bank shall provide evidence that international transactions for Jaywan co-badged cards route via the international scheme and not via Jaywan</w:t>
              <w:br/>
              <w:t>- The bank shall demonstrate correct behaviour for edge cases such as GCC regional usage and cross-border e-commerce</w:t>
              <w:br/>
              <w:t>- No revenue leakage or routing misconfiguration shall be observed in pilot or early life monitoring as per defined error thresholds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In case the Jaywan switch is temporarily unavailable, the bank shall define and agree with AEP on fallback rules, which may include controlled routing via international schemes where permitted by regulation</w:t>
              <w:br/>
              <w:t>- In case of merchant acquirer constraints, transactions may temporarily route via international schemes with proper exception logging and reporting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AEP routing guidelines and interface specifications</w:t>
              <w:br/>
              <w:t>- International scheme co-badging and routing rules</w:t>
              <w:br/>
              <w:t>- Bank switch configuration standards and change management procedures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BR-004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Enablement of Jaywan Transactions Across Channels (ATM, POS, E-commerce, Tokenization)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enable Jaywan card usage across ATM, POS and e-commerce channels in line with AEP readiness</w:t>
              <w:br/>
              <w:t>- The bank shall include POS tokenized transactions within the Jaywan scope where supported by infrastructure and scheme rules</w:t>
              <w:br/>
              <w:t>- The bank shall extend current Visa dual messaging system arrangements for e-commerce and tokenization to incorporate CBUAE DMS for Jaywan as a to-be process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Current SMS process flows exist for ATM and POS transactions</w:t>
              <w:br/>
              <w:t>- Current Visa DMS process exists for Visa e-commerce and tokenization transactions</w:t>
              <w:br/>
              <w:t>- CBUAE DMS for e-commerce and tokenization transactions is documented as a to-be process but not yet fully implemented</w:t>
              <w:br/>
              <w:t>- POS tokenized transactions are not explicitly handled under Jaywan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implement and document Jaywan transaction flows for ATM, POS, e-commerce and tokenized channels, including authorisation, clearing and settlement</w:t>
              <w:br/>
              <w:t>- The bank shall onboard Jaywan cards to supported tokenization frameworks in alignment with AEP roadmap, including Samsung Wallet, and subsequently Google Pay and Apple Pay when available</w:t>
              <w:br/>
              <w:t>- The bank shall ensure that POS tokenized transactions shall be processed under the Jaywan scheme for domestic usage where technically feasible and permitted by scheme rules</w:t>
              <w:br/>
              <w:t>- The bank shall align message formats and process flows with CBUAE DMS requirements for Jaywan e-commerce and tokenized transactions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Finalised process documentation for current SMS and Visa DMS flows as baselines</w:t>
              <w:br/>
              <w:t>- Availability of CBUAE DMS specifications and Jaywan message formats</w:t>
              <w:br/>
              <w:t>- Integration readiness with tokenization service providers and digital wallet operators</w:t>
              <w:br/>
              <w:t>- Coordination and agreement with Card Operations, GBO-ATM/CDM and IT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complete end-to-end testing of Jaywan ATM, POS, e-commerce and POS tokenized transactions in pre-production environments</w:t>
              <w:br/>
              <w:t>- The bank shall validate that authorisation, clearing, settlement and chargeback flows for Jaywan transactions are functioning as designed for each channel</w:t>
              <w:br/>
              <w:t>- The bank shall demonstrate successful token provisioning and transaction authorisation in at least one live wallet (e.g. Samsung Wallet) at launch</w:t>
              <w:br/>
              <w:t>- All relevant operational and support teams shall sign off on readiness for Jaywan multi-channel go-live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If specific channels (e.g. e-commerce or POS tokenized) are not technically ready at initial go-live, the bank shall adopt a phased rollout with documented interim limitations and communicate clearly to stakeholders</w:t>
              <w:br/>
              <w:t>- For unsupported wallets at launch (e.g. Google Pay, Apple Pay), the bank shall process Jaywan physical card transactions only and enable wallet usage as per AEP phased plan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Current SMS process flows for ATM and POS</w:t>
              <w:br/>
              <w:t>- Current Visa DMS documentation for e-commerce and tokenization</w:t>
              <w:br/>
              <w:t>- CBUAE DMS to-be process documentation for Jaywan</w:t>
              <w:br/>
              <w:t>- AEP communications on wallet enablement (Samsung Wallet, Google Pay, Apple Pay)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BR-005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GL, Reconciliation and Reporting for Jaywan Transactions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implement GL structures and reconciliation processes to support Jaywan mono-badge and co-badged transactions in alignment with Finance-approved designs</w:t>
              <w:br/>
              <w:t>- The bank shall implement regulatory and scheme reporting to CBUAE and AEP for Jaywan transaction activity, including cost, volumes and performance indicators</w:t>
              <w:br/>
              <w:t>- The bank shall ensure that reconciliation processes are documented and align with CBUAE and AEP requirements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GL details for card transactions exist primarily for international scheme processing</w:t>
              <w:br/>
              <w:t>- Finance has confirmed that GL details for Jaywan are available, but full operationalisation may still be pending</w:t>
              <w:br/>
              <w:t>- Existing reconciliation processes and reports are primarily defined for current card schemes and CBUAE reports via Visa or other channels</w:t>
              <w:br/>
              <w:t>- Original CBUAE reports have been shared with the bank, and documentation on reconciliation has been requested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configure new or updated GL accounts for Jaywan interchange, fees, settlement and chargebacks as per Finance instructions</w:t>
              <w:br/>
              <w:t>- The bank shall implement automated reconciliation processes that match Jaywan authorisations, clearing files, settlement entries and GL postings on a daily basis</w:t>
              <w:br/>
              <w:t>- The bank shall generate and submit all mandated CBUAE and AEP reports related to Jaywan volumes, values, disputes, failures and service levels</w:t>
              <w:br/>
              <w:t>- The bank shall document end-to-end reconciliation workflows, exception handling and control points for Jaywan transactions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Final confirmation from Finance on GL account structures for Jaywan</w:t>
              <w:br/>
              <w:t>- Availability of CBUAE and AEP report formats and submission channels</w:t>
              <w:br/>
              <w:t>- Availability of original regulatory report templates from CBUAE as reference</w:t>
              <w:br/>
              <w:t>- Agreement on reconciliation responsibilities between Operations, Finance and IT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complete parallel run reconciliation for Jaywan transactions in test and pilot phases without material breaks beyond agreed tolerance</w:t>
              <w:br/>
              <w:t>- The bank shall demonstrate generation of all required Jaywan regulatory and scheme reports in the agreed frequency and format</w:t>
              <w:br/>
              <w:t>- Internal and external audit stakeholders shall confirm that controls around Jaywan GLs and reconciliations are adequate</w:t>
              <w:br/>
              <w:t>- There shall be documented procedures for managing breaks, disputes and settlement mismatches specific to Jaywan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If automated reconciliation for certain Jaywan flows is not feasible at go-live, the bank shall implement interim manual reconciliation controls with documented timelines to automate later</w:t>
              <w:br/>
              <w:t>- If new regulatory report formats are introduced by CBUAE post go-live, the bank shall update reporting logic under formal change management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Finance-confirmed GL design documents for Jaywan</w:t>
              <w:br/>
              <w:t>- CBUAE regulatory report templates referencing Jaywan transaction data</w:t>
              <w:br/>
              <w:t>- AEP settlement and reporting specifications</w:t>
              <w:br/>
              <w:t>- Bank reconciliation and financial control policies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BR-006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Disputes, Reversals, Refunds and Chargebacks for Jaywan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define and implement business processes for reversals, refunds, disputes and chargebacks for Jaywan transactions consistent with CBUAE and AEP rules</w:t>
              <w:br/>
              <w:t>- The bank shall ensure operational clarity between domestic Jaywan dispute handling and international scheme dispute processes for co-badged cards</w:t>
              <w:br/>
              <w:t>- The bank shall integrate Jaywan dispute handling into existing case management tools where possible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Existing reversal, refund and chargeback processes are aligned with international scheme rules (e.g. Visa, MasterCard)</w:t>
              <w:br/>
              <w:t>- Jaywan-specific dispute processes are under discussion, and updates on reversals, refunds and chargebacks have been flagged as required by stakeholders</w:t>
              <w:br/>
              <w:t>- Operational teams are referencing current international scheme flows as baseline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document detailed domestic dispute flows under Jaywan, including timelines, evidence requirements and decisioning rules</w:t>
              <w:br/>
              <w:t>- The bank shall configure dispute codes, statuses and workflows in internal systems to differentiate Jaywan domestic cases from international scheme cases for co-badged cards</w:t>
              <w:br/>
              <w:t>- The bank shall train Operations and Contact Centre staff in Jaywan-specific dispute rules and customer communication requirements</w:t>
              <w:br/>
              <w:t>- The bank shall ensure reporting of dispute statistics for Jaywan to CBUAE and AEP where required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Availability of Jaywan dispute and chargeback rules from AEP and CBUAE</w:t>
              <w:br/>
              <w:t>- Agreement between Business, Operations and IT on case management system changes</w:t>
              <w:br/>
              <w:t>- Alignment with Legal and Compliance on customer terms and disclosures for Jaywan disputes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demonstrate at least one end-to-end simulated Jaywan dispute case from initiation to resolution in test environment</w:t>
              <w:br/>
              <w:t>- The bank shall confirm that SLA tracking for Jaywan disputes is enabled and reported</w:t>
              <w:br/>
              <w:t>- The bank shall confirm that customers receive clear and accurate communication templates for Jaywan dispute handling</w:t>
              <w:br/>
              <w:t>- The bank shall ensure that dispute chargeback postings for Jaywan are correctly reflected in GL and reconciliations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Where Jaywan rules defer to international schemes for specific cross-border scenarios on co-badged cards, the bank shall follow international scheme processes while clearly classifying the case</w:t>
              <w:br/>
              <w:t>- In absence of final Jaywan dispute rules at the time of implementation, the bank shall adopt interim internal policies approved by Compliance and updated once final scheme rules are available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Existing dispute management SOPs for Visa and MasterCard</w:t>
              <w:br/>
              <w:t>- AEP Jaywan rules on disputes, reversals and chargebacks (to be referenced when available)</w:t>
              <w:br/>
              <w:t>- CBUAE consumer protection regulations relevant to card disputes</w:t>
            </w:r>
          </w:p>
        </w:tc>
      </w:tr>
    </w:tbl>
    <w:p/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BR-007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Title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Discovery Sessions and Stakeholder Governance for Jaywan Requirements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Description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conduct structured discovery sessions for additional requirements related to Jaywan mono-badged and Jaywan co-badged cards, involving Business, IT and Operations stakeholders</w:t>
              <w:br/>
              <w:t>- The bank shall maintain minutes, open queries and decision logs including questions to be raised with AEP and CBUAE</w:t>
              <w:br/>
              <w:t>- The bank shall ensure that outcomes of discovery sessions are translated into traceable business and system requirements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AS IS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Initial meetings have been held with attendees including Business Analysts, Managers and operational teams to review dual messaging processes and queries</w:t>
              <w:br/>
              <w:t>- A meeting agenda exists covering process documentation review, VISA process clarification and how it can be adapted for JMB/JCB, questions to AEP and demand discussion</w:t>
              <w:br/>
              <w:t>- Minutes of discussions with current progress and queries have been shared</w:t>
              <w:br/>
              <w:t>- A table of discovery sessions for additional requirements for Jaywan mono-badged and co-badged cards is referenced with meeting titles, dates and times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TO BE behavior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formally schedule and track discovery sessions for all impacted areas, including CMS, switch, digital channels, Finance, Operations and Compliance</w:t>
              <w:br/>
              <w:t>- The bank shall document all business requirements, open questions and assumptions arising from these sessions in a controlled repository</w:t>
              <w:br/>
              <w:t>- The bank shall ensure all queries to AEP and CBUAE are consolidated, tracked and responses incorporated into the requirements baseline</w:t>
              <w:br/>
              <w:t>- The bank shall establish governance forums to review Jaywan implementation progress, risks and issues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Pre-requisite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Availability of key stakeholders from Business, IT, Finance, Operations, Compliance and Scheme Management</w:t>
              <w:br/>
              <w:t>- Agreement on meeting cadence, agenda and documentation standards</w:t>
              <w:br/>
              <w:t>- Identification of a central coordinator or PMO for Jaywan programme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Acceptance Criteria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The bank shall have a consolidated requirements register for Jaywan signed off by key stakeholders</w:t>
              <w:br/>
              <w:t>- All high-priority queries to AEP and CBUAE shall have recorded responses and corresponding requirement updates</w:t>
              <w:br/>
              <w:t>- Discovery sessions shall cover at minimum card issuance, routing, disputes, reconciliation, reporting and digital wallet enablement</w:t>
              <w:br/>
              <w:t>- Governance decisions and risk mitigations for Jaywan shall be recorded and accessible for audit and regulatory review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Alternate flows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If specific stakeholders are unavailable for scheduled discovery sessions, the bank shall arrange focused workshops or bilateral sessions to capture their inputs</w:t>
              <w:br/>
              <w:t>- If new requirements emerge after baseline sign-off due to regulatory updates, the bank shall manage these via defined change control procedures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Reference documents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Meeting minutes and agendas for prior Jaywan working sessions</w:t>
              <w:br/>
              <w:t>- Discovery session schedule for additional requirements for Jaywan mono-badged and co-badged cards</w:t>
              <w:br/>
              <w:t>- Bank project governance and PMO standards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Requirement Traceability Matrix</w:t>
      </w:r>
    </w:p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BR-001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Compliance with CBUAE mandate for Jaywan co-badged card issuance, mandating domestic and international capability on the same card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Regulatory circular from CBUAE and central government directive</w:t>
              <w:br/>
              <w:t>- Product Management and Compliance requirements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Card Management System (CMS)</w:t>
              <w:br/>
              <w:t>- Switch and Authorisation Host</w:t>
              <w:br/>
              <w:t>- Customer Onboarding and CRM</w:t>
              <w:br/>
              <w:t>- Product Catalogue and Fees Engine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Co-badged Jaywan plus international scheme cards shall be issued for applicable portfolios in full regulatory compliance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BR-002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Issuance of Jaywan mono-badge domestic cards for UAE and GCC usage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AEP Jaywan scheme options communication</w:t>
              <w:br/>
              <w:t>- Business strategy for domestic cost reduction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Card Management System (CMS)</w:t>
              <w:br/>
              <w:t>- Personalisation and Card Production Systems</w:t>
              <w:br/>
              <w:t>- Switch and ATM/POS acquiring host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Jaywan mono-badge cards shall be available as domestic products with defined features and usage scope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BR-003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Configuration of domestic versus international routing for Jaywan mono and co-badged cards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CBUAE mandate on domestic scheme usage</w:t>
              <w:br/>
              <w:t>- AEP routing guidelines</w:t>
              <w:br/>
              <w:t>- International scheme co-badging rules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Switch and Network Gateway</w:t>
              <w:br/>
              <w:t>- CMS routing tables</w:t>
              <w:br/>
              <w:t>- E-commerce gateway and 3DS server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Domestic transactions shall route via Jaywan and international transactions via partner schemes with no mis-routing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BR-004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Multi-channel enablement for Jaywan including ATM, POS, e-commerce and tokenized transactions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Business and IT process documentation sessions</w:t>
              <w:br/>
              <w:t>- AEP communications on readiness across channels and wallets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ATM and POS acquiring platforms</w:t>
              <w:br/>
              <w:t>- E-commerce payment gateway</w:t>
              <w:br/>
              <w:t>- Tokenization platform and digital wallet integrations</w:t>
              <w:br/>
              <w:t>- Dual Messaging (DMS) interfaces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Customers shall use Jaywan cards seamlessly across physical and digital channels within scheme rules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BR-005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GL, reconciliation and reporting requirements for Jaywan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Finance confirmation of GL details</w:t>
              <w:br/>
              <w:t>- CBUAE and AEP reporting requirements</w:t>
              <w:br/>
              <w:t>- Operations reconciliation needs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Core Banking and GL</w:t>
              <w:br/>
              <w:t>- Reconciliation tools</w:t>
              <w:br/>
              <w:t>- Data warehouse and BI platforms</w:t>
              <w:br/>
              <w:t>- Regulatory reporting engines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Financial integrity and regulatory reporting for Jaywan transactions shall be ensured and auditable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BR-006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Dispute management, reversals, refunds and chargebacks for Jaywan transactions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Operations feedback on reversals, refunds and chargebacks</w:t>
              <w:br/>
              <w:t>- Anticipated AEP Jaywan dispute rules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Dispute and case management systems</w:t>
              <w:br/>
              <w:t>- CMS and transaction history repositories</w:t>
              <w:br/>
              <w:t>- GL and reconciliation systems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Customers shall have clear and timely dispute handling for Jaywan domestic and co-badged transactions</w:t>
            </w:r>
          </w:p>
        </w:tc>
      </w:tr>
    </w:tbl>
    <w:p/>
    <w:tbl>
      <w:tblPr>
        <w:tblW w:w="852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69"/>
        <w:gridCol w:w="4950"/>
      </w:tblGrid>
      <w:tr>
        <w:trPr/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REQ ID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BR-007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Description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Structured discovery sessions and governance for Jaywan business requirements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Source Channel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Project governance requirements</w:t>
              <w:br/>
              <w:t>- Meeting schedules and minutes referenced in context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Impacted System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Requirements management repository</w:t>
              <w:br/>
              <w:t>- Project management tools</w:t>
              <w:br/>
              <w:t>- Documentation repositories</w:t>
            </w:r>
          </w:p>
        </w:tc>
      </w:tr>
      <w:tr>
        <w:trPr/>
        <w:tc>
          <w:tcPr>
            <w:tcW w:w="35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Outcome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 A complete and governed set of Jaywan requirements shall be maintained with traceability to decisions and queries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Non-functional Requirements</w:t>
      </w:r>
    </w:p>
    <w:tbl>
      <w:tblPr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15"/>
        <w:gridCol w:w="4314"/>
      </w:tblGrid>
      <w:tr>
        <w:trPr/>
        <w:tc>
          <w:tcPr>
            <w:tcW w:w="4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No. of users</w:t>
            </w:r>
          </w:p>
        </w:tc>
        <w:tc>
          <w:tcPr>
            <w:tcW w:w="43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>- To be confirmed based on bank’s cardholder base and target penetration for Jaywan mono and co-badged cards in coordination with Business and AEP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Peak Volume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To be confirmed based on projected peak-day and peak-hour transaction volumes across ATM, POS, e-commerce and tokenized channels for Jaywan cards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Monthly Volume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To be confirmed based on expected monthly domestic and international transaction counts and values for Jaywan mono and co-badged portfolios</w:t>
            </w:r>
          </w:p>
        </w:tc>
      </w:tr>
      <w:tr>
        <w:trPr/>
        <w:tc>
          <w:tcPr>
            <w:tcW w:w="43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left"/>
              <w:rPr/>
            </w:pPr>
            <w:r>
              <w:rPr/>
              <w:t>Availability</w:t>
            </w:r>
          </w:p>
        </w:tc>
        <w:tc>
          <w:tcPr>
            <w:tcW w:w="4314" w:type="dxa"/>
            <w:tcBorders>
              <w:bottom w:val="single" w:sz="8" w:space="0" w:color="000000"/>
              <w:right w:val="single" w:sz="8" w:space="0" w:color="000000"/>
            </w:tcBorders>
          </w:tcPr>
          <w:p>
            <w:r>
              <w:t>- Systems supporting Jaywan transactions shall target high availability in line with CBUAE expectations for critical payment infrastructures, with specific uptime SLAs to be confirmed with Infrastructure and Risk functions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Impact on Operational process:</w:t>
      </w:r>
      <w:r>
        <w:rPr/>
        <w:t xml:space="preserve"> - Operations shall update end-to-end card issuance processes to include Jaywan mono-badge and co-badged products, including KYC, card order, activation and reissuance</w:t>
        <w:br/>
        <w:t>- Card Operations and GBO-ATM/CDM teams shall adopt the new dual-routing and dual-messaging flows for Jaywan domestic and international legs</w:t>
        <w:br/>
        <w:t>- Contact Centre and Branch operations shall update scripts and procedures to handle Jaywan-related queries, including domestic routing explanations and dispute handling</w:t>
        <w:br/>
        <w:t>- Reconciliation and Finance operations shall include Jaywan-specific GLs, settlement files and daily reconciliation activities in their standard run-books</w:t>
        <w:br/>
        <w:t>- Dispute and chargeback teams shall manage separate flows, codes and timelines for Jaywan domestic disputes versus international scheme disputes on co-badged cards</w:t>
        <w:br/>
        <w:t>- Reporting teams shall incorporate Jaywan metrics into operational MIS, regulatory submissions and management dashboards</w:t>
        <w:br/>
        <w:t>- Operational risk and internal control frameworks shall be updated to include Jaywan transaction monitoring, exception handling and contingency procedures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Regulatory impact:</w:t>
      </w:r>
      <w:r>
        <w:rPr/>
        <w:t xml:space="preserve"> - The implementation shall comply with CBUAE circulars and mandates requiring domestic scheme adoption and co-badged card issuance</w:t>
        <w:br/>
        <w:t>- The implementation shall support CBUAE’s objective of enhancing financial sovereignty, lowering domestic payment costs and strengthening the UAE’s role as a digital payments hub</w:t>
        <w:br/>
        <w:t>- The bank shall ensure adherence to CBUAE consumer protection, data privacy and information security regulations in relation to Jaywan cards and transactions</w:t>
        <w:br/>
        <w:t>- The bank shall align with any CBUAE and AEP guidelines on domestic routing, fee structures, dispute handling and reporting for Jaywan</w:t>
        <w:br/>
        <w:t>- The bank shall maintain documentation and evidence for regulatory inspections demonstrating compliance with Jaywan-related mandates and circulars</w:t>
        <w:br/>
        <w:t>- The bank shall ensure that cross-border bilateral arrangements (e.g. with India and other countries as per AEP roadmap) are implemented in line with CBUAE approvals and foreign regulatory obligations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Reports requirement:</w:t>
      </w:r>
      <w:r>
        <w:rPr/>
        <w:t xml:space="preserve"> - The bank shall generate regulatory reports to CBUAE capturing Jaywan transaction volumes, values, failures and service levels for ATM, POS, e-commerce and tokenized channels</w:t>
        <w:br/>
        <w:t>- The bank shall generate scheme-level reports for AEP as required, including settlement summaries, chargeback statistics and operational incident logs</w:t>
        <w:br/>
        <w:t>- The bank shall maintain internal MIS on Jaywan adoption, including number of cards issued, active cards, domestic versus international usage and cost metrics versus international schemes</w:t>
        <w:br/>
        <w:t>- The bank shall generate reconciliation reports comparing Jaywan authorisation, clearing and settlement data with GL postings and bank side accounts</w:t>
        <w:br/>
        <w:t>- The bank shall produce exception and break reports highlighting unmatched transactions, delayed settlements and disputes for Jaywan</w:t>
        <w:br/>
        <w:t>- The bank shall leverage CBUAE-provided original report templates, adjusting internal data extraction logic to align with regulatory formats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Access requirement:</w:t>
      </w:r>
      <w:r>
        <w:rPr/>
        <w:t xml:space="preserve"> - Access to Jaywan-related systems and data shall be role-based and aligned with the bank’s information security and access governance policies</w:t>
        <w:br/>
        <w:t>- Only authorised personnel in CMS, switch operations, Finance, reconciliation, dispute handling and reporting teams shall have access to Jaywan configuration and transactional data relevant to their roles</w:t>
        <w:br/>
        <w:t>- Access to regulatory and scheme reports related to Jaywan shall be restricted to Compliance, Finance, senior management and authorised auditors</w:t>
        <w:br/>
        <w:t>- Administrative access to routing tables, BIN configurations and GL mappings for Jaywan shall require multi-level approvals and be logged for audit</w:t>
        <w:br/>
        <w:t>- Third-party access, including vendors and service providers supporting Jaywan integrations, shall be governed by contractual and security controls in line with CBUAE requirements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Security requirement:</w:t>
      </w:r>
      <w:r>
        <w:rPr/>
        <w:t xml:space="preserve"> - Jaywan cardholder data shall be protected in line with applicable PCI DSS standards and CBUAE information security regulations</w:t>
        <w:br/>
        <w:t>- Tokenization shall be used for digital wallet and e-commerce use cases such that primary account numbers are not exposed to merchants or external parties</w:t>
        <w:br/>
        <w:t>- Encryption shall be applied for Jaywan transaction messages in transit between the bank, AEP, international schemes and payment gateways</w:t>
        <w:br/>
        <w:t>- Strong customer authentication and risk-based controls shall be applied for Jaywan e-commerce and tokenized transactions in alignment with CBUAE cyber and payment security frameworks</w:t>
        <w:br/>
        <w:t>- Access to Jaywan configuration and transaction data shall be logged, monitored and subjected to periodic security reviews and audits</w:t>
        <w:br/>
        <w:t>- Incident response procedures shall explicitly cover Jaywan-related security events, including potential data breaches, fraud patterns and system compromises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Data requirement:</w:t>
      </w:r>
      <w:r>
        <w:rPr/>
        <w:t xml:space="preserve"> - The bank shall capture and store Jaywan-specific transaction attributes, including scheme identifiers, routing choices, domestic versus international flags and wallet identifiers where applicable</w:t>
        <w:br/>
        <w:t>- The bank shall maintain historical records of Jaywan transactions, disputes and settlements for periods mandated by CBUAE and internal retention policies</w:t>
        <w:br/>
        <w:t>- Data models in CMS, data warehouse and reporting systems shall be extended to accommodate Jaywan product attributes for mono-badge and co-badged cards</w:t>
        <w:br/>
        <w:t>- The bank shall ensure data quality controls for Jaywan BINs, card ranges, merchant category codes and country codes used in routing and reporting</w:t>
        <w:br/>
        <w:t>- Data exchanged with CBUAE, AEP and international schemes for Jaywan shall be validated, reconciled and archived for auditability</w:t>
        <w:br/>
        <w:t>- Any customer communications related to Jaywan cards and transactions shall be captured in CRM and archival systems as per regulatory record-keeping expectations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Training requirement:</w:t>
      </w:r>
      <w:r>
        <w:rPr/>
        <w:t xml:space="preserve"> - The bank shall provide targeted training to Card Operations, Contact Centre, Branch staff and GBO teams on Jaywan product features, routing behaviour and dispute processes</w:t>
        <w:br/>
        <w:t>- The bank shall provide training to Finance and reconciliation teams on Jaywan GL structures, settlement flows and reporting requirements</w:t>
        <w:br/>
        <w:t>- The bank shall provide training to IT and Support teams on Jaywan system changes, monitoring dashboards, incident handling and escalation paths</w:t>
        <w:br/>
        <w:t>- The bank shall include regulatory context, including CBUAE mandates and key Jaywan scheme principles, in training material to reinforce compliance awareness</w:t>
        <w:br/>
        <w:t>- Refresher training sessions shall be planned around major scheme changes, expansion to new wallets or new cross-border corridors</w:t>
        <w:br/>
        <w:t>- Training completion shall be tracked, and assessments may be conducted to ensure adequate understanding among critical roles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Open Questions:</w:t>
      </w:r>
      <w:r>
        <w:rPr/>
        <w:t xml:space="preserve"> - Detailed text of CBUAE circular and mandate reference number 5480-2024 for Jaywan co-badged cards is not provided and shall be obtained for precise requirement scoping</w:t>
        <w:br/>
        <w:t>- Full Jaywan scheme rulebook, including interchange, MDR, dispute timelines and GCC acceptance specifics, is not included and shall be requested from AEP</w:t>
        <w:br/>
        <w:t>- Exact timelines and technical requirements for enabling Jaywan on Google Pay and Apple Pay beyond Samsung Wallet are not specified and shall be clarified with AEP</w:t>
        <w:br/>
        <w:t>- Detailed specifications for CBUAE DMS message formats and processing rules for Jaywan e-commerce and tokenized transactions need to be confirmed</w:t>
        <w:br/>
        <w:t>- Confirmation is required on the scope and treatment of POS tokenized transactions under Jaywan, including any restrictions by channel or wallet</w:t>
        <w:br/>
        <w:t>- Target KPIs for domestic cost reduction, service levels and adoption targets for Jaywan cards are not stated and shall be aligned between Business and Management</w:t>
        <w:br/>
        <w:t>- Clarification is required on handling of fallback routing scenarios when Jaywan switch or AEP infrastructure is unavailable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Contradictions (if any):</w:t>
      </w:r>
      <w:r>
        <w:rPr/>
        <w:t xml:space="preserve"> - The input documents reference both JMB/JCB and Jaywan mono/co-badged contexts without clear differentiation, which may cause ambiguity on scope if JMB/JCB are separate from Jaywan and shall be clarified</w:t>
        <w:br/>
        <w:t>- The contexts mention GCC usage for mono-badge cards but do not provide consistent detail on whether GCC routing is fully confirmed at launch or part of a phased roadmap</w:t>
        <w:br/>
        <w:t>- The provided content references both current and to-be DMS processes (Visa DMS versus CBUAE DMS) without fully distinguishing transitional timelines, which may lead to conflicting interpretations of immediate versus future state</w:t>
        <w:br/>
        <w:t>- The overview mentions readiness of financial infrastructure to activate Jaywan locally and globally, while other sections emphasise phased expansion and bilateral agreements (e.g. with India by mid-2025), which suggests differing views on global readiness dates</w:t>
      </w:r>
    </w:p>
    <w:p>
      <w:pPr>
        <w:pStyle w:val="Normal"/>
        <w:rPr>
          <w:rFonts w:ascii="Consolas;Courier New;monospace" w:hAnsi="Consolas;Courier New;monospace"/>
          <w:b w:val="false"/>
          <w:color w:val="CE9178"/>
          <w:sz w:val="24"/>
          <w:szCs w:val="24"/>
          <w:shd w:fill="1F1F1F" w:val="clear"/>
        </w:rPr>
      </w:pPr>
      <w:r>
        <w:rPr>
          <w:rFonts w:ascii="Consolas;Courier New;monospace" w:hAnsi="Consolas;Courier New;monospace"/>
          <w:b w:val="false"/>
          <w:color w:val="CE9178"/>
          <w:sz w:val="24"/>
          <w:szCs w:val="24"/>
          <w:shd w:fill="1F1F1F" w:val="clear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47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7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7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7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7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7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7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7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7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14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14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147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147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147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147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147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147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147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c147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147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c147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c147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147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c147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3c147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7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7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c147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Application>LibreOffice/25.2.7.2$Windows_X86_64 LibreOffice_project/5cbfd1ab6520636bb5f7b99185aa69bd7456825d</Application>
  <AppVersion>15.0000</AppVersion>
  <Pages>4</Pages>
  <Words>141</Words>
  <Characters>1328</Characters>
  <CharactersWithSpaces>1393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2026-01-21T10:44:00Z</dcterms:created>
  <dc:creator>Md Anwar</dc:creator>
  <dc:description/>
  <dc:language>en-US</dc:language>
  <cp:lastModifiedBy/>
  <dcterms:modified xsi:type="dcterms:W3CDTF">2026-01-30T11:24:18Z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