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Business Requirements Specification for Jaywan Domestic Card Scheme Enablement and Co-badged Card Implementation</w:t>
      </w:r>
    </w:p>
    <w:p>
      <w:pPr>
        <w:pStyle w:val="Normal"/>
        <w:rPr/>
      </w:pPr>
      <w:r>
        <w:rPr>
          <w:b/>
          <w:bCs/>
        </w:rPr>
        <w:t>ID:</w:t>
      </w:r>
      <w:r>
        <w:rPr/>
        <w:t xml:space="preserve"> - BRS-JAYWAN-COB-001</w:t>
      </w:r>
    </w:p>
    <w:p>
      <w:pPr>
        <w:pStyle w:val="Normal"/>
        <w:rPr/>
      </w:pPr>
      <w:r>
        <w:rPr>
          <w:b/>
          <w:bCs/>
        </w:rPr>
        <w:t>Program:</w:t>
      </w:r>
      <w:r>
        <w:rPr/>
        <w:t xml:space="preserve"> - Jaywan Domestic Card Scheme Enablement – CBUAE Mandate Ref 5480/2024</w:t>
      </w:r>
    </w:p>
    <w:p>
      <w:pPr>
        <w:pStyle w:val="Normal"/>
        <w:rPr/>
      </w:pPr>
      <w:r>
        <w:rPr>
          <w:b/>
          <w:bCs/>
        </w:rPr>
        <w:t>Type:</w:t>
      </w:r>
      <w:r>
        <w:rPr/>
        <w:t xml:space="preserve"> - Business Requirements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4" w:space="0" w:color="000000"/>
              <w:left w:val="single" w:sz="4" w:space="0" w:color="000000"/>
              <w:bottom w:val="single" w:sz="4" w:space="0" w:color="000000"/>
            </w:tcBorders>
          </w:tcPr>
          <w:p>
            <w:pPr>
              <w:pStyle w:val="Normal"/>
              <w:spacing w:before="0" w:after="160"/>
              <w:rPr/>
            </w:pPr>
            <w:r>
              <w:rPr/>
              <w:t>Serial Number</w:t>
            </w:r>
          </w:p>
        </w:tc>
        <w:tc>
          <w:tcPr>
            <w:tcW w:w="4619"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This document shall define the business requirements for implementing Jaywan domestic card scheme support and Jaywan co-badged cards in alignment with CBUAE and Al Etihad Payments (AEP) directives.</w:t>
        <w:br/>
        <w:t>• The scope shall cover issuance and lifecycle management of Jaywan mono-badged cards (domestic and GCC) and Jaywan co-badged cards (domestic via Jaywan, international via international schemes), routing configuration, transaction processing, and integration with domestic payment infrastructure.</w:t>
        <w:br/>
        <w:t>• The document shall capture high-level business needs arising from the central government and CBUAE circular mandating licensed financial institutions (LFIs) to support Jaywan for domestic transactions and to issue co-badged cards with international schemes.</w:t>
        <w:br/>
        <w:t>• The specification shall consider current processes for SMS notifications, VISA dual messaging (DMS) for e-commerce and tokenization transactions, and target CBUAE DMS for Jaywan-related e-commerce and tokenized transactions.</w:t>
        <w:br/>
        <w:t>• The document shall support the bank’s objective to reduce domestic payment costs, enhance financial sovereignty, and provide secure and seamless customer payment experiences aligned with AEP’s readiness of financial infrastructure.</w:t>
        <w:br/>
        <w:t>• The BRS shall be used by Business, IT, Operations, and Compliance teams as a baseline for solution design, implementation, and regulatory engagement.</w:t>
      </w:r>
    </w:p>
    <w:p>
      <w:pPr>
        <w:pStyle w:val="Normal"/>
        <w:rPr/>
      </w:pPr>
      <w:r>
        <w:rPr/>
      </w:r>
    </w:p>
    <w:p>
      <w:pPr>
        <w:pStyle w:val="Normal"/>
        <w:rPr/>
      </w:pPr>
      <w:r>
        <w:rPr>
          <w:b/>
          <w:bCs/>
        </w:rPr>
        <w:t>Current constraints:</w:t>
      </w:r>
      <w:r>
        <w:rPr/>
        <w:t xml:space="preserve"> • Existing card portfolios are primarily MasterCard and/or VISA based and do not natively support Jaywan domestic scheme requirements as mandated by CBUAE.</w:t>
        <w:br/>
        <w:t>• Existing routing rules and authorization configurations are designed for international schemes and may not differentiate domestic routing via Jaywan versus international routing via co-badge partner networks.</w:t>
        <w:br/>
        <w:t>• Current documented processes mainly cover VISA DMS for e-commerce and tokenization transactions and existing SMS notification flows (ATM, POS), while to-be CBUAE DMS flows for Jaywan remain under definition.</w:t>
        <w:br/>
        <w:t>• POS tokenized transaction handling for Jaywan is not yet fully clarified and may not be in scope in existing systems or acquirer configurations.</w:t>
        <w:br/>
        <w:t>• Integration to Samsung Wallet is in progress, whereas Google Pay and Apple Pay enablement for Jaywan is planned only in a future phase and not yet defined in detail.</w:t>
        <w:br/>
        <w:t>• Bilateral acceptance arrangements (e.g. with India by mid-2025 and other countries) are driven by AEP timelines and may impose dependencies and sequencing constraints on the bank’s rollout plan.</w:t>
        <w:br/>
        <w:t>• Detailed GL account structures for Jaywan-related postings have been confirmed as ready by Finance, but operational and reconciliation documentation is not fully available or is still being requested from CBUAE/AEP.</w:t>
        <w:br/>
        <w:t>• Reporting formats and data structures for Jaywan scheme-specific MI and regulatory reporting are not yet standardised across all LFIs and require clarification from AEP and CBUAE.</w:t>
        <w:br/>
        <w:t>• There is dependency on AEP’s central infrastructure readiness for domestic and cross-border Jaywan processing, which constrains internal testing and go-live planning.</w:t>
      </w:r>
    </w:p>
    <w:p>
      <w:pPr>
        <w:pStyle w:val="Normal"/>
        <w:rPr/>
      </w:pPr>
      <w:r>
        <w:rPr/>
      </w:r>
    </w:p>
    <w:p>
      <w:pPr>
        <w:pStyle w:val="Normal"/>
        <w:rPr/>
      </w:pPr>
      <w:r>
        <w:rPr>
          <w:b/>
          <w:bCs/>
        </w:rPr>
        <w:t>Objective:</w:t>
      </w:r>
      <w:r>
        <w:rPr/>
        <w:t xml:space="preserve"> • The bank shall comply with the central government and CBUAE circular (mandate reference number 5480/2024) requiring all licensed financial institutions to launch Jaywan co-badged cards.</w:t>
        <w:br/>
        <w:t>• The bank shall issue Jaywan mono-badge cards for domestic and GCC usage, as enabled by AEP and CBUAE guidance.</w:t>
        <w:br/>
        <w:t>• The bank shall issue Jaywan co-badged cards with either MasterCard or VISA such that domestic transactions are routed via Jaywan and international transactions are routed via the respective international scheme.</w:t>
        <w:br/>
        <w:t>• The bank shall configure card routing, authorization logic, and switching rules in line with CBUAE and AEP requirements to ensure correct selection of domestic versus international networks.</w:t>
        <w:br/>
        <w:t>• The bank shall support a secure, seamless, and cost-efficient payment experience for cardholders in the UAE while strengthening the UAE’s position as a global hub for digital payments.</w:t>
        <w:br/>
        <w:t>• The bank shall align its operational processes, reconciliation, GL posting, and dispute management (reversals, refunds, chargebacks) with Jaywan scheme rules and CBUAE guidelines.</w:t>
        <w:br/>
        <w:t>• The bank shall prepare the necessary capabilities to support tokenised transactions (e.g. Samsung Wallet initially, with potential expansion to Google Pay and Apple Pay as per AEP timelines), subject to clarified scope.</w:t>
        <w:br/>
        <w:t>• The bank shall ensure that key stakeholders (Business, IT, Operations, Finance, Compliance) have a common understanding of Jaywan requirements through discovery sessions, process documentation, and centralised requirements management.</w:t>
      </w:r>
    </w:p>
    <w:p>
      <w:pPr>
        <w:pStyle w:val="Normal"/>
        <w:rPr/>
      </w:pPr>
      <w:r>
        <w:rPr/>
      </w:r>
    </w:p>
    <w:p>
      <w:pPr>
        <w:pStyle w:val="Normal"/>
        <w:rPr/>
      </w:pPr>
      <w:r>
        <w:rPr>
          <w:b/>
          <w:bCs/>
        </w:rPr>
        <w:t>In scope:</w:t>
      </w:r>
      <w:r>
        <w:rPr/>
        <w:t xml:space="preserve"> • Issuance of Jaywan mono-badged cards for domestic and GCC usage as per AEP options.</w:t>
        <w:br/>
        <w:t>• Issuance of Jaywan co-badged cards in partnership with MasterCard or VISA for domestic (Jaywan) and international (MasterCard/VISA) usage, in line with mandate 5480/2024.</w:t>
        <w:br/>
        <w:t>• Configuration and maintenance of card product parameters to support Jaywan-specific BINs, ranges, and network preferences.</w:t>
        <w:br/>
        <w:t>• Definition and implementation of routing logic for domestic transactions via Jaywan and international transactions via the co-badge international scheme.</w:t>
        <w:br/>
        <w:t>• Alignment of authorization, clearing, and settlement flows with Jaywan domestic scheme rules and CBUAE DMS where applicable.</w:t>
        <w:br/>
        <w:t>• Documentation of to-be end-to-end process flows for:</w:t>
        <w:br/>
        <w:t>• • ATM and POS transactions for Jaywan mono-badge and co-badged cards.</w:t>
        <w:br/>
        <w:t>• • E-commerce transactions and tokenized transactions under Jaywan, including DMS where applicable.</w:t>
        <w:br/>
        <w:t>• • Dispute processes such as reversals, refunds, and chargebacks aligned with Jaywan scheme rules.</w:t>
        <w:br/>
        <w:t>• GL configuration for Jaywan-related postings, leveraging Finance-confirmed GL details.</w:t>
        <w:br/>
        <w:t>• Enhancements to reconciliation processes and reporting to incorporate Jaywan mono-badge and co-badged card activity.</w:t>
        <w:br/>
        <w:t>• Discovery sessions and requirements capture for additional needs related to Jaywan mono-badged and co-badged cards as per agreed meeting schedules.</w:t>
        <w:br/>
        <w:t>• Impact assessment and updates to SMS notification flows for ATM and POS transactions if required by changes in routing or scheme processing.</w:t>
        <w:br/>
        <w:t>• Coordination with AEP and CBUAE to clarify open queries on operationalisation, reporting, and technical enablement for Jaywan.</w:t>
        <w:br/>
        <w:t>• Consideration of POS tokenized transactions for inclusion in scope, subject to confirmation from Business and AEP.</w:t>
        <w:br/>
        <w:t>• High-level readiness to support future integration with digital wallets (Samsung Wallet, and later Google Pay and Apple Pay) as per AEP roadmap, with detailed requirements to be confirmed.</w:t>
      </w:r>
    </w:p>
    <w:p>
      <w:pPr>
        <w:pStyle w:val="Normal"/>
        <w:rPr/>
      </w:pPr>
      <w:r>
        <w:rPr/>
      </w:r>
    </w:p>
    <w:p>
      <w:pPr>
        <w:pStyle w:val="Normal"/>
        <w:rPr/>
      </w:pPr>
      <w:r>
        <w:rPr>
          <w:b/>
          <w:bCs/>
        </w:rPr>
        <w:t>Out of scope:</w:t>
      </w:r>
      <w:r>
        <w:rPr/>
        <w:t xml:space="preserve"> • Detailed technical design, low-level solution design, and system architecture diagrams for Jaywan implementation.</w:t>
        <w:br/>
        <w:t>• Development and configuration details for external international schemes beyond high-level co-badge requirements (MasterCard and VISA rules not explicitly provided in the source inputs).</w:t>
        <w:br/>
        <w:t>• Detailed commercial pricing and interchange arrangements between the bank, AEP, CBUAE, and international schemes (no such information provided in the inputs).</w:t>
        <w:br/>
        <w:t>• Customer-facing marketing campaign content and creative assets for Jaywan awareness (AEP awareness campaign is referenced but not detailed for bank-specific execution).</w:t>
        <w:br/>
        <w:t>• Legal contract drafting and negotiation with AEP, CBUAE, international schemes, or third-party processors.</w:t>
        <w:br/>
        <w:t>• Detailed configuration of tokenization for Google Pay and Apple Pay beyond acknowledging future phases, as specific requirements are not provided in the inputs.</w:t>
        <w:br/>
        <w:t>• Implementation details for bilateral acceptance arrangements with India and other countries beyond recognising dependency on AEP timelines.</w:t>
        <w:br/>
        <w:t>• Non-card payment instruments and channels (e.g. account-to-account instant payments, non-card wallets) that are not explicitly linked to the Jaywan card scheme in the provided inputs.</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Mono-badged Card Issuance for Domestic and GCC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define and implement Jaywan mono-badged card products in line with AEP options for local and GCC usage.</w:t>
              <w:br/>
              <w:t>• The bank shall ensure that Jaywan mono-badged cards support domestic UAE transactions and GCC usage where enabled by the Jaywan scheme and CBUAE guidelines.</w:t>
              <w:br/>
              <w:t>• The bank shall ensure that product features, fees, and limits for Jaywan mono-badged cards are aligned with the bank’s internal product governance and CBUAE regulations.</w:t>
              <w:br/>
              <w:t>• The bank shall ensure that Jaywan mono-badged cards are clearly distinguishable from co-badged and purely international scheme cards for operational, reporting, and customer communication purposes.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The current card portfolio comprises MasterCard and/or VISA cards without Jaywan mono-badged products.</w:t>
              <w:br/>
              <w:t>• Existing processes for card issuance, lifecycle management, and GL postings are designed around international schemes only.</w:t>
              <w:br/>
              <w:t>• Domestic and GCC transactions are processed via international schemes in line with current routing and switching configurations.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introduce one or more Jaywan mono-badged card products available to eligible customers for domestic and GCC usage as enabled by AEP.</w:t>
              <w:br/>
              <w:t>• The bank shall ensure that card issuance workflows (application, approval, embossing, activation) support Jaywan-specific parameters such as BIN ranges, product codes, and scheme identifiers.</w:t>
              <w:br/>
              <w:t>• The bank shall process domestic and applicable GCC transactions from Jaywan mono-badged cards via the Jaywan domestic card scheme infrastructure.</w:t>
              <w:br/>
              <w:t>• The bank shall maintain GL and reconciliation capabilities to segregate Jaywan mono-badged transactions and balances from other card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AEP and CBUAE shall provide finalized Jaywan mono-badged product and usage rules including GCC enablement criteria.</w:t>
              <w:br/>
              <w:t>• Finance shall confirm GL account structures for recording Jaywan mono-badged card transactions, fees, and settlements.</w:t>
              <w:br/>
              <w:t>• Card management system shall support definition of Jaywan mono-badged products, BIN ranges, and scheme identifiers.</w:t>
              <w:br/>
              <w:t>• Internal product governance approvals shall be obtained for introduction of new Jaywan mono-badged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At least one Jaywan mono-badged card product shall be available in the bank’s product catalogue for eligible customer segments.</w:t>
              <w:br/>
              <w:t>• Test cards for Jaywan mono-badged products shall successfully complete domestic test transactions via Jaywan scheme infrastructure.</w:t>
              <w:br/>
              <w:t>• GL postings for sample Jaywan mono-badged transactions shall reconcile with expected scheme settlement reports.</w:t>
              <w:br/>
              <w:t>• Internal reports shall show separate identification of Jaywan mono-badged volumes versus other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GCC usage for Jaywan mono-badged cards is not yet enabled by AEP at go-live, the bank shall initially issue Jaywan mono-badged cards restricted to UAE domestic usage only.</w:t>
              <w:br/>
              <w:t>• If system limitations prevent separate product codes for Jaywan mono-badged cards, the bank shall use alternative identifiers (e.g. BIN-based classification) while planning future enhancements.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referencing launch of Jaywan domestic card scheme (public classification).</w:t>
              <w:br/>
              <w:t>• Al Etihad Payments – “Jaywan: UAE's new domestic card payment scheme; all your questions answered”.</w:t>
              <w:br/>
              <w:t>• Al Etihad Payments – “Jaywan the UAE's First Domestic Card Scheme Introduced to Strengthen the UAE's Position as a Global Hub for Digital Payments”.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Co-badged Card Issuance with MasterCard or VISA</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implement co-badged card products combining Jaywan with either MasterCard or VISA as mandated by the central government and CBUAE circular (mandate reference number 5480/2024).</w:t>
              <w:br/>
              <w:t>• The bank shall ensure that Jaywan co-badged cards support domestic transactions via Jaywan and international transactions via the respective international scheme.</w:t>
              <w:br/>
              <w:t>• The bank shall configure product characteristics, BIN ranges, and network preferences to comply with CBUAE and AEP routing requirements.</w:t>
              <w:br/>
              <w:t>• The bank shall ensure that customer disclosures clearly indicate the co-badged nature of the cards and the applicable network for domestic versus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The bank currently issues MasterCard and/or VISA cards without a Jaywan co-badge.</w:t>
              <w:br/>
              <w:t>• Domestic and international transactions are both processed over international schemes according to current routing rules.</w:t>
              <w:br/>
              <w:t>• There is no differentiation in customer propositions for domestic versus international network usage on the same physical card.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define and launch Jaywan co-badged products such that newly issued cards carry both Jaywan and either MasterCard or VISA badges.</w:t>
              <w:br/>
              <w:t>• The bank shall ensure that domestic UAE transactions initiated on Jaywan co-badged cards are routed and processed via Jaywan in line with CBUAE routing mandates.</w:t>
              <w:br/>
              <w:t>• The bank shall ensure that international transactions (transactions outside domestic and applicable Jaywan coverage) are routed and processed via the international scheme (MasterCard or VISA).</w:t>
              <w:br/>
              <w:t>• The bank shall ensure that co-badged cards follow standard lifecycle processes (issuance, renewal, replacement, closure) with correct association to both schemes in back-end systems.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of CBUAE circular details and technical specifications for mandate 5480/2024 as applicable to co-badged cards.</w:t>
              <w:br/>
              <w:t>• Agreement with MasterCard and/or VISA on co-badge product constructs, BIN strategy, and routing arrangements.</w:t>
              <w:br/>
              <w:t>• AEP confirmation of readiness of financial infrastructure to support co-badged card transactions and routing.</w:t>
              <w:br/>
              <w:t>• Card management and switch systems support for multi-badge configuration and network preference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At least one Jaywan + MasterCard and/or Jaywan + VISA co-badged product shall be defined and available for issuance in the bank’s systems.</w:t>
              <w:br/>
              <w:t>• Domestic test transactions on Jaywan co-badged cards shall be processed via Jaywan, with scheme identifiers and settlement reports confirming correct routing.</w:t>
              <w:br/>
              <w:t>• International test transactions on Jaywan co-badged cards shall be processed via the relevant international scheme, with correct settlement reporting.</w:t>
              <w:br/>
              <w:t>• Customer-facing materials (e.g. product fact sheets) shall reflect the co-badged nature and usage rules of the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bank initially partners with only one international scheme (either MasterCard or VISA), co-badged products with the other scheme shall be considered as a subsequent phase.</w:t>
              <w:br/>
              <w:t>• If technical constraints delay full co-badge enablement, the bank may issue Jaywan mono-badged cards first while planning accelerated co-badge rollout once dependencies are resolved, subject to CBUAE concurrence.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referencing mandate number 5480/2024 (as described in the Objective and High-level Overview context).</w:t>
              <w:br/>
              <w:t>• Al Etihad Payments communications on co-badged Jaywan cards with international payment networks.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Domestic and International Routing Configuration for Jaywan and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configure its switching, authorization, and routing rules so that domestic transactions for Jaywan mono-badged and Jaywan co-badged cards are routed through the Jaywan domestic scheme.</w:t>
              <w:br/>
              <w:t>• The bank shall configure routing such that international transactions on Jaywan co-badged cards are processed through the relevant international scheme (MasterCard or VISA).</w:t>
              <w:br/>
              <w:t>• The bank shall ensure that routing logic complies with CBUAE and AEP requirements and supports financial sovereignty and cost reduction objectives.</w:t>
              <w:br/>
              <w:t>• The bank shall ensure that routing rules are transparent for operations and auditable for compliance review.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routing rules support MasterCard and VISA networks without Jaywan scheme participation.</w:t>
              <w:br/>
              <w:t>• Domestic and international transactions are routed based on legacy BIN and scheme identifiers for international networks only.</w:t>
              <w:br/>
              <w:t>• There is no segregation of domestic versus international routing at a Jaywan scheme level.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update routing tables and network preferences to prioritize Jaywan for domestic UAE transactions for Jaywan mono-badged and co-badged cards.</w:t>
              <w:br/>
              <w:t>• The bank shall ensure that if a transaction is outside Jaywan coverage (e.g. international merchant or location), routing shall default to the appropriate international scheme associated with the co-badged card.</w:t>
              <w:br/>
              <w:t>• The bank shall maintain configuration documentation capturing routing logic, decision criteria, and exception handling in line with CBUAE/AEP guidelines.</w:t>
              <w:br/>
              <w:t>• The bank shall align routing behaviour across all acquiring and issuing channels where applicable for Jaywan-related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Confirmation from AEP on technical routing specifications, message fields, and network identifiers for Jaywan.</w:t>
              <w:br/>
              <w:t>• Agreement on BIN ranges and scheme configuration for Jaywan mono-badged and co-badged cards.</w:t>
              <w:br/>
              <w:t>• Availability of updated interface specifications between the bank’s switch, card management system, and external networks (AEP, MasterCard, VISA).</w:t>
              <w:br/>
              <w:t>• Validation support from AEP for end-to-end routing testing within the Jaywan infrastructure.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scenarios shall demonstrate correct routing of domestic transactions via Jaywan for both mono-badged and co-badged cards.</w:t>
              <w:br/>
              <w:t>• Test scenarios shall demonstrate correct routing of international transactions via MasterCard or VISA for co-badged cards.</w:t>
              <w:br/>
              <w:t>• No domestic Jaywan-eligible transaction shall be routed via an international scheme in steady-state production, subject to validated exceptions agreed with CBUAE/AEP.</w:t>
              <w:br/>
              <w:t>• Routing logs and monitoring dashboards shall provide evidence of correct network selection for sampling periods.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infrastructure is temporarily unavailable, the bank shall follow AEP and CBUAE guidance for failover handling, which may include temporary routing via international schemes if explicitly allowed.</w:t>
              <w:br/>
              <w:t>• If merchant terminals do not support Jaywan at the point of transaction, standard international routing behaviour may apply subject to AEP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 technical readiness communication regarding activation of Jaywan locally and globally.</w:t>
              <w:br/>
              <w:t>• CBUAE circulars defining domestic routing expectations for Jaywan scheme.</w:t>
              <w:br/>
              <w:t>• Internal switch configuration and routing policy documents (bank-internal).</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Documentation and Alignment of Process Flows for Jaywan and Dual Messaging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document end-to-end business process flows for current and future-state card transaction processing including SMS notifications, VISA DMS, and CBUAE DMS for Jaywan.</w:t>
              <w:br/>
              <w:t>• The bank shall ensure that business and IT teams have a common, approved view of process steps for ATM, POS, e-commerce, and tokenized transactions under Jaywan.</w:t>
              <w:br/>
              <w:t>• The bank shall ensure that process documentation is used as a baseline for requirements validation and solution design for Jaywan enablement.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process flows are documented for:</w:t>
              <w:br/>
              <w:t>• • SMS notifications for ATM and POS transactions.</w:t>
              <w:br/>
              <w:t>• • VISA DMS processes for VISA e-commerce and tokenization transactions.</w:t>
              <w:br/>
              <w:t>• To-be CBUAE DMS processes for e-commerce and tokenization are under documentation and not yet fully defined.</w:t>
              <w:br/>
              <w:t>• Dual messaging system process steps have been reviewed with Card Operations and GBO-ATM/CDM in relation to VISA but not fully adapted to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maintain updated, version-controlled process flows that include:</w:t>
              <w:br/>
              <w:t>• • Current SMS flows for ATM and POS, highlighting any changes due to Jaywan.</w:t>
              <w:br/>
              <w:t>• • Current VISA DMS flows for e-commerce and tokenization.</w:t>
              <w:br/>
              <w:t>• • To-be CBUAE DMS flows for Jaywan e-commerce and tokenized transactions.</w:t>
              <w:br/>
              <w:t>• • Adapted dual messaging system process steps for Jaywan mono-badge and co-badged cards.</w:t>
              <w:br/>
              <w:t>• The bank shall ensure that all stakeholders (Business, IT, Operations, Finance) review and sign off the process flows.</w:t>
              <w:br/>
              <w:t>• The bank shall use the documented flows as mandatory reference for testing scenarios, training materials, and operational procedures.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Availability of CBUAE and AEP DMS specifications for Jaywan.</w:t>
              <w:br/>
              <w:t>• Completion of discovery and clarification sessions between Business and IT focused on Jaywan requirements.</w:t>
              <w:br/>
              <w:t>• Inputs from Card Operations, GBO-ATM/CDM, and Finance on existing pain points and desired future state for Jaywan integration.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Approved process flow documents shall exist covering at least ATM, POS, e-commerce, and tokenized flows involving Jaywan.</w:t>
              <w:br/>
              <w:t>• Relevant stakeholders shall provide documented sign-off (e.g. email approval or workflow sign-off) on the process flows.</w:t>
              <w:br/>
              <w:t>• UAT test cases shall trace back to the documented process steps for Jaywan-related scenarios.</w:t>
              <w:br/>
              <w:t>• Any changes to Jaywan processes post go-live shall be reflected in updated process documentation within a defined change management timeline.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full CBUAE DMS specifications are not available at the time of documentation, the bank shall document interim assumptions with clear marking as provisional and subject to update once official specifications are received.</w:t>
              <w:br/>
              <w:t>• If certain channels (e.g. tokenized POS transactions) are deferred from initial implementation, the bank shall document them as future-state flows with clear phase indication.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minutes and progress documents titled as TCS Confidential, including discussion summaries on dual messaging system, current process flow documentation, and queries for AEP.</w:t>
              <w:br/>
              <w:t>• CBUAE and AEP technical circulars and DMS specifications once received.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Inclusion and Clarification of POS Tokenized Transactions in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assess and, if confirmed by Business and AEP, include POS tokenized transactions for Jaywan mono-badged and co-badged cards within the project scope.</w:t>
              <w:br/>
              <w:t>• The bank shall define business requirements for processing, authorization, clearing, and dispute handling for POS tokenized Jaywan transactions.</w:t>
              <w:br/>
              <w:t>• The bank shall align POS tokenized transaction treatment with wallet providers’ capabilities (e.g. Samsung Wallet initially) and AEP scheme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POS tokenized transactions are noted as potentially requiring inclusion in scope, but clarity is pending as raised in discussions.</w:t>
              <w:br/>
              <w:t>• Existing tokenization processes primarily focus on VISA e-commerce and tokenization transactions.</w:t>
              <w:br/>
              <w:t>• Samsung Wallet enablement for cards is referenced, but detailed treatment for Jaywan card tokenization is not fully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confirm with Business and AEP whether POS tokenized transactions for Jaywan shall be mandatorily supported in the initial phase.</w:t>
              <w:br/>
              <w:t>• If confirmed in scope, the bank shall ensure that Jaywan tokenized POS transactions are processed in line with scheme rules and routed appropriately.</w:t>
              <w:br/>
              <w:t>• The bank shall ensure that token provisioning, lifecycle events (suspend, resume, delete), and transaction notifications for POS tokenized Jaywan cards are captured in process flows and operational procedures.</w:t>
              <w:br/>
              <w:t>• The bank shall align reporting and reconciliation to reflect both physical and tokenized Jaywan transaction volumes.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Clarification from AEP on Jaywan tokenization support and POS tokenized transaction rules.</w:t>
              <w:br/>
              <w:t>• Confirmation from Business stakeholders on scope inclusion for POS tokenized transactions.</w:t>
              <w:br/>
              <w:t>• Technical capability in card management and tokenization platforms to support Jaywan scheme tokens.</w:t>
              <w:br/>
              <w:t>• Alignment with digital wallet providers’ integration timelines and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documented decision shall exist clearly stating whether POS tokenized Jaywan transactions are in-scope or out-of-scope for the initial phase.</w:t>
              <w:br/>
              <w:t>• If in-scope, successful test POS tokenized Jaywan transactions shall be executed through at least one supported wallet (e.g. Samsung Wallet, if applicable at bank level).</w:t>
              <w:br/>
              <w:t>• Operational procedures for handling POS tokenized Jaywan transactions (including disputes) shall be documented and approved.</w:t>
              <w:br/>
              <w:t>• Reporting shall distinguish POS tokenized Jaywan transactions from non-tokenized Jaywan card transactions where technically feasible.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POS tokenized transactions are deferred, the bank shall define them as a separate future phase with dependency on AEP and wallet provider readiness.</w:t>
              <w:br/>
              <w:t>• If certain wallet providers are not yet integrated for Jaywan, alternative channels (physical card, non-tokenized e-commerce) shall remain the primary options until wallet integration is completed.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meeting notes on POS tokenized transactions being potentially in scope (context referencing K’s input).</w:t>
              <w:br/>
              <w:t>• AEP communications on Samsung Wallet integration and future Google Pay and Apple Pay enablement.</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Reversals, Refunds, and Chargebacks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define and implement business rules and processes for reversals, refunds, and chargebacks for Jaywan mono-badged and Jaywan co-badged card transactions.</w:t>
              <w:br/>
              <w:t>• The bank shall align these dispute processes with Jaywan scheme rules and CBUAE guidance while considering interactions with international schemes for co-badged cards.</w:t>
              <w:br/>
              <w:t>• The bank shall ensure that Operations and Customer Service teams have clear procedures for handling disputes involving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Updates have been shared internally that reversals, refunds, and chargebacks are in discussion for current schemes, but Jaywan-specific details are not yet finalised.</w:t>
              <w:br/>
              <w:t>• Existing processes for reversals, refunds, and chargebacks are built around MasterCard and VISA rules.</w:t>
              <w:br/>
              <w:t>• Reconciliation documentation is in the process of being requested and obtained from CBUAE for reporting alignment.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maintain documented dispute handling processes for Jaywan, including definitions of timeframes, evidence requirements, and escalation paths.</w:t>
              <w:br/>
              <w:t>• For co-badged cards, the bank shall ensure that disputes are directed to the appropriate scheme (Jaywan for domestic, international scheme for international) based on routing and clearing records.</w:t>
              <w:br/>
              <w:t>• The bank shall ensure that GL postings and reconciliations correctly reflect dispute entries related to Jaywan transactions.</w:t>
              <w:br/>
              <w:t>• The bank shall provide staff training on Jaywan-specific dispute handling procedures and customer communication templates.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Availability of Jaywan scheme rules covering reversals, refunds, and chargebacks from AEP/CBUAE.</w:t>
              <w:br/>
              <w:t>• Availability of reconciliation documentation and original reports from CBUAE to align financial treatment.</w:t>
              <w:br/>
              <w:t>• Confirmation from Finance on GL mapping for dispute-related entries for Jaywan.</w:t>
              <w:br/>
              <w:t>• Agreement between Business and Operations on service levels and handling timelines for Jaywan-related disputes.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Documented and approved procedures shall exist for reversals, refunds, and chargebacks for Jaywan transactions.</w:t>
              <w:br/>
              <w:t>• UAT scenarios shall include successful processing of sample reversals, refunds, and chargebacks for Jaywan mono-badged and co-badged transactions.</w:t>
              <w:br/>
              <w:t>• Reconciliation reports shall correctly reflect dispute entries and their resolution for Jaywan.</w:t>
              <w:br/>
              <w:t>• Customer complaints involving Jaywan disputes shall be handled using the new procedures without deviation, subject to post-implementation review.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scheme rules for certain dispute types are not available pre go-live, the bank shall apply interim procedures aligned with existing international scheme practices, explicitly flagged as temporary and subject to scheme confirmation.</w:t>
              <w:br/>
              <w:t>• For co-badged cards where transaction routing is ambiguous, the bank shall follow an agreed internal decision matrix to determine whether Jaywan or the international scheme process applies until a technical resolution is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communications and minutes referencing updates on reversals, refunds, and chargebacks (A’s updates).</w:t>
              <w:br/>
              <w:t>• CBUAE reconciliation reports shared (original CBUAE report referenced by R).</w:t>
              <w:br/>
              <w:t>• Jaywan scheme rulebooks once provided by AEP/CBUAE.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Reporting and Reconciliation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define and implement reporting and reconciliation requirements for Jaywan mono-badged and co-badged cards, including internal MIS and regulatory reporting to CBUAE/AEP.</w:t>
              <w:br/>
              <w:t>• The bank shall ensure that card scheme reports from Jaywan are integrated into existing reconciliation processes and that required GL entries are accurately posted.</w:t>
              <w:br/>
              <w:t>• The bank shall address open queries with Business and CBUAE on reporting formats and data elements required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Queries on reporting have been clarified with Business and the original report from CBUAE has been shared.</w:t>
              <w:br/>
              <w:t>• F has requested documentation on reconciliation and current reconciliation processes do not fully include Jaywan-specific flows.</w:t>
              <w:br/>
              <w:t>• Existing reports focus on international card schemes and do not segregate Jaywan mono-badged or co-badged volumes.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design internal reports for monitoring Jaywan transaction volumes, scheme fees, disputes, and revenue at card product and scheme level.</w:t>
              <w:br/>
              <w:t>• The bank shall integrate Jaywan scheme reports into reconciliation workflows to ensure end-to-end financial balancing between transactional data, GL postings, and scheme settlements.</w:t>
              <w:br/>
              <w:t>• The bank shall support regulatory reporting requirements for Jaywan to CBUAE, including periodic submission of volumes, values, and key indicators as specified by CBUAE.</w:t>
              <w:br/>
              <w:t>• The bank shall maintain clear report definitions including purpose, frequency, data source, and distribution list for each Jaywan-related report.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Availability of CBUAE’s original report templates and guidance for Jaywan-related reporting.</w:t>
              <w:br/>
              <w:t>• Confirmation of GL structures for Jaywan from Finance.</w:t>
              <w:br/>
              <w:t>• Clarification from Business, Finance, and Compliance on KPIs and metrics required for internal monitoring of Jaywan adoption.</w:t>
              <w:br/>
              <w:t>• Availability of Jaywan scheme settlement and transaction files from AEP for integration.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At least one daily operational reconciliation report and one monthly management report shall be available covering Jaywan transactions.</w:t>
              <w:br/>
              <w:t>• Reconciliation variances for Jaywan transactions shall be within tolerance thresholds agreed by Finance for a defined pilot period.</w:t>
              <w:br/>
              <w:t>• Regulatory reporting submissions to CBUAE for Jaywan data shall be completed on time and without rejection due to format issues.</w:t>
              <w:br/>
              <w:t>• Stakeholder sign-off shall be obtained on all key Jaywan reporting templates.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final regulatory reporting formats are not available at project implementation, the bank shall implement interim reporting aligned to the latest CBUAE sample templates, subject to later refinement.</w:t>
              <w:br/>
              <w:t>• If certain data elements from AEP are not immediately available, the bank may use internal derived fields or estimates clearly flagged as such until complete data is provided.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original report shared with the bank (as referenced in meeting notes).</w:t>
              <w:br/>
              <w:t>• Internal Finance and Reconciliation documentation requested by F.</w:t>
              <w:br/>
              <w:t>• AEP scheme settlement and reporting specifications once provided.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Discovery Sessions and Requirements Governance for Jaywan Mono and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conduct structured discovery sessions for additional requirements related to Jaywan mono-badged and co-badged cards as per the planned meeting schedule.</w:t>
              <w:br/>
              <w:t>• The bank shall maintain a centralised log of requirements, decisions, and open queries arising from these sessions.</w:t>
              <w:br/>
              <w:t>• The bank shall ensure that all key stakeholders (Business, IT, Card Operations, Finance, Compliance, and vendor partners such as TCS) participate where relevant.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 meeting schedule exists detailing discovery sessions for additional requirements for Jaywan mono-badged and co-badged cards, including meeting titles, dates, and time slots.</w:t>
              <w:br/>
              <w:t>• Meeting attendees include user representatives, Business Analyst, and Manager, and discussions have covered dual messaging, process documentation, and queries to AEP.</w:t>
              <w:br/>
              <w:t>• Progress and queries have been documented in minutes distributed as TCS Confidential.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maintain an up-to-date calendar of discovery sessions specifying objective, agenda, attendees, and expected outputs for each session.</w:t>
              <w:br/>
              <w:t>• The bank shall record and store minutes of each discovery session including decisions taken, action items, and dependencies on AEP/CBUAE.</w:t>
              <w:br/>
              <w:t>• The bank shall track each business requirement from origin (meeting, circular, AEP response) to inclusion in this BRS and subsequent design and testing artefacts.</w:t>
              <w:br/>
              <w:t>• The bank shall use the discovery outputs to refine scope, confirm assumptions, and close open questions for Jaywan implementation.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Agreement by stakeholders on the discovery session schedule and participation.</w:t>
              <w:br/>
              <w:t>• Availability of preliminary documentation from AEP/CBUAE to inform discussions.</w:t>
              <w:br/>
              <w:t>• Clear governance for approval and change control of business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planned discovery sessions shall be held or formally rescheduled with minutes documented and stored in an agreed repository.</w:t>
              <w:br/>
              <w:t>• Each requirement included in this BRS shall be traceable back to at least one documented source (meeting, circular, AEP document).</w:t>
              <w:br/>
              <w:t>• A list of open issues and risks related to Jaywan shall be maintained and reviewed regularly in governance forums.</w:t>
              <w:br/>
              <w:t>• Stakeholders shall confirm that no major business area related to Jaywan mono-badged or co-badged cards has been left undiscovered.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certain stakeholders cannot attend planned sessions, the bank shall conduct follow-up sessions or bilateral discussions to capture their inputs.</w:t>
              <w:br/>
              <w:t>• If AEP or CBUAE responses are delayed, some requirements may remain flagged as provisional in the BRS, subject to later update under change control.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schedule titled “Discovery sessions for additional requirements for Jaywan Mono badged cards, Jaywan co badged cards”.</w:t>
              <w:br/>
              <w:t>• TCS Confidential meeting minutes including discussion summaries and progress updates.</w:t>
              <w:br/>
              <w:t>• Internal governance documents defining requirement approval and change control procedures.</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Pr>
      <w:tblGrid>
        <w:gridCol w:w="1872"/>
        <w:gridCol w:w="1872"/>
        <w:gridCol w:w="1872"/>
        <w:gridCol w:w="2351"/>
        <w:gridCol w:w="1450"/>
      </w:tblGrid>
      <w:tr>
        <w:trPr/>
        <w:tc>
          <w:tcPr>
            <w:tcW w:w="1872" w:type="dxa"/>
            <w:tcBorders>
              <w:top w:val="single" w:sz="4" w:space="0" w:color="000000"/>
              <w:left w:val="single" w:sz="4" w:space="0" w:color="000000"/>
              <w:bottom w:val="single" w:sz="4" w:space="0" w:color="000000"/>
            </w:tcBorders>
          </w:tcPr>
          <w:p>
            <w:pPr>
              <w:pStyle w:val="Normal"/>
              <w:spacing w:before="0" w:after="160"/>
              <w:rPr/>
            </w:pPr>
            <w:r>
              <w:rPr/>
              <w:t>REQ ID</w:t>
            </w:r>
          </w:p>
        </w:tc>
        <w:tc>
          <w:tcPr>
            <w:tcW w:w="1872" w:type="dxa"/>
            <w:tcBorders>
              <w:top w:val="single" w:sz="4" w:space="0" w:color="000000"/>
              <w:left w:val="single" w:sz="4" w:space="0" w:color="000000"/>
              <w:bottom w:val="single" w:sz="4" w:space="0" w:color="000000"/>
            </w:tcBorders>
          </w:tcPr>
          <w:p>
            <w:pPr>
              <w:pStyle w:val="Normal"/>
              <w:spacing w:before="0" w:after="160"/>
              <w:rPr/>
            </w:pPr>
            <w:r>
              <w:rPr/>
              <w:t>Description</w:t>
            </w:r>
          </w:p>
        </w:tc>
        <w:tc>
          <w:tcPr>
            <w:tcW w:w="1872" w:type="dxa"/>
            <w:tcBorders>
              <w:top w:val="single" w:sz="4" w:space="0" w:color="000000"/>
              <w:left w:val="single" w:sz="4" w:space="0" w:color="000000"/>
              <w:bottom w:val="single" w:sz="4" w:space="0" w:color="000000"/>
            </w:tcBorders>
          </w:tcPr>
          <w:p>
            <w:pPr>
              <w:pStyle w:val="Normal"/>
              <w:spacing w:before="0" w:after="160"/>
              <w:rPr/>
            </w:pPr>
            <w:r>
              <w:rPr/>
              <w:t>Source Channel</w:t>
            </w:r>
          </w:p>
        </w:tc>
        <w:tc>
          <w:tcPr>
            <w:tcW w:w="2351" w:type="dxa"/>
            <w:tcBorders>
              <w:top w:val="single" w:sz="4" w:space="0" w:color="000000"/>
              <w:left w:val="single" w:sz="4" w:space="0" w:color="000000"/>
              <w:bottom w:val="single" w:sz="4" w:space="0" w:color="000000"/>
            </w:tcBorders>
          </w:tcPr>
          <w:p>
            <w:pPr>
              <w:pStyle w:val="Normal"/>
              <w:spacing w:before="0" w:after="160"/>
              <w:rPr/>
            </w:pPr>
            <w:r>
              <w:rPr/>
              <w:t>Impacted System</w:t>
            </w:r>
          </w:p>
        </w:tc>
        <w:tc>
          <w:tcPr>
            <w:tcW w:w="1450"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t>Outcome</w:t>
            </w:r>
          </w:p>
        </w:tc>
      </w:tr>
      <w:tr>
        <w:trPr/>
        <w:tc>
          <w:tcPr>
            <w:tcW w:w="1872" w:type="dxa"/>
            <w:tcBorders>
              <w:left w:val="single" w:sz="4" w:space="0" w:color="000000"/>
              <w:bottom w:val="single" w:sz="4" w:space="0" w:color="000000"/>
            </w:tcBorders>
          </w:tcPr>
          <w:p>
            <w:r>
              <w:t>BR-001</w:t>
            </w:r>
          </w:p>
        </w:tc>
        <w:tc>
          <w:tcPr>
            <w:tcW w:w="1872" w:type="dxa"/>
            <w:tcBorders>
              <w:left w:val="single" w:sz="4" w:space="0" w:color="000000"/>
              <w:bottom w:val="single" w:sz="4" w:space="0" w:color="000000"/>
            </w:tcBorders>
          </w:tcPr>
          <w:p>
            <w:r>
              <w:t>Introduce Jaywan mono-badged card products for domestic and GCC usage in line with AEP options.</w:t>
            </w:r>
          </w:p>
        </w:tc>
        <w:tc>
          <w:tcPr>
            <w:tcW w:w="1872" w:type="dxa"/>
            <w:tcBorders>
              <w:left w:val="single" w:sz="4" w:space="0" w:color="000000"/>
              <w:bottom w:val="single" w:sz="4" w:space="0" w:color="000000"/>
            </w:tcBorders>
          </w:tcPr>
          <w:p>
            <w:r>
              <w:t>CBUAE Circular and AEP Jaywan Scheme Communication</w:t>
            </w:r>
          </w:p>
        </w:tc>
        <w:tc>
          <w:tcPr>
            <w:tcW w:w="2351" w:type="dxa"/>
            <w:tcBorders>
              <w:left w:val="single" w:sz="4" w:space="0" w:color="000000"/>
              <w:bottom w:val="single" w:sz="4" w:space="0" w:color="000000"/>
            </w:tcBorders>
          </w:tcPr>
          <w:p>
            <w:r>
              <w:t>Card Management System; Core Banking; Switch; Reconciliation; GL</w:t>
            </w:r>
          </w:p>
        </w:tc>
        <w:tc>
          <w:tcPr>
            <w:tcW w:w="1450" w:type="dxa"/>
            <w:tcBorders>
              <w:left w:val="single" w:sz="4" w:space="0" w:color="000000"/>
              <w:bottom w:val="single" w:sz="4" w:space="0" w:color="000000"/>
              <w:right w:val="single" w:sz="4" w:space="0" w:color="000000"/>
            </w:tcBorders>
          </w:tcPr>
          <w:p>
            <w:r>
              <w:t>Bank issues compliant Jaywan mono-badged cards with proper domestic and GCC enablement.</w:t>
            </w:r>
          </w:p>
        </w:tc>
      </w:tr>
      <w:tr>
        <w:tc>
          <w:tcPr>
            <w:tcW w:type="dxa" w:w="1872"/>
          </w:tcPr>
          <w:p>
            <w:r>
              <w:t>BR-002</w:t>
            </w:r>
          </w:p>
        </w:tc>
        <w:tc>
          <w:tcPr>
            <w:tcW w:type="dxa" w:w="1872"/>
          </w:tcPr>
          <w:p>
            <w:r>
              <w:t>Implement Jaywan co-badged cards with MasterCard or VISA as mandated by CBUAE.</w:t>
            </w:r>
          </w:p>
        </w:tc>
        <w:tc>
          <w:tcPr>
            <w:tcW w:type="dxa" w:w="1872"/>
          </w:tcPr>
          <w:p>
            <w:r>
              <w:t>Regulatory Mandate 5480/2024; Central Government Directive</w:t>
            </w:r>
          </w:p>
        </w:tc>
        <w:tc>
          <w:tcPr>
            <w:tcW w:type="dxa" w:w="2351"/>
          </w:tcPr>
          <w:p>
            <w:r>
              <w:t>Card Management System; Switch; Authorization Engine; CRM</w:t>
            </w:r>
          </w:p>
        </w:tc>
        <w:tc>
          <w:tcPr>
            <w:tcW w:type="dxa" w:w="1450"/>
          </w:tcPr>
          <w:p>
            <w:r>
              <w:t>Bank issues co-badged cards where domestic use is via Jaywan and international via the partner scheme.</w:t>
            </w:r>
          </w:p>
        </w:tc>
      </w:tr>
      <w:tr>
        <w:tc>
          <w:tcPr>
            <w:tcW w:type="dxa" w:w="1872"/>
          </w:tcPr>
          <w:p>
            <w:r>
              <w:t>BR-003</w:t>
            </w:r>
          </w:p>
        </w:tc>
        <w:tc>
          <w:tcPr>
            <w:tcW w:type="dxa" w:w="1872"/>
          </w:tcPr>
          <w:p>
            <w:r>
              <w:t>Configure routing so domestic Jaywan transactions use Jaywan and international use MasterCard/VISA.</w:t>
            </w:r>
          </w:p>
        </w:tc>
        <w:tc>
          <w:tcPr>
            <w:tcW w:type="dxa" w:w="1872"/>
          </w:tcPr>
          <w:p>
            <w:r>
              <w:t>CBUAE Routing Expectations; AEP Technical Readiness Communication</w:t>
            </w:r>
          </w:p>
        </w:tc>
        <w:tc>
          <w:tcPr>
            <w:tcW w:type="dxa" w:w="2351"/>
          </w:tcPr>
          <w:p>
            <w:r>
              <w:t>Switch; Authorization Engine; Network Gateways</w:t>
            </w:r>
          </w:p>
        </w:tc>
        <w:tc>
          <w:tcPr>
            <w:tcW w:type="dxa" w:w="1450"/>
          </w:tcPr>
          <w:p>
            <w:r>
              <w:t>Transactions are automatically routed to the correct scheme based on domestic or international context.</w:t>
            </w:r>
          </w:p>
        </w:tc>
      </w:tr>
      <w:tr>
        <w:tc>
          <w:tcPr>
            <w:tcW w:type="dxa" w:w="1872"/>
          </w:tcPr>
          <w:p>
            <w:r>
              <w:t>BR-004</w:t>
            </w:r>
          </w:p>
        </w:tc>
        <w:tc>
          <w:tcPr>
            <w:tcW w:type="dxa" w:w="1872"/>
          </w:tcPr>
          <w:p>
            <w:r>
              <w:t>Document end-to-end process flows for Jaywan and related dual messaging processes.</w:t>
            </w:r>
          </w:p>
        </w:tc>
        <w:tc>
          <w:tcPr>
            <w:tcW w:type="dxa" w:w="1872"/>
          </w:tcPr>
          <w:p>
            <w:r>
              <w:t>Internal Meetings Between Business and IT; TCS Confidential Minutes</w:t>
            </w:r>
          </w:p>
        </w:tc>
        <w:tc>
          <w:tcPr>
            <w:tcW w:type="dxa" w:w="2351"/>
          </w:tcPr>
          <w:p>
            <w:r>
              <w:t>Process Documentation Repository; All Card-Related Systems</w:t>
            </w:r>
          </w:p>
        </w:tc>
        <w:tc>
          <w:tcPr>
            <w:tcW w:type="dxa" w:w="1450"/>
          </w:tcPr>
          <w:p>
            <w:r>
              <w:t>Stakeholders share a common view of current and future Jaywan-related processes.</w:t>
            </w:r>
          </w:p>
        </w:tc>
      </w:tr>
      <w:tr>
        <w:tc>
          <w:tcPr>
            <w:tcW w:type="dxa" w:w="1872"/>
          </w:tcPr>
          <w:p>
            <w:r>
              <w:t>BR-005</w:t>
            </w:r>
          </w:p>
        </w:tc>
        <w:tc>
          <w:tcPr>
            <w:tcW w:type="dxa" w:w="1872"/>
          </w:tcPr>
          <w:p>
            <w:r>
              <w:t>Decide and define scope for POS tokenized transactions for Jaywan cards.</w:t>
            </w:r>
          </w:p>
        </w:tc>
        <w:tc>
          <w:tcPr>
            <w:tcW w:type="dxa" w:w="1872"/>
          </w:tcPr>
          <w:p>
            <w:r>
              <w:t>Internal Discussion on POS Tokenized Transactions; AEP Wallet Roadmap</w:t>
            </w:r>
          </w:p>
        </w:tc>
        <w:tc>
          <w:tcPr>
            <w:tcW w:type="dxa" w:w="2351"/>
          </w:tcPr>
          <w:p>
            <w:r>
              <w:t>Tokenization Platform; Switch; Card Management System</w:t>
            </w:r>
          </w:p>
        </w:tc>
        <w:tc>
          <w:tcPr>
            <w:tcW w:type="dxa" w:w="1450"/>
          </w:tcPr>
          <w:p>
            <w:r>
              <w:t>Clear handling rules exist for POS tokenized Jaywan transactions or their phased inclusion.</w:t>
            </w:r>
          </w:p>
        </w:tc>
      </w:tr>
      <w:tr>
        <w:tc>
          <w:tcPr>
            <w:tcW w:type="dxa" w:w="1872"/>
          </w:tcPr>
          <w:p>
            <w:r>
              <w:t>BR-006</w:t>
            </w:r>
          </w:p>
        </w:tc>
        <w:tc>
          <w:tcPr>
            <w:tcW w:type="dxa" w:w="1872"/>
          </w:tcPr>
          <w:p>
            <w:r>
              <w:t>Define reversals, refunds, and chargeback processes for Jaywan transactions.</w:t>
            </w:r>
          </w:p>
        </w:tc>
        <w:tc>
          <w:tcPr>
            <w:tcW w:type="dxa" w:w="1872"/>
          </w:tcPr>
          <w:p>
            <w:r>
              <w:t>Operations Feedback; CBUAE Scheme Rules (to be provided)</w:t>
            </w:r>
          </w:p>
        </w:tc>
        <w:tc>
          <w:tcPr>
            <w:tcW w:type="dxa" w:w="2351"/>
          </w:tcPr>
          <w:p>
            <w:r>
              <w:t>Card Management; Dispute Management; GL; Reconciliation</w:t>
            </w:r>
          </w:p>
        </w:tc>
        <w:tc>
          <w:tcPr>
            <w:tcW w:type="dxa" w:w="1450"/>
          </w:tcPr>
          <w:p>
            <w:r>
              <w:t>Jaywan disputes are processed consistently with scheme and regulatory expectations.</w:t>
            </w:r>
          </w:p>
        </w:tc>
      </w:tr>
      <w:tr>
        <w:tc>
          <w:tcPr>
            <w:tcW w:type="dxa" w:w="1872"/>
          </w:tcPr>
          <w:p>
            <w:r>
              <w:t>BR-007</w:t>
            </w:r>
          </w:p>
        </w:tc>
        <w:tc>
          <w:tcPr>
            <w:tcW w:type="dxa" w:w="1872"/>
          </w:tcPr>
          <w:p>
            <w:r>
              <w:t>Implement reporting and reconciliation capabilities for Jaywan transactions.</w:t>
            </w:r>
          </w:p>
        </w:tc>
        <w:tc>
          <w:tcPr>
            <w:tcW w:type="dxa" w:w="1872"/>
          </w:tcPr>
          <w:p>
            <w:r>
              <w:t>CUBAE Reporting Templates; Finance Requirements; AEP Reports</w:t>
            </w:r>
          </w:p>
        </w:tc>
        <w:tc>
          <w:tcPr>
            <w:tcW w:type="dxa" w:w="2351"/>
          </w:tcPr>
          <w:p>
            <w:r>
              <w:t>Reconciliation Systems; Data Warehouse; Reporting Tools</w:t>
            </w:r>
          </w:p>
        </w:tc>
        <w:tc>
          <w:tcPr>
            <w:tcW w:type="dxa" w:w="1450"/>
          </w:tcPr>
          <w:p>
            <w:r>
              <w:t>Jaywan transaction and settlement data is reconciled and reported accurately.</w:t>
            </w:r>
          </w:p>
        </w:tc>
      </w:tr>
      <w:tr>
        <w:tc>
          <w:tcPr>
            <w:tcW w:type="dxa" w:w="1872"/>
          </w:tcPr>
          <w:p>
            <w:r>
              <w:t>BR-008</w:t>
            </w:r>
          </w:p>
        </w:tc>
        <w:tc>
          <w:tcPr>
            <w:tcW w:type="dxa" w:w="1872"/>
          </w:tcPr>
          <w:p>
            <w:r>
              <w:t>Run discovery sessions and maintain governance over Jaywan requirements.</w:t>
            </w:r>
          </w:p>
        </w:tc>
        <w:tc>
          <w:tcPr>
            <w:tcW w:type="dxa" w:w="1872"/>
          </w:tcPr>
          <w:p>
            <w:r>
              <w:t>Discovery Session Schedule; Internal Project Governance</w:t>
            </w:r>
          </w:p>
        </w:tc>
        <w:tc>
          <w:tcPr>
            <w:tcW w:type="dxa" w:w="2351"/>
          </w:tcPr>
          <w:p>
            <w:r>
              <w:t>Requirements Repository; Project Management Tools</w:t>
            </w:r>
          </w:p>
        </w:tc>
        <w:tc>
          <w:tcPr>
            <w:tcW w:type="dxa" w:w="1450"/>
          </w:tcPr>
          <w:p>
            <w:r>
              <w:t>Jaywan requirements are captured, approved, and traced across the project lifecycle.</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The system shall support all existing active cardholders plus new Jaywan mono-badged and co-badged cardholders as onboarded, with capacity assumptions to be defined by the bank based on portfolio projections.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The system shall support peak domestic transaction loads including seasonal spikes for Jaywan cards; specific TPS and volume thresholds shall be defined during solution design based on current switch and scheme capacity planning.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Monthly Jaywan transaction volume assumptions (count and value) shall be estimated by the bank’s Business and Finance functions and used to size infrastructure and reporting, with explicit documentation once confirmed.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Systems supporting Jaywan issuance, authorization, and settlement shall target availability levels consistent with existing card processing SLAs (e.g. high 24x7 availability), with exact numeric SLAs to be aligned with CBUAE expectations and internal policies.</w:t>
            </w:r>
          </w:p>
        </w:tc>
      </w:tr>
    </w:tbl>
    <w:p>
      <w:pPr>
        <w:pStyle w:val="Normal"/>
        <w:rPr/>
      </w:pPr>
      <w:r>
        <w:rPr/>
      </w:r>
    </w:p>
    <w:p>
      <w:pPr>
        <w:pStyle w:val="Normal"/>
        <w:rPr/>
      </w:pPr>
      <w:r>
        <w:rPr>
          <w:b/>
          <w:bCs/>
        </w:rPr>
        <w:t>Impact on Operational process:</w:t>
      </w:r>
      <w:r>
        <w:rPr/>
        <w:t xml:space="preserve"> • Card Operations shall update procedures for card issuance, replacement, renewal, and closure to accommodate Jaywan mono-badged and co-badged products and associated scheme-specific checks.</w:t>
        <w:br/>
        <w:t>• ATM and POS operations teams shall adapt incident handling and monitoring to include Jaywan-specific routing and network issues.</w:t>
        <w:br/>
        <w:t>• Dispute management teams shall adopt new dispute flows for Jaywan reversals, refunds, and chargebacks, including differentiated handling for domestic Jaywan versus international co-badge disputes.</w:t>
        <w:br/>
        <w:t>• Reconciliation teams shall incorporate Jaywan scheme files, GL accounts, and exception handling into daily and monthly reconciliation activities.</w:t>
        <w:br/>
        <w:t>• Customer Service teams shall update scripts and FAQs to address Jaywan-specific queries, including domestic versus international routing, acceptance, and dispute timelines.</w:t>
        <w:br/>
        <w:t>• Finance shall manage new GL accounts and scheme settlement patterns specific to Jaywan, adjusting accounting entries and period-end processes accordingly.</w:t>
        <w:br/>
        <w:t>• Compliance and Risk functions shall update monitoring and reporting routines to include Jaywan metrics and to ensure alignment with CBUAE oversight expectations.</w:t>
        <w:br/>
        <w:t>• Training and knowledge management processes shall incorporate Jaywan processes and controls for all impacted operational teams.</w:t>
      </w:r>
    </w:p>
    <w:p>
      <w:pPr>
        <w:pStyle w:val="Normal"/>
        <w:rPr/>
      </w:pPr>
      <w:r>
        <w:rPr/>
      </w:r>
    </w:p>
    <w:p>
      <w:pPr>
        <w:pStyle w:val="Normal"/>
        <w:rPr/>
      </w:pPr>
      <w:r>
        <w:rPr/>
      </w:r>
    </w:p>
    <w:p>
      <w:pPr>
        <w:pStyle w:val="Normal"/>
        <w:rPr/>
      </w:pPr>
      <w:r>
        <w:rPr>
          <w:b/>
          <w:bCs/>
        </w:rPr>
        <w:t>Regulatory impact:</w:t>
      </w:r>
      <w:r>
        <w:rPr/>
        <w:t xml:space="preserve"> • The project shall comply with the central government directive and CBUAE circular mandating launch of Jaywan co-badged cards for all licensed financial institutions, referenced by mandate number 5480/2024.</w:t>
        <w:br/>
        <w:t>• The project shall align with CBUAE’s objective of strengthening financial sovereignty, reducing payment costs, and enhancing the UAE’s position as a global hub for digital payments.</w:t>
        <w:br/>
        <w:t>• Domestic routing of card transactions shall comply with CBUAE expectations that domestic transactions use the Jaywan scheme where applicable.</w:t>
        <w:br/>
        <w:t>• Reporting obligations to CBUAE regarding Jaywan volumes, performance, and possibly cost metrics shall be satisfied using templates and guidance provided by CBUAE.</w:t>
        <w:br/>
        <w:t>• The project shall adhere to applicable UAE regulatory requirements on consumer protection, transparency of card terms, and dispute resolution when designing Jaywan-related processes.</w:t>
        <w:br/>
        <w:t>• Data handling for Jaywan transactions shall comply with any CBUAE and UAE data residency and confidentiality requirements as applicable to domestic card schemes.</w:t>
        <w:br/>
        <w:t>• The bank shall coordinate with Al Etihad Payments as a CBUAE subsidiary operating Jaywan to ensure compliance with scheme rules and circulars classified as public.</w:t>
      </w:r>
    </w:p>
    <w:p>
      <w:pPr>
        <w:pStyle w:val="Normal"/>
        <w:rPr/>
      </w:pPr>
      <w:r>
        <w:rPr/>
      </w:r>
    </w:p>
    <w:p>
      <w:pPr>
        <w:pStyle w:val="Normal"/>
        <w:rPr/>
      </w:pPr>
      <w:r>
        <w:rPr/>
      </w:r>
    </w:p>
    <w:p>
      <w:pPr>
        <w:pStyle w:val="Normal"/>
        <w:rPr/>
      </w:pPr>
      <w:r>
        <w:rPr>
          <w:b/>
          <w:bCs/>
        </w:rPr>
        <w:t>Reports requirement:</w:t>
      </w:r>
      <w:r>
        <w:rPr/>
        <w:t xml:space="preserve"> • The bank shall produce internal operational reports capturing daily Jaywan transaction volumes, values, approval/decline rates, and key performance indicators per card product and channel.</w:t>
        <w:br/>
        <w:t>• The bank shall produce reconciliation reports comparing scheme files from Jaywan (and international schemes for co-badged cards) against internal transaction and GL records on a daily basis.</w:t>
        <w:br/>
        <w:t>• The bank shall produce monthly management information reports summarising Jaywan mono-badged and co-badged performance, including adoption, transaction mix (domestic vs international), and dispute statistics.</w:t>
        <w:br/>
        <w:t>• The bank shall generate regulatory reports to CBUAE as required, using the original CBUAE report templates already shared and any subsequent updates specifically for Jaywan.</w:t>
        <w:br/>
        <w:t>• Reports shall specify frequency (e.g. daily, monthly, quarterly), distribution lists (e.g. Operations, Finance, Compliance, Senior Management), and responsible owners for generation and review.</w:t>
        <w:br/>
        <w:t>• Where feasible, reports shall distinguish between physical card transactions and tokenized transactions (e.g. via Samsung Wallet) for Jaywan.</w:t>
        <w:br/>
        <w:t>• The bank shall ensure that reports are retained and archived for periods consistent with CBUAE and internal record-keeping requirements.</w:t>
      </w:r>
    </w:p>
    <w:p>
      <w:pPr>
        <w:pStyle w:val="Normal"/>
        <w:rPr/>
      </w:pPr>
      <w:r>
        <w:rPr/>
      </w:r>
    </w:p>
    <w:p>
      <w:pPr>
        <w:pStyle w:val="Normal"/>
        <w:rPr/>
      </w:pPr>
      <w:r>
        <w:rPr/>
      </w:r>
    </w:p>
    <w:p>
      <w:pPr>
        <w:pStyle w:val="Normal"/>
        <w:rPr/>
      </w:pPr>
      <w:r>
        <w:rPr>
          <w:b/>
          <w:bCs/>
        </w:rPr>
        <w:t>Access requirement:</w:t>
      </w:r>
      <w:r>
        <w:rPr/>
        <w:t xml:space="preserve"> • User access to systems managing Jaywan card products, routing, and transactions shall follow the bank’s role-based access control model, with clear segregation of duties.</w:t>
        <w:br/>
        <w:t>• Only authorised users in Product, Card Operations, and IT shall be permitted to create or modify Jaywan product configurations and routing rules.</w:t>
        <w:br/>
        <w:t>• Read-only access shall be provided to relevant Finance, Compliance, and Audit users for Jaywan-related reports and configuration views as needed for oversight.</w:t>
        <w:br/>
        <w:t>• Access to reconciliation and GL posting tools for Jaywan shall be limited to Finance and Reconciliation teams with appropriate approvals.</w:t>
        <w:br/>
        <w:t>• Authentication mechanisms for systems holding Jaywan data shall align with existing corporate standards (e.g. strong authentication and periodic password renewal), with no deviation from regulatory or internal security policies.</w:t>
        <w:br/>
        <w:t>• Any external access (e.g. service providers assisting with Jaywan implementation) shall be governed by existing third-party access controls and contracts.</w:t>
      </w:r>
    </w:p>
    <w:p>
      <w:pPr>
        <w:pStyle w:val="Normal"/>
        <w:rPr/>
      </w:pPr>
      <w:r>
        <w:rPr/>
      </w:r>
    </w:p>
    <w:p>
      <w:pPr>
        <w:pStyle w:val="Normal"/>
        <w:rPr/>
      </w:pPr>
      <w:r>
        <w:rPr/>
      </w:r>
    </w:p>
    <w:p>
      <w:pPr>
        <w:pStyle w:val="Normal"/>
        <w:rPr/>
      </w:pPr>
      <w:r>
        <w:rPr>
          <w:b/>
          <w:bCs/>
        </w:rPr>
        <w:t>Security requirement:</w:t>
      </w:r>
      <w:r>
        <w:rPr/>
        <w:t xml:space="preserve"> • Data related to Jaywan cardholders and transactions shall be protected in transit and at rest using encryption standards consistent with the bank’s information security policy and applicable scheme requirements.</w:t>
        <w:br/>
        <w:t>• Access to Jaywan-related data and configuration shall be logged and monitored for security and audit purposes, including privileged access activities.</w:t>
        <w:br/>
        <w:t>• The bank shall ensure that card number, CVV, PIN, and other sensitive authentication data for Jaywan cards are handled in accordance with applicable card security standards and CBUAE expectations; specific technical standards shall be determined by the bank as they are not detailed in the provided inputs.</w:t>
        <w:br/>
        <w:t>• Security controls for tokenized Jaywan transactions (via Samsung Wallet and future wallets) shall follow wallet provider and scheme security requirements where communicated by AEP and partners.</w:t>
        <w:br/>
        <w:t>• The bank shall ensure incident response processes include scenarios for Jaywan-related security events, such as suspected compromise of card data or routing manipulation.</w:t>
        <w:br/>
        <w:t>• Security measures shall be subject to periodic review and internal audit in line with the bank’s existing security governance framework.</w:t>
      </w:r>
    </w:p>
    <w:p>
      <w:pPr>
        <w:pStyle w:val="Normal"/>
        <w:rPr/>
      </w:pPr>
      <w:r>
        <w:rPr/>
      </w:r>
    </w:p>
    <w:p>
      <w:pPr>
        <w:pStyle w:val="Normal"/>
        <w:rPr/>
      </w:pPr>
      <w:r>
        <w:rPr/>
      </w:r>
    </w:p>
    <w:p>
      <w:pPr>
        <w:pStyle w:val="Normal"/>
        <w:rPr/>
      </w:pPr>
      <w:r>
        <w:rPr>
          <w:b/>
          <w:bCs/>
        </w:rPr>
        <w:t>Data requirement:</w:t>
      </w:r>
      <w:r>
        <w:rPr/>
        <w:t xml:space="preserve"> • The bank shall maintain accurate master data for Jaywan card products, including scheme identifiers, BIN ranges, and product attributes, in the card management system.</w:t>
        <w:br/>
        <w:t>• Transaction data for Jaywan mono-badged and co-badged cards shall be captured and stored with sufficient detail to support authorization, clearing, settlement, dispute handling, and regulatory reporting.</w:t>
        <w:br/>
        <w:t>• Data quality controls shall be applied to ensure that Jaywan-related data fields (e.g. scheme IDs, routing indicators, domestic vs international flags) are complete and accurate.</w:t>
        <w:br/>
        <w:t>• Data retention for Jaywan transactions and cardholder records shall comply with CBUAE regulations and internal retention policies; specific retention periods shall be defined by the bank’s data governance framework.</w:t>
        <w:br/>
        <w:t>• The bank shall ensure that data received from AEP and CBUAE (e.g. scheme files, reports) is validated, stored, and integrated into internal systems as required for reconciliation and reporting.</w:t>
        <w:br/>
        <w:t>• The bank shall maintain metadata and definitions for key Jaywan data elements to support consistent usage across systems and reports.</w:t>
      </w:r>
    </w:p>
    <w:p>
      <w:pPr>
        <w:pStyle w:val="Normal"/>
        <w:rPr/>
      </w:pPr>
      <w:r>
        <w:rPr/>
      </w:r>
    </w:p>
    <w:p>
      <w:pPr>
        <w:pStyle w:val="Normal"/>
        <w:rPr/>
      </w:pPr>
      <w:r>
        <w:rPr/>
      </w:r>
    </w:p>
    <w:p>
      <w:pPr>
        <w:pStyle w:val="Normal"/>
        <w:rPr/>
      </w:pPr>
      <w:r>
        <w:rPr>
          <w:b/>
          <w:bCs/>
        </w:rPr>
        <w:t>Training requirement:</w:t>
      </w:r>
      <w:r>
        <w:rPr/>
        <w:t xml:space="preserve"> • The bank shall provide training to Card Operations, Customer Service, and Branch staff on Jaywan mono-badged and co-badged products, including key features, routing behaviour, and dispute processes.</w:t>
        <w:br/>
        <w:t>• The bank shall provide training to Finance and Reconciliation teams on Jaywan-specific GL structures, reconciliation flows, and reporting requirements.</w:t>
        <w:br/>
        <w:t>• IT and support teams shall receive training on Jaywan-related configurations, routing rules, and incident handling procedures.</w:t>
        <w:br/>
        <w:t>• Training materials shall be based on the approved process flows, scheme rules, and regulatory guidance for Jaywan.</w:t>
        <w:br/>
        <w:t>• Refresher training shall be planned following any significant changes to Jaywan processes, routing, or regulatory requirements.</w:t>
        <w:br/>
        <w:t>• Participation in AEP or CBUAE-organised awareness and training sessions for Jaywan shall be encouraged for relevant bank staff.</w:t>
      </w:r>
    </w:p>
    <w:p>
      <w:pPr>
        <w:pStyle w:val="Normal"/>
        <w:rPr/>
      </w:pPr>
      <w:r>
        <w:rPr/>
      </w:r>
    </w:p>
    <w:p>
      <w:pPr>
        <w:pStyle w:val="Normal"/>
        <w:rPr/>
      </w:pPr>
      <w:r>
        <w:rPr>
          <w:b/>
          <w:bCs/>
        </w:rPr>
        <w:t>Open Questions:</w:t>
      </w:r>
      <w:r>
        <w:rPr/>
        <w:t xml:space="preserve"> • Detailed scheme rulebooks for Jaywan covering reversals, refunds, chargebacks, and dispute timeframes are not provided in the available inputs and shall be requested from AEP/CBUAE.</w:t>
        <w:br/>
        <w:t>• Exact technical and business requirements for Google Pay and Apple Pay enablement for Jaywan are not specified and shall be clarified with AEP when these phases commence.</w:t>
        <w:br/>
        <w:t>• Specific performance and capacity figures (e.g. target TPS, expected monthly volumes for Jaywan) are not provided and shall be defined by the bank based on portfolio projections and AEP capacity guidance.</w:t>
        <w:br/>
        <w:t>• The precise scope and timelines for enabling GCC usage of Jaywan mono-badged cards are not detailed and shall be confirmed with AEP/CBUAE.</w:t>
        <w:br/>
        <w:t>• Requirements for bilateral agreements with India and other countries (beyond reference to mid-2025 and expansion plans) are not provided and shall be clarified, including any impact on co-badged routing and acceptance.</w:t>
        <w:br/>
        <w:t>• Detailed CBUAE regulatory reporting templates explicitly labelled for Jaywan are not included in the inputs and shall be obtained to confirm data fields and frequencies.</w:t>
        <w:br/>
        <w:t>• The final decision on including POS tokenized Jaywan transactions in the initial implementation phase is pending confirmation from Business and AEP.</w:t>
      </w:r>
    </w:p>
    <w:p>
      <w:pPr>
        <w:pStyle w:val="Normal"/>
        <w:rPr/>
      </w:pPr>
      <w:r>
        <w:rPr/>
      </w:r>
    </w:p>
    <w:p>
      <w:pPr>
        <w:pStyle w:val="Normal"/>
        <w:rPr/>
      </w:pPr>
      <w:r>
        <w:rPr>
          <w:b/>
          <w:bCs/>
        </w:rPr>
        <w:t>Contradictions (if any):</w:t>
      </w:r>
      <w:r>
        <w:rPr/>
        <w:t xml:space="preserve"> • No explicit contradictions are identifiable between the provided named documents such as “Jaywan: UAE's new domestic card payment scheme; all your questions answered”, “Jaywan the UAE's First Domestic Card Scheme Introduced to Strengthen the UAE's Position as a Global Hub for Digital Payments”, and the described CBUAE circular referencing mandate 5480/2024; the inputs are high-level and complementary rather than conflicting.</w:t>
        <w:br/>
        <w:t>• References to GCC usage of Jaywan mono-badged cards in AEP public communication and to domestic plus international usage via co-badged cards in the CBUAE circular overview are consistent in intent and do not present a direct contradiction based on the available text.</w:t>
        <w:br/>
        <w:t>• Due to limited verbatim content for the CBUAE circular and AEP documents, potential nuanced differences in wording or obligations cannot be assessed within this BRS and shall be reviewed directly against the original full-text regulatory and scheme documents by Compliance and Legal teams.</w:t>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518</TotalTime>
  <Application>LibreOffice/25.2.7.2$Windows_X86_64 LibreOffice_project/5cbfd1ab6520636bb5f7b99185aa69bd7456825d</Application>
  <AppVersion>15.0000</AppVersion>
  <Pages>4</Pages>
  <Words>141</Words>
  <Characters>1328</Characters>
  <CharactersWithSpaces>1393</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2026-02-02T06:56:38Z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