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First Islamic Bank</w:t>
      </w:r>
    </w:p>
    <w:p>
      <w:pPr>
        <w:pStyle w:val="Normal"/>
        <w:rPr/>
      </w:pPr>
      <w:r>
        <w:rPr/>
      </w:r>
    </w:p>
    <w:p>
      <w:pPr>
        <w:pStyle w:val="Normal"/>
        <w:jc w:val="center"/>
        <w:rPr>
          <w:b/>
          <w:bCs/>
          <w:sz w:val="28"/>
          <w:szCs w:val="28"/>
        </w:rPr>
      </w:pPr>
      <w:r>
        <w:rPr>
          <w:b/>
          <w:bCs/>
          <w:sz w:val="28"/>
          <w:szCs w:val="28"/>
        </w:rPr>
        <w:t>Business Requirements Specification</w:t>
      </w:r>
    </w:p>
    <w:p>
      <w:pPr>
        <w:pStyle w:val="Normal"/>
        <w:jc w:val="center"/>
        <w:rPr/>
      </w:pPr>
      <w:r>
        <w:rPr/>
      </w:r>
    </w:p>
    <w:p>
      <w:pPr>
        <w:pStyle w:val="Normal"/>
        <w:rPr/>
      </w:pPr>
      <w:r>
        <w:rPr>
          <w:b/>
          <w:bCs/>
        </w:rPr>
        <w:t>Title:</w:t>
      </w:r>
      <w:r>
        <w:rPr/>
        <w:t xml:space="preserve"> - Jaywan Domestic Card Scheme – Co‑Badged ATM Transaction Processing Business Requirements</w:t>
      </w:r>
    </w:p>
    <w:p>
      <w:pPr>
        <w:pStyle w:val="Normal"/>
        <w:rPr/>
      </w:pPr>
      <w:r>
        <w:rPr>
          <w:b/>
          <w:bCs/>
        </w:rPr>
        <w:t>ID:</w:t>
      </w:r>
      <w:r>
        <w:rPr/>
        <w:t xml:space="preserve"> - BRD-JAYWAN-ATM-COB-001</w:t>
      </w:r>
    </w:p>
    <w:p>
      <w:pPr>
        <w:pStyle w:val="Normal"/>
        <w:rPr/>
      </w:pPr>
      <w:r>
        <w:rPr>
          <w:b/>
          <w:bCs/>
        </w:rPr>
        <w:t>Program:</w:t>
      </w:r>
      <w:r>
        <w:rPr/>
        <w:t xml:space="preserve"> - Jaywan Domestic Card Scheme Enablement</w:t>
      </w:r>
    </w:p>
    <w:p>
      <w:pPr>
        <w:pStyle w:val="Normal"/>
        <w:rPr/>
      </w:pPr>
      <w:r>
        <w:rPr>
          <w:b/>
          <w:bCs/>
        </w:rPr>
        <w:t>Type:</w:t>
      </w:r>
      <w:r>
        <w:rPr/>
        <w:t xml:space="preserve"> - Business Requirements Specification</w:t>
      </w:r>
    </w:p>
    <w:p>
      <w:pPr>
        <w:pStyle w:val="Normal"/>
        <w:rPr/>
      </w:pPr>
      <w:r>
        <w:rPr/>
      </w:r>
    </w:p>
    <w:p>
      <w:pPr>
        <w:pStyle w:val="Normal"/>
        <w:rPr>
          <w:b/>
          <w:bCs/>
        </w:rPr>
      </w:pPr>
      <w:r>
        <w:rPr>
          <w:b/>
          <w:bCs/>
        </w:rPr>
        <w:t>Table Of Content</w:t>
      </w:r>
    </w:p>
    <w:tbl>
      <w:tblPr>
        <w:tblW w:w="9240" w:type="dxa"/>
        <w:jc w:val="left"/>
        <w:tblInd w:w="115" w:type="dxa"/>
        <w:tblLayout w:type="fixed"/>
        <w:tblCellMar>
          <w:top w:w="55" w:type="dxa"/>
          <w:left w:w="55" w:type="dxa"/>
          <w:bottom w:w="55" w:type="dxa"/>
          <w:right w:w="55" w:type="dxa"/>
        </w:tblCellMar>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620"/>
        <w:gridCol w:w="4619"/>
      </w:tblGrid>
      <w:tr>
        <w:trPr/>
        <w:tc>
          <w:tcPr>
            <w:tcW w:w="4620" w:type="dxa"/>
            <w:tcBorders>
              <w:top w:val="single" w:sz="8" w:space="0" w:color="000000"/>
              <w:left w:val="single" w:sz="8" w:space="0" w:color="000000"/>
              <w:bottom w:val="single" w:sz="8" w:space="0" w:color="000000"/>
            </w:tcBorders>
          </w:tcPr>
          <w:p>
            <w:pPr>
              <w:pStyle w:val="Normal"/>
              <w:spacing w:before="0" w:after="160"/>
              <w:rPr/>
            </w:pPr>
            <w:r>
              <w:rPr/>
              <w:t>Serial Number</w:t>
            </w:r>
          </w:p>
        </w:tc>
        <w:tc>
          <w:tcPr>
            <w:tcW w:w="4619"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Description</w:t>
            </w:r>
          </w:p>
        </w:tc>
      </w:tr>
      <w:tr>
        <w:tc>
          <w:tcPr>
            <w:tcW w:type="dxa" w:w="4620"/>
          </w:tcPr>
          <w:p>
            <w:r>
              <w:t>1</w:t>
            </w:r>
          </w:p>
        </w:tc>
        <w:tc>
          <w:tcPr>
            <w:tcW w:type="dxa" w:w="4619"/>
          </w:tcPr>
          <w:p>
            <w:r>
              <w:t>Document Sign off</w:t>
            </w:r>
          </w:p>
        </w:tc>
      </w:tr>
      <w:tr>
        <w:tc>
          <w:tcPr>
            <w:tcW w:type="dxa" w:w="4620"/>
          </w:tcPr>
          <w:p>
            <w:r>
              <w:t>2</w:t>
            </w:r>
          </w:p>
        </w:tc>
        <w:tc>
          <w:tcPr>
            <w:tcW w:type="dxa" w:w="4619"/>
          </w:tcPr>
          <w:p>
            <w:r>
              <w:t>Document History</w:t>
            </w:r>
          </w:p>
        </w:tc>
      </w:tr>
      <w:tr>
        <w:tc>
          <w:tcPr>
            <w:tcW w:type="dxa" w:w="4620"/>
          </w:tcPr>
          <w:p>
            <w:r>
              <w:t>3</w:t>
            </w:r>
          </w:p>
        </w:tc>
        <w:tc>
          <w:tcPr>
            <w:tcW w:type="dxa" w:w="4619"/>
          </w:tcPr>
          <w:p>
            <w:r>
              <w:t>Overview</w:t>
            </w:r>
          </w:p>
        </w:tc>
      </w:tr>
      <w:tr>
        <w:tc>
          <w:tcPr>
            <w:tcW w:type="dxa" w:w="4620"/>
          </w:tcPr>
          <w:p>
            <w:r>
              <w:t>4</w:t>
            </w:r>
          </w:p>
        </w:tc>
        <w:tc>
          <w:tcPr>
            <w:tcW w:type="dxa" w:w="4619"/>
          </w:tcPr>
          <w:p>
            <w:r>
              <w:t>Current constraints</w:t>
            </w:r>
          </w:p>
        </w:tc>
      </w:tr>
      <w:tr>
        <w:tc>
          <w:tcPr>
            <w:tcW w:type="dxa" w:w="4620"/>
          </w:tcPr>
          <w:p>
            <w:r>
              <w:t>5</w:t>
            </w:r>
          </w:p>
        </w:tc>
        <w:tc>
          <w:tcPr>
            <w:tcW w:type="dxa" w:w="4619"/>
          </w:tcPr>
          <w:p>
            <w:r>
              <w:t>Objective</w:t>
            </w:r>
          </w:p>
        </w:tc>
      </w:tr>
      <w:tr>
        <w:tc>
          <w:tcPr>
            <w:tcW w:type="dxa" w:w="4620"/>
          </w:tcPr>
          <w:p>
            <w:r>
              <w:t>6</w:t>
            </w:r>
          </w:p>
        </w:tc>
        <w:tc>
          <w:tcPr>
            <w:tcW w:type="dxa" w:w="4619"/>
          </w:tcPr>
          <w:p>
            <w:r>
              <w:t>In scope</w:t>
            </w:r>
          </w:p>
        </w:tc>
      </w:tr>
      <w:tr>
        <w:tc>
          <w:tcPr>
            <w:tcW w:type="dxa" w:w="4620"/>
          </w:tcPr>
          <w:p>
            <w:r>
              <w:t>7</w:t>
            </w:r>
          </w:p>
        </w:tc>
        <w:tc>
          <w:tcPr>
            <w:tcW w:type="dxa" w:w="4619"/>
          </w:tcPr>
          <w:p>
            <w:r>
              <w:t>Out of scope</w:t>
            </w:r>
          </w:p>
        </w:tc>
      </w:tr>
      <w:tr>
        <w:tc>
          <w:tcPr>
            <w:tcW w:type="dxa" w:w="4620"/>
          </w:tcPr>
          <w:p>
            <w:r>
              <w:t>8</w:t>
            </w:r>
          </w:p>
        </w:tc>
        <w:tc>
          <w:tcPr>
            <w:tcW w:type="dxa" w:w="4619"/>
          </w:tcPr>
          <w:p>
            <w:r>
              <w:t>Description</w:t>
            </w:r>
          </w:p>
        </w:tc>
      </w:tr>
      <w:tr>
        <w:tc>
          <w:tcPr>
            <w:tcW w:type="dxa" w:w="4620"/>
          </w:tcPr>
          <w:p>
            <w:r>
              <w:t>9</w:t>
            </w:r>
          </w:p>
        </w:tc>
        <w:tc>
          <w:tcPr>
            <w:tcW w:type="dxa" w:w="4619"/>
          </w:tcPr>
          <w:p>
            <w:r>
              <w:t>Business Requirements</w:t>
            </w:r>
          </w:p>
        </w:tc>
      </w:tr>
      <w:tr>
        <w:tc>
          <w:tcPr>
            <w:tcW w:type="dxa" w:w="4620"/>
          </w:tcPr>
          <w:p>
            <w:r>
              <w:t>10</w:t>
            </w:r>
          </w:p>
        </w:tc>
        <w:tc>
          <w:tcPr>
            <w:tcW w:type="dxa" w:w="4619"/>
          </w:tcPr>
          <w:p>
            <w:r>
              <w:t>Requirement Traceability Matrix</w:t>
            </w:r>
          </w:p>
        </w:tc>
      </w:tr>
      <w:tr>
        <w:tc>
          <w:tcPr>
            <w:tcW w:type="dxa" w:w="4620"/>
          </w:tcPr>
          <w:p>
            <w:r>
              <w:t>11</w:t>
            </w:r>
          </w:p>
        </w:tc>
        <w:tc>
          <w:tcPr>
            <w:tcW w:type="dxa" w:w="4619"/>
          </w:tcPr>
          <w:p>
            <w:r>
              <w:t>Non-Functional Requirements</w:t>
            </w:r>
          </w:p>
        </w:tc>
      </w:tr>
      <w:tr>
        <w:tc>
          <w:tcPr>
            <w:tcW w:type="dxa" w:w="4620"/>
          </w:tcPr>
          <w:p>
            <w:r>
              <w:t>12</w:t>
            </w:r>
          </w:p>
        </w:tc>
        <w:tc>
          <w:tcPr>
            <w:tcW w:type="dxa" w:w="4619"/>
          </w:tcPr>
          <w:p>
            <w:r>
              <w:t>Impact on Operational Process</w:t>
            </w:r>
          </w:p>
        </w:tc>
      </w:tr>
      <w:tr>
        <w:tc>
          <w:tcPr>
            <w:tcW w:type="dxa" w:w="4620"/>
          </w:tcPr>
          <w:p>
            <w:r>
              <w:t>13</w:t>
            </w:r>
          </w:p>
        </w:tc>
        <w:tc>
          <w:tcPr>
            <w:tcW w:type="dxa" w:w="4619"/>
          </w:tcPr>
          <w:p>
            <w:r>
              <w:t>Regulatory Impact</w:t>
            </w:r>
          </w:p>
        </w:tc>
      </w:tr>
      <w:tr>
        <w:tc>
          <w:tcPr>
            <w:tcW w:type="dxa" w:w="4620"/>
          </w:tcPr>
          <w:p>
            <w:r>
              <w:t>14</w:t>
            </w:r>
          </w:p>
        </w:tc>
        <w:tc>
          <w:tcPr>
            <w:tcW w:type="dxa" w:w="4619"/>
          </w:tcPr>
          <w:p>
            <w:r>
              <w:t>Reports Requirement</w:t>
            </w:r>
          </w:p>
        </w:tc>
      </w:tr>
      <w:tr>
        <w:tc>
          <w:tcPr>
            <w:tcW w:type="dxa" w:w="4620"/>
          </w:tcPr>
          <w:p>
            <w:r>
              <w:t>15</w:t>
            </w:r>
          </w:p>
        </w:tc>
        <w:tc>
          <w:tcPr>
            <w:tcW w:type="dxa" w:w="4619"/>
          </w:tcPr>
          <w:p>
            <w:r>
              <w:t>Access Requirement</w:t>
            </w:r>
          </w:p>
        </w:tc>
      </w:tr>
      <w:tr>
        <w:tc>
          <w:tcPr>
            <w:tcW w:type="dxa" w:w="4620"/>
          </w:tcPr>
          <w:p>
            <w:r>
              <w:t>16</w:t>
            </w:r>
          </w:p>
        </w:tc>
        <w:tc>
          <w:tcPr>
            <w:tcW w:type="dxa" w:w="4619"/>
          </w:tcPr>
          <w:p>
            <w:r>
              <w:t>Security Requirement</w:t>
            </w:r>
          </w:p>
        </w:tc>
      </w:tr>
      <w:tr>
        <w:tc>
          <w:tcPr>
            <w:tcW w:type="dxa" w:w="4620"/>
          </w:tcPr>
          <w:p>
            <w:r>
              <w:t>17</w:t>
            </w:r>
          </w:p>
        </w:tc>
        <w:tc>
          <w:tcPr>
            <w:tcW w:type="dxa" w:w="4619"/>
          </w:tcPr>
          <w:p>
            <w:r>
              <w:t>Data Requirement</w:t>
            </w:r>
          </w:p>
        </w:tc>
      </w:tr>
      <w:tr>
        <w:tc>
          <w:tcPr>
            <w:tcW w:type="dxa" w:w="4620"/>
          </w:tcPr>
          <w:p>
            <w:r>
              <w:t>18</w:t>
            </w:r>
          </w:p>
        </w:tc>
        <w:tc>
          <w:tcPr>
            <w:tcW w:type="dxa" w:w="4619"/>
          </w:tcPr>
          <w:p>
            <w:r>
              <w:t>Training Requirement</w:t>
            </w:r>
          </w:p>
        </w:tc>
      </w:tr>
    </w:tbl>
    <w:p>
      <w:pPr>
        <w:pStyle w:val="Normal"/>
        <w:rPr>
          <w:b/>
          <w:bCs/>
        </w:rPr>
      </w:pPr>
      <w:r>
        <w:rPr>
          <w:b/>
          <w:bCs/>
        </w:rPr>
      </w:r>
    </w:p>
    <w:p>
      <w:pPr>
        <w:pStyle w:val="Normal"/>
        <w:rPr>
          <w:b/>
          <w:bCs/>
        </w:rPr>
      </w:pPr>
      <w:r>
        <w:rPr>
          <w:b/>
          <w:bCs/>
        </w:rPr>
      </w:r>
    </w:p>
    <w:p>
      <w:pPr>
        <w:pStyle w:val="Normal"/>
        <w:rPr>
          <w:b/>
          <w:bCs/>
        </w:rPr>
      </w:pPr>
      <w:r>
        <w:rPr>
          <w:b/>
          <w:bCs/>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b/>
          <w:bCs/>
        </w:rPr>
      </w:pPr>
      <w:r>
        <w:rPr>
          <w:b/>
          <w:bCs/>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7"/>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312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t>Initial Draft</w:t>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t>- 20-Feb-2026</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b/>
          <w:bCs/>
        </w:rPr>
        <w:t>Overview:</w:t>
      </w:r>
      <w:r>
        <w:rPr/>
        <w:t xml:space="preserve"> • The project shall enable licensed financial institutions to support CBUAE-mandated Jaywan mono-badged and co-badged cards for domestic and international usage, with specific focus on ATM cash withdrawal processing for Jaywan co-badged debit cards routed via core banking and PowerCARD in compliance with CBUAE and Al Etihad Payments (AEP) requirements.</w:t>
        <w:br/>
        <w:t>• The project shall support domestic routing of Jaywan transactions to the UAE local scheme to strengthen financial sovereignty, reduce payment costs, and provide a secure, seamless payment experience in line with the UAE’s positioning as a global hub for digital payments.</w:t>
        <w:br/>
        <w:t>• The project shall ensure the readiness and integration of bank systems (ATM switch, core banking, card management system, GL, SMS, reconciliation, and reporting) to process Jaywan domestic and international transactions, including mono-badge and co-badge configurations as enabled by AEP and partner international schemes.</w:t>
      </w:r>
    </w:p>
    <w:p>
      <w:pPr>
        <w:pStyle w:val="Normal"/>
        <w:rPr/>
      </w:pPr>
      <w:r>
        <w:rPr/>
      </w:r>
    </w:p>
    <w:p>
      <w:pPr>
        <w:pStyle w:val="Normal"/>
        <w:rPr/>
      </w:pPr>
      <w:r>
        <w:rPr>
          <w:b/>
          <w:bCs/>
        </w:rPr>
        <w:t>Current constraints:</w:t>
      </w:r>
      <w:r>
        <w:rPr/>
        <w:t xml:space="preserve"> • Licensed financial institutions currently issue and process only international scheme cards (e.g. Visa, Mastercard) for ATM, POS, e-commerce, and tokenized transactions, without support for the Jaywan domestic card scheme.</w:t>
        <w:br/>
        <w:t>• Current transaction routing logic is configured primarily for Visa/Mastercard dual messaging systems (DMS), with existing domestic routing aligned to international scheme rules and not to a local UAE domestic scheme.</w:t>
        <w:br/>
        <w:t>• Existing processes, GLs, reconciliation, and reporting are focused on Visa/Mastercard, with no finalized business-IT alignment for Jaywan domestic routing, refunds, reversals, chargebacks, and tokenized POS/e-commerce flows.</w:t>
        <w:br/>
        <w:t>• Integration for Jaywan usage on digital wallets (e.g. Samsung Wallet, Google Pay, Apple Pay) is not yet implemented within the bank’s systems.</w:t>
        <w:br/>
        <w:t>• Business and IT teams are still in discovery for additional requirements for Jaywan mono-badged and co-badged cards, and detailed documentation for reconciliation and some reports is pending.</w:t>
      </w:r>
    </w:p>
    <w:p>
      <w:pPr>
        <w:pStyle w:val="Normal"/>
        <w:rPr/>
      </w:pPr>
      <w:r>
        <w:rPr/>
      </w:r>
    </w:p>
    <w:p>
      <w:pPr>
        <w:pStyle w:val="Normal"/>
        <w:rPr/>
      </w:pPr>
      <w:r>
        <w:rPr>
          <w:b/>
          <w:bCs/>
        </w:rPr>
        <w:t>Objective:</w:t>
      </w:r>
      <w:r>
        <w:rPr/>
        <w:t xml:space="preserve"> • The project shall ensure full compliance with the UAE central government / CBUAE circular and AEP mandate requiring all licensed financial institutions issuing Visa/Mastercard to issue Jaywan co-badged cards that support both domestic and international transactions.</w:t>
        <w:br/>
        <w:t>• The project shall implement end-to-end ATM cash withdrawal processing for Jaywan co-badged debit cards, including domestic vs international identification, routing via PowerCARD, authorization, posting, notifications, and reconciliation.</w:t>
        <w:br/>
        <w:t>• The project shall configure card routing and scheme selection such that Jaywan is used for eligible domestic transactions and the international scheme is used for international or non-eligible transactions, in line with CBUAE/AEP rules.</w:t>
        <w:br/>
        <w:t>• The project shall ensure that all scheme-related flows (approvals, declines, reversals, refunds, and chargebacks) for Jaywan co-badged cards are clearly defined, automated where possible, and aligned with existing Visa/Mastercard DMS processes where applicable.</w:t>
        <w:br/>
        <w:t>• The project shall enable appropriate operational reporting, GL mapping, and reconciliation to support Jaywan mono-badged and co-badged card transactions, including regulatory and management information reporting.</w:t>
      </w:r>
    </w:p>
    <w:p>
      <w:pPr>
        <w:pStyle w:val="Normal"/>
        <w:rPr/>
      </w:pPr>
      <w:r>
        <w:rPr/>
      </w:r>
    </w:p>
    <w:p>
      <w:pPr>
        <w:pStyle w:val="Normal"/>
        <w:rPr/>
      </w:pPr>
      <w:r>
        <w:rPr>
          <w:b/>
          <w:bCs/>
        </w:rPr>
        <w:t>In scope:</w:t>
      </w:r>
      <w:r>
        <w:rPr/>
        <w:t xml:space="preserve"> • Implementation of Jaywan co-badged debit card ATM cash withdrawal flows, including PIN entry, amount capture, routing via core banking and PowerCARD, authorization decisioning, and customer cash dispensing.</w:t>
        <w:br/>
        <w:t>• Configuration of card routing logic to differentiate and route Jaywan co-badged transactions as domestic (UAE and applicable GCC/domestic rules) or international according to CBUAE/AEP and partner scheme guidelines.</w:t>
        <w:br/>
        <w:t>• Support for mono-badge Jaywan cards (domestic / GCC scope) and co-badge Jaywan cards (domestic Jaywan + international network for cross-border usage) issuance and processing, to the extent explicitly required for ATM transactions.</w:t>
        <w:br/>
        <w:t>• Integration of Jaywan ATM transactions into existing SMS alerting, EOD posting, GL accounting, and reconciliation processes, including updates to relevant reports and new Jaywan-specific reports as required.</w:t>
        <w:br/>
        <w:t>• Alignment of ATM processing with existing Visa DMS-based processes for e-commerce and tokenized transactions, while defining the to-be CBUAE DMS process for Jaywan-related e-commerce and tokenized transactions (as a conceptual alignment, even if detailed implementation is separate).</w:t>
        <w:br/>
        <w:t>• Definition of operational procedures for handling approved, declined, and exception scenarios for Jaywan ATM withdrawals, including PIN failures, card/channel issues, and network failures.</w:t>
        <w:br/>
        <w:t>• Capture of additional business requirements through formal discovery sessions for Jaywan mono-badged and co-badged cards and documenting them for subsequent implementation phases.</w:t>
        <w:br/>
        <w:t>• High-level readiness for future enablement of Jaywan on digital wallets (Samsung Wallet, and later Google Pay and Apple Pay), from a business requirement and process perspective for ATM-linked credentials.</w:t>
      </w:r>
    </w:p>
    <w:p>
      <w:pPr>
        <w:pStyle w:val="Normal"/>
        <w:rPr/>
      </w:pPr>
      <w:r>
        <w:rPr/>
      </w:r>
    </w:p>
    <w:p>
      <w:pPr>
        <w:pStyle w:val="Normal"/>
        <w:rPr/>
      </w:pPr>
      <w:r>
        <w:rPr>
          <w:b/>
          <w:bCs/>
        </w:rPr>
        <w:t>Out of scope:</w:t>
      </w:r>
      <w:r>
        <w:rPr/>
        <w:t xml:space="preserve"> • Detailed technical design, configuration scripts, and low-level interface specifications for ATM switch, HSM, PowerCARD, and host systems.</w:t>
        <w:br/>
        <w:t>• Implementation-level specifics of Google Pay and Apple Pay enablement for Jaywan beyond the high-level requirement acknowledgment.</w:t>
        <w:br/>
        <w:t>• Detailed POS, e-commerce, and tokenization processing rules not directly impacting ATM cash withdrawal with Jaywan co-badged debit cards (these will be addressed in separate workstreams/documents).</w:t>
        <w:br/>
        <w:t>• End-to-end bilateral agreement implementation details with India and other countries beyond the high-level need to support international usage for co-badged cards.</w:t>
        <w:br/>
        <w:t>• Non-card payment instruments (e.g. account-to-account, instant payments, cheques) not directly linked to Jaywan card processing.</w:t>
        <w:br/>
        <w:t>• Detailed chargeback arbitration rules and scheme-legal documentation for Jaywan and partner international schemes (to be covered in scheme rulebooks and legal/compliance documents).</w:t>
      </w:r>
    </w:p>
    <w:p>
      <w:pPr>
        <w:pStyle w:val="Normal"/>
        <w:rPr/>
      </w:pPr>
      <w:r>
        <w:rPr/>
      </w:r>
    </w:p>
    <w:p>
      <w:pPr>
        <w:pStyle w:val="Normal"/>
        <w:rPr/>
      </w:pPr>
      <w:r>
        <w:rPr/>
      </w:r>
    </w:p>
    <w:p>
      <w:pPr>
        <w:pStyle w:val="Normal"/>
        <w:rPr>
          <w:b/>
          <w:bCs/>
        </w:rPr>
      </w:pPr>
      <w:r>
        <w:rPr>
          <w:b/>
          <w:bCs/>
        </w:rP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Regulatory Compliance with CBUAE Mandate for Jaywan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comply with the UAE central government / CBUAE circular (including Central Bank mandate reference number 5480 2024 as stated) requiring all licensed financial institutions issuing Mastercard or Visa cards to issue co-badged cards that support both domestic (Jaywan) and international transactions, ensuring routing is configured accordingly.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Currently only Visa/Mastercard branded cards are issued and processed, and there is no issuance or processing of Jaywan mono-badged or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issue Jaywan co-badged cards in conjunction with Visa or Mastercard as mandated and shall ensure that domestic transactions are processed via the Jaywan domestic card scheme while international transactions are processed via the respective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CBUAE circular and AEP scheme documentation shall be available and formally adopted by the bank’s governance.</w:t>
              <w:br/>
              <w:t>• Card contracts with Visa/Mastercard and AEP shall support co-badging.</w:t>
              <w:br/>
              <w:t>• Internal card policy documents shall be updated to include Jaywan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At least one active Jaywan co-badged debit card product is available for issuance for eligible customer segments.</w:t>
              <w:br/>
              <w:t>• Card BIN ranges for Jaywan co-badged products are configured and approved by AEP and the respective international schemes.</w:t>
              <w:br/>
              <w:t>• Sample domestic test transactions using Jaywan co-badged cards are successfully routed to the Jaywan domestic scheme and approved.</w:t>
              <w:br/>
              <w:t>• Sample international test transactions using Jaywan co-badged cards are successfully routed to the partner international scheme and approved.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regulatory timelines change, the implementation plan shall be updated but the requirement to comply shall remain.</w:t>
              <w:br/>
              <w:t>• If co-badging is temporarily not supported by a specific international scheme for a certain BIN range, the bank shall pause issuance for that BIN until alignment is obtained while continuing for aligned BINs.</w:t>
              <w:br/>
              <w:t>• If an issued co-badged card cannot be routed domestically due to external scheme outage, the bank shall follow the scheme’s prescribed contingency routing or decline rules as per CBUAE guidance, if any.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Document: “Jaywan: UAE's new domestic card payment scheme; all your questions answered – Al Etihad Payments” – sections on CBUAE circular and bank obligations.</w:t>
              <w:br/>
              <w:t>• Document: Internal note referencing “central Bank mandate reference number 5480 2024 according to which cards must support both domestic as well as International transactions”.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Support for Jaywan Mono-Badged and Co-Badged Card Product Options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offer Jaywan mono-badge cards for local and GCC usage and Jaywan co-badge cards in partnership with international payment networks for both local and international usage, in alignment with AEP and CBUAE expectations for the UAE domestic card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Currently only international scheme cards (Visa/Mastercard) are issued; there are no Jaywan mono-badge or Jaywan co-badge card products available.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define, approve, and configure distinct Jaywan mono-badged and Jaywan co-badged card products, including product parameters, fees, limits, and usage restrictions, and make them available through relevant issuance channels (e.g. branches, digital onboarding) for eligible customers.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AEP product guidelines for mono-badge and co-badge configurations shall be available.</w:t>
              <w:br/>
              <w:t>• BIN ranges for mono-badge and co-badge products shall be allocated and activated.</w:t>
              <w:br/>
              <w:t>• Product governance committee approvals shall be obtained for new Jaywan products.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Product catalogue reflects at least one active Jaywan mono-badge and one Jaywan co-badge card product.</w:t>
              <w:br/>
              <w:t>• Card management system (PowerCARD or equivalent) configuration for each product is completed, including BINs, limits, and scheme parameters.</w:t>
              <w:br/>
              <w:t>• Test cards for mono-badge and co-badge Jaywan products are successfully generated and personalized.</w:t>
              <w:br/>
              <w:t>• Domestic test ATM withdrawals with mono-badge and co-badge Jaywan cards complete successfully through the domestic scheme, where applicable.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GCC acceptance for mono-badge is not yet enabled by AEP, the bank shall initially restrict mono-badge usage to UAE and update product terms accordingly.</w:t>
              <w:br/>
              <w:t>• If a customer segment is not eligible for co-badged cards (e.g. internal risk policy), the bank shall offer only mono-badge Jaywan where aligned with policy.</w:t>
              <w:br/>
              <w:t>• If future international scheme partnership changes (e.g. from Visa to Mastercard or vice versa), product definitions shall be updated in a controlled change process.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Document: “Al Etihad Payments – ‘Jaywan’ the UAE's First Domestic Card Scheme Introduced to Strengthen the UAE's Position as a Global Hub for Digital Payments” – sections describing mono-badge and co-badge options offered by licensed financial institutions.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Identification of Domestic vs International Transactions for Jaywan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ensure that for every Jaywan co-badged debit card ATM withdrawal, the transaction is automatically identified as domestic or international and routed accordingly to the appropriate scheme (Jaywan domestic scheme or partner international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 routing logic is designed around Visa/Mastercard rules only and domestic vs international identification is not aligned to a local UAE domestic Jaywan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ATM switch and PowerCARD shall apply scheme and geographic rules to classify each co-badged transaction as domestic or international and shall route domestic eligible transactions through the Jaywan scheme and non-eligible or international transactions through the relevant international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Clear domestic vs international routing rules and parameters shall be defined in line with AEP and partner scheme documentation.</w:t>
              <w:br/>
              <w:t>• BIN tables, country codes, and MCC/terminal configuration shall be maintained accurately in ATM switch and PowerCARD.</w:t>
              <w:br/>
              <w:t>• Connectivity with Jaywan domestic network and international networks shall be in place and tested.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Test transactions initiated from UAE ATMs with UAE-issued Jaywan co-badged cards are routed to the Jaywan domestic scheme.</w:t>
              <w:br/>
              <w:t>• Test transactions initiated from foreign ATMs with UAE-issued Jaywan co-badged cards are routed to the partner international scheme.</w:t>
              <w:br/>
              <w:t>• Routing decision logs clearly show classification and selected scheme for each test case.</w:t>
              <w:br/>
              <w:t>• Negative tests (e.g. misconfigured terminal country) trigger expected routing or controlled decline as per agreed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Jaywan domestic network is unavailable, the ATM switch shall either re-route (if allowed by scheme rules) or decline the transaction with an appropriate response code.</w:t>
              <w:br/>
              <w:t>• If the international network is unavailable for an international transaction, the transaction shall be declined with an appropriate response code; no domestic fallback shall occur where not permitted by scheme rules.</w:t>
              <w:br/>
              <w:t>• If routing rules conflict (e.g. ambiguous terminal configuration), the system shall follow a predefined default fall-back rule agreed with AEP and internal risk/compliance.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Document: “Objective and High-level Overview – central government of UAE circular” – statements that cards must support both domestic and international transactions and that card routing must be accordingly configured.</w:t>
              <w:br/>
              <w:t>• Document: “Al Etihad Payments – ‘Jaywan’ the UAE's First Domestic Card Scheme Introduced to Strengthen the UAE's Position as a Global Hub for Digital Payments” – readiness of financial infrastructure to activate Jaywan locally and globally.</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End-to-End ATM Withdrawal Flow for Jaywan Co-Badged Debit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support an end-to-end ATM cash withdrawal process for Jaywan co-badged debit cards, covering card insertion, PIN entry, amount entry, transaction routing from ATM to core banking to PowerCARD, scheme routing, authorization decision (approve/decline), cash dispensing or non-dispensing outcome, card return, receipt printing, SMS notification, and EOD posting to the customer account for approved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 ATM withdrawal flows are configured primarily for Visa/Mastercard cards; Jaywan co-badged cards and associated domestic routing are not yet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ATMs shall treat Jaywan co-badged debit cards as supported instruments, sending transactions through the bank’s switch to core banking and then to PowerCARD, where the domestic vs international routing and authorization decision are performed, and the ATM shall execute dispense, card return, and receipt printing in line with the authorization result, with subsequent SMS alerts and EOD postings for approved withdrawals.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ATM switch and ATM software shall be certified for Jaywan card acceptance.</w:t>
              <w:br/>
              <w:t>• Core banking and PowerCARD integration shall be configured to support Jaywan co-badged card transactions.</w:t>
              <w:br/>
              <w:t>• Customer accounts (e.g. CASA) shall be linked to the Jaywan co-badged debit card.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Successful end-to-end approved ATM withdrawal with a Jaywan co-badged debit card including cash dispensing, receipt printing, card return, SMS notification, and EOD ledger posting.</w:t>
              <w:br/>
              <w:t>• Successful declined ATM transaction (e.g. insufficient funds) with no cash dispense, card return, appropriate on-screen and receipt messages, and no posting to the customer account.</w:t>
              <w:br/>
              <w:t>• All transaction steps are visible in transaction logs across ATM, switch, core banking, and PowerCARD.</w:t>
              <w:br/>
              <w:t>• EOD process correctly aggregates and posts Jaywan ATM withdrawals to customer accounts and GLs without discrepancy.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the customer cancels the transaction before PIN entry completion, the ATM shall cancel the transaction and return the card without sending a financial request.</w:t>
              <w:br/>
              <w:t>• If authorization times out, the ATM shall reverse or cancel the transaction as per switch configuration, not dispense cash, and return the card.</w:t>
              <w:br/>
              <w:t>• If cash dispense fails after authorization (cash-out failure), the system shall generate appropriate reversals/adjustments in accordance with scheme and bank rules, with clear operations procedures.</w:t>
              <w:br/>
              <w:t>• If receipt printer is out of paper, the ATM shall still process the transaction and display an on-screen message indicating that a receipt is unavailable, while ensuring that SMS notification and postings continue as normal.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Document: BA Process Instructions – described ATM withdrawal scenario steps 1–6.2.4 for Jaywan co-badged debit cards.</w:t>
              <w:br/>
              <w:t>• Document: Meeting minutes between Business and IT Team – references to current VISA DMS, CBUAE DMS to-be, and discussions with Card Ops and GBO-ATM/CDM.</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Core Banking and PowerCARD Integration for Jaywan ATM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ensure that all Jaywan co-badged debit card ATM withdrawal transactions are processed via core banking and then PowerCARD in a controlled sequence, with core banking validating account-level controls and PowerCARD performing card and scheme-level authorization and routing.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 transaction flow for card schemes is established for Visa/Mastercard; Jaywan-specific message flows and scheme parameters are not yet incorporated.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ATM transactions for Jaywan co-badged debit cards shall be received by core banking for account checks (balance, limits, status) and forwarded to PowerCARD, which shall apply card, scheme, and routing rules and respond with an approve/decline decision that is then relayed back to the ATM via the switch.</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Message formats and fields for Jaywan transactions between ATM switch, core banking, and PowerCARD shall be defined and agreed.</w:t>
              <w:br/>
              <w:t>• Core banking and PowerCARD interfaces shall be enhanced where necessary to carry Jaywan-specific data elements.</w:t>
              <w:br/>
              <w:t>• End-to-end integration testing shall be completed.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Test transactions show core banking receiving requests with correct Jaywan-related fields and performing account validations.</w:t>
              <w:br/>
              <w:t>• PowerCARD receives transactions from core banking and returns correct authorization responses for both domestic and international test cases.</w:t>
              <w:br/>
              <w:t>• Transaction status is consistently reflected across ATM logs, core banking transaction history, and PowerCARD logs.</w:t>
              <w:br/>
              <w:t>• Error handling between core banking and PowerCARD (e.g. interface downtime) is clearly logged and operationally manageable.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the interface between core banking and PowerCARD is unavailable, the ATM switch shall receive an error response and decline the transaction gracefully without duplicate postings.</w:t>
              <w:br/>
              <w:t>• If core banking identifies an issue (e.g. blocked account), it shall decline the transaction without sending it to PowerCARD.</w:t>
              <w:br/>
              <w:t>• If PowerCARD is unavailable, core banking shall return an appropriate decline response for card-related operations.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Document: BA Process Instructions – steps 3 and 4 detailing transaction flow from ATM to core banking and then to PowerCARD.</w:t>
              <w:br/>
              <w:t>• Document: Meeting minutes (Dual messaging system process steps with Card Ops, GBO-ATM/CDM) – alignment of VISA DMS and CBUAE DMS flows.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Handling of Approved Jaywan ATM Withdrawal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ensure that when a Jaywan co-badged debit card ATM withdrawal is approved, the ATM dispenses the requested cash, returns the card, prints a receipt, triggers an SMS alert, and ensures that the transaction is posted to the customer’s account during EOD processing.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Approved ATM withdrawals for Visa/Mastercard cards already follow cash dispense, card return, receipt printing, and SMS alerts; these flows are not yet confirmed for Jaywan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Approved Jaywan co-badged debit card transactions shall be treated equivalently to existing card transactions with seamless customer experience, including all downstream postings and notifications configured to recognise Jaywan-specific transaction attributes where required.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ATM software and host shall support Jaywan card profiles and EMV parameters.</w:t>
              <w:br/>
              <w:t>• SMS platform shall be integrated with transaction monitoring to recognise Jaywan transactions.</w:t>
              <w:br/>
              <w:t>• EOD batch process shall incorporate Jaywan transactions in posting routines.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An approved Jaywan ATM withdrawal results in successful cash dispense equal to the requested amount.</w:t>
              <w:br/>
              <w:t>• The card is returned to the customer and the ATM session ends cleanly.</w:t>
              <w:br/>
              <w:t>• An SMS notification containing key transaction details (amount, date/time, channel) is sent to the registered mobile number within defined SLA.</w:t>
              <w:br/>
              <w:t>• The customer account ledger shows the withdrawal posted correctly after EOD, with correct value date and transaction description indicating ATM cash withdrawal.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SMS is temporarily unavailable, the transaction shall still be processed, and SMS shall not be retried as a financial requirement; this shall be logged for operational monitoring.</w:t>
              <w:br/>
              <w:t>• If EOD posting fails for a batch including Jaywan transactions, the batch shall be rerun or corrected following standard reconciliation and recovery procedures.</w:t>
              <w:br/>
              <w:t>• If the printed receipt fails, on-screen confirmation shall still be presented, and the SMS plus account posting shall remain the primary evidences.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Document: BA Process Instructions – steps 6.1.1 to 6.1.3 describing successful withdrawal, card return, receipt, SMS alert, and EOD account update.</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Handling of Rejected Jaywan ATM Withdrawal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ensure that when a Jaywan co-badged debit card ATM withdrawal is rejected, the ATM shall not dispense cash, shall return the card to the customer, may provide a decline receipt where configured, and an SMS decline message shall be triggered, with no financial entry posted to the customer’s account.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Declined Visa/Mastercard ATM transactions follow card return and no cash dispense, but decline SMS and specific Jaywan handling have not been formally defined.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Declined Jaywan ATM transactions shall be handled consistently with existing decline flows, with an explicit business rule that no debit entry is passed to the customer account in case of final decline, while still providing clear messaging to the customer through ATM screen, optional receipt, and SMS.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Decline reason codes for Jaywan transactions shall be mapped to ATM display and SMS templates.</w:t>
              <w:br/>
              <w:t>• Transaction processing systems shall differentiate between final declines and reversals/adjustments.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 declined Jaywan ATM transaction results in zero cash dispensed.</w:t>
              <w:br/>
              <w:t>• The card is returned to the customer following decline.</w:t>
              <w:br/>
              <w:t>• An SMS decline notification is sent to the registered mobile number, indicating that the transaction was declined (without disclosing sensitive reason codes).</w:t>
              <w:br/>
              <w:t>• No ledger entry is posted to the customer account for the declined transaction, as confirmed in transaction history and GL reconciliation.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the decline is due to technical timeout after authorization hold, the system shall post and reverse or cancel authorizations as per scheme and bank rules; no net customer debit shall remain for non-dispensed cash.</w:t>
              <w:br/>
              <w:t>• If the ATM is unable to print a decline receipt, the on-screen message and SMS shall serve as the primary communication channel.</w:t>
              <w:br/>
              <w:t>• If SMS is unavailable, the decline shall still be processed, with no financial posting, and the incident shall be logged for monitoring.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Document: BA Process Instructions – steps 6.2.1 to 6.2.4 describing rejected transactions, no cash, card return, SMS decline, and no account entry.</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BR-008</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GL Configuration and Finance Readiness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configure General Ledger (GL) accounts and mapping rules to support Jaywan mono-badged and co-badged card transactions, ensuring that Finance-confirmed GL structures are used for ATM withdrawals, fees, scheme settlements, and reconciliation.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GL structures exist for Visa/Mastercard but Jaywan-specific GLs and mappings are not fully configured in the card and core banking systems.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Jaywan-related ATM and other card transactions shall post to the appropriate GL accounts as confirmed by Finance, enabling accurate financial reporting, settlement, and reconciliation with AEP and partner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Finance team shall provide finalized GL account numbers and mapping rules for Jaywan.</w:t>
              <w:br/>
              <w:t>• Card systems and core banking shall support configuration of additional GL mappings by product/scheme.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All Jaywan ATM withdrawals during pilot/post-live periods are posted to the correct GL accounts with no unidentified balances.</w:t>
              <w:br/>
              <w:t>• Reconciliation between transaction volumes/values and GL postings shows no unexplained differences beyond agreed tolerances.</w:t>
              <w:br/>
              <w:t>• Finance sign-off is obtained on a sample of GL postings for Jaywan transactions.</w:t>
              <w:br/>
              <w:t>• Settlement files from AEP and partner schemes reconcile to GL balances for Jaywan products.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 GL posting fails due to configuration error, the transaction shall be flagged for manual correction and Finance shall be notified via standard exception management.</w:t>
              <w:br/>
              <w:t>• If new GL structures are required due to regulatory or scheme changes, a controlled change management process shall be followed.</w:t>
              <w:br/>
              <w:t>• If certain minor fees or charges cannot initially be split by scheme in GL, they shall be temporarily grouped under a generic card fees GL with clear disclosure until detailed mapping is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Document: Meeting minutes – section “GLs Details” indicating that GL details are ready based on confirmation from Finance team.</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BR-009</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ATM and Card Operations Process Documentation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document the end-to-end operational process flows for Jaywan ATM transactions, including current SMS flows (ATM, POS), current Visa DMS flows (Visa e-commerce and tokenization), and the to-be CBUAE DMS flows for Jaywan e-commerce and tokenized transactions, ensuring alignment between Card Operations, GBO-ATM/CDM, Business, and IT.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documentation focuses on current SMS (ATM, POS) and Visa DMS processes; Jaywan and CBUAE DMS to-be flows are in progress and not fully baselined.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Documented process flows shall explicitly include Jaywan ATM withdrawal steps, domestic vs international routing, and linkages to reconciliation, reporting, and dispute handling, and shall be maintained as controlled documents for reference by operations and IT.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Business and IT stakeholders shall complete discovery and clarification sessions.</w:t>
              <w:br/>
              <w:t>• Original reference process documents and reports from CBUAE/AEP shall be available.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Finalized process flow documents for Jaywan ATM withdrawals are reviewed and signed off by Card Ops, GBO-ATM/CDM, Business, and IT.</w:t>
              <w:br/>
              <w:t>• Process documents clearly distinguish as-is Visa/Mastercard flows and to-be Jaywan flows.</w:t>
              <w:br/>
              <w:t>• Operations staff confirm that documented flows reflect real operational steps through walk-through sessions.</w:t>
              <w:br/>
              <w:t>• Version-controlled copies of process documents are stored in the bank’s official repository.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new requirements emerge from AEP or CBUAE, process documents shall be updated through change control.</w:t>
              <w:br/>
              <w:t>• If certain flows (e.g. tokenized POS transactions) are deferred, they shall still be marked as future scope in the documentation.</w:t>
              <w:br/>
              <w:t>• If discrepancies are found between practice and documented processes, an alignment exercise shall be initiated and tracked to closure.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Document: Meeting minutes – points on “Reviewed the Dual messaging system process steps with Card Ops, GBO-ATM/CDM” and “Documented the process flow for current SMS (ATM, POS), Current VISA DMS, CBUAE DMS (To be)”.</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BR-010</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Inclusion of POS Tokenized Transactions in Jaywan Scope Assessment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assess and determine whether POS tokenized transactions using Jaywan mono-badged and co-badged cards are in scope for the current or subsequent phases and shall capture any impacts on ATM-linked processes, reporting, and reconciliation where relevant.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POS tokenized transactions are handled under current Visa DMS and existing processes; Jaywan-specific tokenized POS treatment is not yet defined and was highlighted as a potential in-scope area.</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document the decision on including POS tokenized transactions for Jaywan, with clear requirements if in-scope, and shall ensure that any overlap with ATM card lifecycle (e.g. common card product, alerts, limits) is considered in the business requirements and design.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Clarification from AEP and schemes on support for tokenized POS transactions for Jaywan.</w:t>
              <w:br/>
              <w:t>• Internal stakeholder decision regarding phased implementation priorities.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 formal decision document or section in the BRD indicates whether POS tokenized transactions are in-scope for Jaywan in the current phase.</w:t>
              <w:br/>
              <w:t>• If in-scope, high-level business requirements for tokenized POS are documented and linked to downstream design work.</w:t>
              <w:br/>
              <w:t>• If out-of-scope, impacts on current Visa DMS and CBUAE DMS documentation are clearly noted.</w:t>
              <w:br/>
              <w:t>• Meeting minutes reflect closure of the question on POS tokenized transactions scope.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the bank initially decides that POS tokenized transactions are out-of-scope for Jaywan, they shall be explicitly tagged for a future enhancement phase.</w:t>
              <w:br/>
              <w:t>• If regulatory guidance later mandates inclusion, the scope decision shall be revisited and updated.</w:t>
              <w:br/>
              <w:t>• If partial inclusion is required (e.g. only domestic tokenized POS), this shall be clearly captured and communicated.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Document: Meeting minutes – point “POS Tokenized Transactions – K pointed that POS Tokenized transactions may need to be in scope.”</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BR-011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Reversal, Refund, and Chargeback Treatment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define and implement business rules and operational processes for reversals, refunds, and chargebacks related to Jaywan mono-badged and co-badged transactions, aligning where possible with existing Visa and Mastercard practices while adhering to CBUAE and AEP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Reversal, refund, and chargeback processes are established for Visa/Mastercard, but Jaywan-specific flows are still being discussed and clarified between business, operations, and IT.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maintain clear procedures for handling reversals (e.g. partial/failed dispense), merchant/customer-initiated refunds, and chargebacks for Jaywan transactions, including clear roles, timelines, and system behaviors, integrated into existing dispute management and reconciliation processes.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AEP and CBUAE guidance or rulebooks for Jaywan dispute handling shall be available.</w:t>
              <w:br/>
              <w:t>• Internal dispute management systems shall be capable of capturing scheme-type and handling Jaywan-specific workflows.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Sample test cases for Jaywan reversal, refund, and chargeback are executed and verified end-to-end (from customer complaint to financial adjustment and scheme settlement).</w:t>
              <w:br/>
              <w:t>• Dispute management screens and reports clearly identify Jaywan vs non-Jaywan cases.</w:t>
              <w:br/>
              <w:t>• Operations procedures for Jaywan disputes are documented and trained.</w:t>
              <w:br/>
              <w:t>• No unresolved orphan entries remain in reconciliation due to incorrectly handled Jaywan disputes.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scheme rules for Jaywan diverge significantly from Visa/Mastercard, dedicated Jaywan dispute workflows shall be configured.</w:t>
              <w:br/>
              <w:t>• If a dispute is raised for a co-badged transaction processed via the international scheme, the existing international scheme rules shall apply while still tracking the underlying card as Jaywan co-badged.</w:t>
              <w:br/>
              <w:t>• If the bank cannot automatically process a specific Jaywan dispute scenario, a manual fallback process with appropriate controls shall be defined.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Document: Meeting minutes – point “Updates on Reversal, Refunds, Chargebacks – A updated …” indicating ongoing clarification.</w:t>
              <w:br/>
              <w:t>• Document: “Jaywan: UAE's new domestic card payment scheme; all your questions answered – Al Etihad Payments” for high-level scheme positioning, implying need for full lifecycle handling.</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BR-012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Reporting and Reconciliation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define and implement reporting and reconciliation capabilities for Jaywan mono-badged and co-badged transactions, including internal operational reports, regulatory reports, and scheme settlement reconciliations, ensuring that Jaywan-specific data is clearly identifiable and reconcilable.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 reports and reconciliations focus on Visa/Mastercard; Jaywan-related reports are not yet fully defined, and clarification plus original reports from CBUAE have recently been obtained.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produce periodic reports (daily, EOD, monthly, and as required by CBUAE/AEP) covering Jaywan transaction volumes, values, approvals/declines, disputes, and settlement summaries, and shall reconcile these against GL postings and scheme settlement files.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CBUAE and AEP reporting templates and requirements shall be received and analyzed.</w:t>
              <w:br/>
              <w:t>• Transaction data stores shall capture scheme identifiers and other attributes needed for segregation and aggregation of Jaywan data.</w:t>
              <w:br/>
              <w:t>• Reconciliation documentation from Finance and Operations shall be updated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At least one Jaywan-specific operational report is generated daily showing ATM transactions by scheme, product, and channel.</w:t>
              <w:br/>
              <w:t>• Monthly summary reports include Jaywan metrics required by CBUAE/AEP.</w:t>
              <w:br/>
              <w:t>• Reconciliation packs demonstrate that transactional data, GL postings, and scheme settlements for Jaywan balance within agreed tolerances.</w:t>
              <w:br/>
              <w:t>• Stakeholders (Operations, Finance, Compliance) sign off on the adequacy and accuracy of Jaywan reporting.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certain data elements are initially unavailable, interim manual reports may be prepared using downloads from card systems and core banking until automation is completed.</w:t>
              <w:br/>
              <w:t>• If CBUAE updates reporting formats, the bank shall update its reporting solutions accordingly.</w:t>
              <w:br/>
              <w:t>• If reconciliation breaks are identified, exception handling and root-cause analysis processes shall be invoked and tracked.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Document: Email/Minutes – section “Reports – Clarified queries with business and requested for original report from CBUAE – R has shared the original report.”</w:t>
              <w:br/>
              <w:t>• Document: Email/Minutes – section “F had requested for documentation on the reconciliation.”</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BR-013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Access and Role Management for Jaywan-Related Functions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define and implement role-based access controls for Jaywan-related configuration, operations, reporting, and dispute management functions across systems (ATM switch, PowerCARD, core banking, reconciliation tools), ensuring that only authorized users can perform Jaywan-specific activities.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Existing roles and access profiles are oriented around Visa/Mastercard activities; Jaywan-specific access segmentation is not explicitly defined.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System user roles shall be updated to include Jaywan-specific permissions (e.g. scheme configuration, GL mapping, report access, dispute handling) with appropriate segregation of duties, audit trails, and approvals.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Jaywan-related process and system functions shall be identified and mapped to user roles.</w:t>
              <w:br/>
              <w:t>• Information Security and Compliance teams shall review proposed access models.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Access matrices show Jaywan-related permissions allocated only to designated roles.</w:t>
              <w:br/>
              <w:t>• User provisioning and de-provisioning processes include Jaywan roles with approval workflows.</w:t>
              <w:br/>
              <w:t>• System audit logs demonstrate that sensitive Jaywan configuration changes are traceable to named users.</w:t>
              <w:br/>
              <w:t>• Periodic access recertification includes review of Jaywan-related privileges.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 user urgently requires temporary Jaywan access (e.g. for an incident), an emergency access process with time-bound rights and additional monitoring shall be followed.</w:t>
              <w:br/>
              <w:t>• If a conflict of interest is identified in a user’s access combination (e.g. configuration plus reconciliation), access shall be segregated and corrected.</w:t>
              <w:br/>
              <w:t>• If certain shared generic accounts exist in legacy processes, they shall be phased out or controlled with compensating controls.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Document: General security and access control expectations implied from CBUAE regulatory context and internal project meeting notes (BFSI standard practice for scheme introduction).</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BR-014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Jaywan Awareness and Customer Communication Alignment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align its customer communications and awareness activities for Jaywan mono-badged and co-badged cards with AEP’s planned awareness campaign, ensuring that customers understand key features, domestic vs international usage, fees, and security aspects of Jaywan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 customer communications are focused on existing card products; there is no Jaywan-specific awareness content or alignment with AEP campaigns.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update its customer-facing materials (website, FAQs, brochures, ATM screen messages, statements) to explain Jaywan cards and shall coordinate with AEP’s awareness campaign to ensure consistent and accurate messaging.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AEP awareness campaign materials and key messages shall be received.</w:t>
              <w:br/>
              <w:t>• Internal Marketing and Compliance approvals shall be obtained for bank-specific adaptations.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Customer communications mention Jaywan mono-badged and co-badged options and their intended usage (domestic and international).</w:t>
              <w:br/>
              <w:t>• ATM on-screen messaging for Jaywan transactions is clear and aligned with scheme requirements.</w:t>
              <w:br/>
              <w:t>• Contact centre scripts include Jaywan-related FAQs and escalation guidance.</w:t>
              <w:br/>
              <w:t>• AEP has reviewed or been informed (where required) of the bank’s Jaywan communication approach.</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AEP campaign timelines change, the bank shall still provide minimum mandatory disclosures for Jaywan at product launch.</w:t>
              <w:br/>
              <w:t>• If certain communication channels are not immediately updated (e.g. older ATM UI), the bank shall prioritize high-impact channels (website, contact centre, digital banking) while planning phased updates for others.</w:t>
              <w:br/>
              <w:t>• If new Jaywan features are introduced (e.g. new wallet integrations), communications shall be updated accordingly.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Document: “Al Etihad Payments – ‘Jaywan’ the UAE's First Domestic Card Scheme Introduced to Strengthen the UAE's Position as a Global Hub for Digital Payments” – reference to AEP launching an awareness campaign in April 2025 to highlight Jaywan features and benefits.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BR-015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Discovery Sessions for Additional Jaywan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conduct structured discovery sessions for additional requirements related to Jaywan mono-badged and co-badged cards, following a defined schedule and agenda, to capture all open queries between Business and IT, VISA process adoption references, and Jaywan-specific needs for inclusion in subsequent BRD updates.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Initial meetings and minutes indicate open queries and ongoing clarification; a structured discovery schedule has been proposed for additional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Discovery sessions shall be executed as per agreed schedule, with documented outcomes, decisions, and actions feeding into the Jaywan BRD and subsequent functional/technical specifications.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Meeting schedule with titles, dates, and time slots shall be agreed.</w:t>
              <w:br/>
              <w:t>• Stakeholders (Business, IT, Card Ops, Manager, external vendors if needed) shall be identified and invited.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Discovery session calendar is created with subjects explicitly referencing Jaywan mono-badged and co-badged card requirements.</w:t>
              <w:br/>
              <w:t>• Minutes of each discovery session capture decisions, new requirements, and open issues.</w:t>
              <w:br/>
              <w:t>• BRD is updated to reflect outcomes from discovery sessions and re-baselined as needed.</w:t>
              <w:br/>
              <w:t>• Outstanding questions for AEP or CBUAE are formally documented and tracked.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a scheduled discovery session cannot proceed, it shall be rescheduled within an agreed timeframe to avoid slippage.</w:t>
              <w:br/>
              <w:t>• If certain topics require deeper technical workshops, break-out sessions shall be organized.</w:t>
              <w:br/>
              <w:t>• If new regulatory information arrives mid-discovery, session agendas shall be updated to incorporate review and impact assessment.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Document: Meeting schedule – table “Discovery sessions for additional requirements for Jaywan Mono badged cards, Jaywan co badged cards”.</w:t>
              <w:br/>
              <w:t>• Document: Meeting agenda – points on reviewing process documentation, clarification of queries between IT and Business, VISA process clarification, and queries to be requested to AEP.</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BR-016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Future Enablement of Jaywan on Digital Wallets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 The bank shall define high-level business requirements to support the future enablement of Jaywan cards (mono-badged and co-badged where applicable) in digital wallets such as Samsung Wallet initially, followed by Google Pay and Apple Pay, aligned with AEP’s rollout roadmap.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 Current digital wallet enablement focuses on existing international schemes; Jaywan cards are not yet provisioned or supported on Samsung Wallet, Google Pay, or Apple Pay.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 The bank shall be prepared, from a business and process perspective, to provision Jaywan cards to supported digital wallets and process wallet-based Jaywan transactions while maintaining consistent authorization, routing, and notification behavior similar to physical card ATM and POS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 AEP and wallet provider integration and certification frameworks shall be available.</w:t>
              <w:br/>
              <w:t>• Tokenization and wallet provisioning policies shall be defined for Jaywan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 High-level requirements for wallet provisioning, limits, and security for Jaywan are documented.</w:t>
              <w:br/>
              <w:t>• Internal stakeholders (Digital, Cards, Risk, Compliance) review and agree on wallet enablement approach for Jaywan.</w:t>
              <w:br/>
              <w:t>• Dependencies on AEP and wallet providers are documented with indicative timelines.</w:t>
              <w:br/>
              <w:t>• BRD references digital wallet enablement as a planned capability, even if not part of initial go-live.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 If Samsung Wallet launch for Jaywan is delayed, the bank shall adjust its internal timelines while keeping requirements documented.</w:t>
              <w:br/>
              <w:t>• If Google Pay or Apple Pay are not yet supported for Jaywan by AEP, their enablement shall remain in future scope.</w:t>
              <w:br/>
              <w:t>• If certain card products are not eligible for wallet provisioning due to risk policies, this shall be documented clearly in product definitions.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 Document: “Al Etihad Payments – Jaywan: UAE's new domestic card payment scheme; all your questions answered” – reference to current support for Samsung Wallet and planned implementation of Jaywan on Google Pay and Apple Pay.</w:t>
            </w:r>
          </w:p>
        </w:tc>
      </w:tr>
    </w:tbl>
    <w:p>
      <w:pPr>
        <w:pStyle w:val="Normal"/>
        <w:rPr/>
      </w:pPr>
      <w:r>
        <w:rPr/>
      </w:r>
    </w:p>
    <w:p>
      <w:pPr>
        <w:pStyle w:val="Normal"/>
        <w:rPr>
          <w:b/>
          <w:bCs/>
        </w:rPr>
      </w:pPr>
      <w:r>
        <w:rPr>
          <w:b/>
          <w:bCs/>
        </w:rPr>
        <w:t>Requirement Traceability Matrix</w:t>
      </w:r>
    </w:p>
    <w:tbl>
      <w:tblPr>
        <w:tblW w:w="9417" w:type="dxa"/>
        <w:jc w:val="left"/>
        <w:tblInd w:w="55" w:type="dxa"/>
        <w:tblLayout w:type="fixed"/>
        <w:tblCellMar>
          <w:top w:w="55" w:type="dxa"/>
          <w:left w:w="55" w:type="dxa"/>
          <w:bottom w:w="55" w:type="dxa"/>
          <w:right w:w="55" w:type="dxa"/>
        </w:tblCellMar>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1872"/>
        <w:gridCol w:w="1872"/>
        <w:gridCol w:w="1872"/>
        <w:gridCol w:w="2351"/>
        <w:gridCol w:w="1450"/>
      </w:tblGrid>
      <w:tr>
        <w:trPr/>
        <w:tc>
          <w:tcPr>
            <w:tcW w:w="1872" w:type="dxa"/>
            <w:tcBorders>
              <w:top w:val="single" w:sz="8" w:space="0" w:color="000000"/>
              <w:left w:val="single" w:sz="8" w:space="0" w:color="000000"/>
              <w:bottom w:val="single" w:sz="8" w:space="0" w:color="000000"/>
            </w:tcBorders>
          </w:tcPr>
          <w:p>
            <w:pPr>
              <w:pStyle w:val="Normal"/>
              <w:spacing w:before="0" w:after="160"/>
              <w:rPr/>
            </w:pPr>
            <w:r>
              <w:rPr/>
              <w:t>REQ ID</w:t>
            </w:r>
          </w:p>
        </w:tc>
        <w:tc>
          <w:tcPr>
            <w:tcW w:w="1872" w:type="dxa"/>
            <w:tcBorders>
              <w:top w:val="single" w:sz="8" w:space="0" w:color="000000"/>
              <w:left w:val="single" w:sz="8" w:space="0" w:color="000000"/>
              <w:bottom w:val="single" w:sz="8" w:space="0" w:color="000000"/>
            </w:tcBorders>
          </w:tcPr>
          <w:p>
            <w:pPr>
              <w:pStyle w:val="Normal"/>
              <w:spacing w:before="0" w:after="160"/>
              <w:rPr/>
            </w:pPr>
            <w:r>
              <w:rPr/>
              <w:t>Description</w:t>
            </w:r>
          </w:p>
        </w:tc>
        <w:tc>
          <w:tcPr>
            <w:tcW w:w="1872" w:type="dxa"/>
            <w:tcBorders>
              <w:top w:val="single" w:sz="8" w:space="0" w:color="000000"/>
              <w:left w:val="single" w:sz="8" w:space="0" w:color="000000"/>
              <w:bottom w:val="single" w:sz="8" w:space="0" w:color="000000"/>
            </w:tcBorders>
          </w:tcPr>
          <w:p>
            <w:pPr>
              <w:pStyle w:val="Normal"/>
              <w:spacing w:before="0" w:after="160"/>
              <w:rPr/>
            </w:pPr>
            <w:r>
              <w:rPr/>
              <w:t>Source Channel</w:t>
            </w:r>
          </w:p>
        </w:tc>
        <w:tc>
          <w:tcPr>
            <w:tcW w:w="2351" w:type="dxa"/>
            <w:tcBorders>
              <w:top w:val="single" w:sz="8" w:space="0" w:color="000000"/>
              <w:left w:val="single" w:sz="8" w:space="0" w:color="000000"/>
              <w:bottom w:val="single" w:sz="8" w:space="0" w:color="000000"/>
            </w:tcBorders>
          </w:tcPr>
          <w:p>
            <w:pPr>
              <w:pStyle w:val="Normal"/>
              <w:spacing w:before="0" w:after="160"/>
              <w:rPr/>
            </w:pPr>
            <w:r>
              <w:rPr/>
              <w:t>Impacted System</w:t>
            </w:r>
          </w:p>
        </w:tc>
        <w:tc>
          <w:tcPr>
            <w:tcW w:w="1450"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Outcome</w:t>
            </w:r>
          </w:p>
        </w:tc>
      </w:tr>
      <w:tr>
        <w:trPr/>
        <w:tc>
          <w:tcPr>
            <w:tcW w:w="1872" w:type="dxa"/>
            <w:tcBorders>
              <w:left w:val="single" w:sz="8" w:space="0" w:color="000000"/>
              <w:bottom w:val="single" w:sz="8" w:space="0" w:color="000000"/>
            </w:tcBorders>
          </w:tcPr>
          <w:p>
            <w:r>
              <w:t>BR-001</w:t>
            </w:r>
          </w:p>
        </w:tc>
        <w:tc>
          <w:tcPr>
            <w:tcW w:w="1872" w:type="dxa"/>
            <w:tcBorders>
              <w:left w:val="single" w:sz="8" w:space="0" w:color="000000"/>
              <w:bottom w:val="single" w:sz="8" w:space="0" w:color="000000"/>
            </w:tcBorders>
          </w:tcPr>
          <w:p>
            <w:r>
              <w:t>Ensure compliance with CBUAE mandate to issue Jaywan co-badged cards supporting domestic and international transactions.</w:t>
            </w:r>
          </w:p>
        </w:tc>
        <w:tc>
          <w:tcPr>
            <w:tcW w:w="1872" w:type="dxa"/>
            <w:tcBorders>
              <w:left w:val="single" w:sz="8" w:space="0" w:color="000000"/>
              <w:bottom w:val="single" w:sz="8" w:space="0" w:color="000000"/>
            </w:tcBorders>
          </w:tcPr>
          <w:p>
            <w:r>
              <w:t>Regulatory Mandate / CBUAE Circular</w:t>
            </w:r>
          </w:p>
        </w:tc>
        <w:tc>
          <w:tcPr>
            <w:tcW w:w="2351" w:type="dxa"/>
            <w:tcBorders>
              <w:left w:val="single" w:sz="8" w:space="0" w:color="000000"/>
              <w:bottom w:val="single" w:sz="8" w:space="0" w:color="000000"/>
            </w:tcBorders>
          </w:tcPr>
          <w:p>
            <w:r>
              <w:t>Card Management System, Core Banking, ATM Switch</w:t>
            </w:r>
          </w:p>
        </w:tc>
        <w:tc>
          <w:tcPr>
            <w:tcW w:w="1450" w:type="dxa"/>
            <w:tcBorders>
              <w:left w:val="single" w:sz="8" w:space="0" w:color="000000"/>
              <w:bottom w:val="single" w:sz="8" w:space="0" w:color="000000"/>
              <w:right w:val="single" w:sz="8" w:space="0" w:color="000000"/>
            </w:tcBorders>
          </w:tcPr>
          <w:p>
            <w:r>
              <w:t>Bank card portfolio and routing comply with Jaywan co-badging regulatory requirements.</w:t>
            </w:r>
          </w:p>
        </w:tc>
      </w:tr>
      <w:tr>
        <w:tc>
          <w:tcPr>
            <w:tcW w:type="dxa" w:w="1872"/>
          </w:tcPr>
          <w:p>
            <w:r>
              <w:t>BR-002</w:t>
            </w:r>
          </w:p>
        </w:tc>
        <w:tc>
          <w:tcPr>
            <w:tcW w:type="dxa" w:w="1872"/>
          </w:tcPr>
          <w:p>
            <w:r>
              <w:t>Offer Jaywan mono-badge and co-badge card products for domestic, GCC, and international usage.</w:t>
            </w:r>
          </w:p>
        </w:tc>
        <w:tc>
          <w:tcPr>
            <w:tcW w:type="dxa" w:w="1872"/>
          </w:tcPr>
          <w:p>
            <w:r>
              <w:t>AEP Scheme Requirements</w:t>
            </w:r>
          </w:p>
        </w:tc>
        <w:tc>
          <w:tcPr>
            <w:tcW w:type="dxa" w:w="2351"/>
          </w:tcPr>
          <w:p>
            <w:r>
              <w:t>Card Management System, Product Catalogue</w:t>
            </w:r>
          </w:p>
        </w:tc>
        <w:tc>
          <w:tcPr>
            <w:tcW w:type="dxa" w:w="1450"/>
          </w:tcPr>
          <w:p>
            <w:r>
              <w:t>Customers can obtain Jaywan mono-badged and co-badged cards as per scheme guidelines.</w:t>
            </w:r>
          </w:p>
        </w:tc>
      </w:tr>
      <w:tr>
        <w:tc>
          <w:tcPr>
            <w:tcW w:type="dxa" w:w="1872"/>
          </w:tcPr>
          <w:p>
            <w:r>
              <w:t>BR-003</w:t>
            </w:r>
          </w:p>
        </w:tc>
        <w:tc>
          <w:tcPr>
            <w:tcW w:type="dxa" w:w="1872"/>
          </w:tcPr>
          <w:p>
            <w:r>
              <w:t>Classify and route Jaywan co-badged card transactions as domestic or international to the correct scheme.</w:t>
            </w:r>
          </w:p>
        </w:tc>
        <w:tc>
          <w:tcPr>
            <w:tcW w:type="dxa" w:w="1872"/>
          </w:tcPr>
          <w:p>
            <w:r>
              <w:t>Regulatory Mandate / Scheme Rules</w:t>
            </w:r>
          </w:p>
        </w:tc>
        <w:tc>
          <w:tcPr>
            <w:tcW w:type="dxa" w:w="2351"/>
          </w:tcPr>
          <w:p>
            <w:r>
              <w:t>ATM Switch, PowerCARD, Core Banking</w:t>
            </w:r>
          </w:p>
        </w:tc>
        <w:tc>
          <w:tcPr>
            <w:tcW w:type="dxa" w:w="1450"/>
          </w:tcPr>
          <w:p>
            <w:r>
              <w:t>Transactions are sent to Jaywan domestically and to international networks abroad as required.</w:t>
            </w:r>
          </w:p>
        </w:tc>
      </w:tr>
      <w:tr>
        <w:tc>
          <w:tcPr>
            <w:tcW w:type="dxa" w:w="1872"/>
          </w:tcPr>
          <w:p>
            <w:r>
              <w:t>BR-004</w:t>
            </w:r>
          </w:p>
        </w:tc>
        <w:tc>
          <w:tcPr>
            <w:tcW w:type="dxa" w:w="1872"/>
          </w:tcPr>
          <w:p>
            <w:r>
              <w:t>Implement complete ATM withdrawal flow for Jaywan co-badged debit cards including authorization and customer experience.</w:t>
            </w:r>
          </w:p>
        </w:tc>
        <w:tc>
          <w:tcPr>
            <w:tcW w:type="dxa" w:w="1872"/>
          </w:tcPr>
          <w:p>
            <w:r>
              <w:t>Business Process Design</w:t>
            </w:r>
          </w:p>
        </w:tc>
        <w:tc>
          <w:tcPr>
            <w:tcW w:type="dxa" w:w="2351"/>
          </w:tcPr>
          <w:p>
            <w:r>
              <w:t>ATM, ATM Switch, Core Banking, PowerCARD, SMS Gateway</w:t>
            </w:r>
          </w:p>
        </w:tc>
        <w:tc>
          <w:tcPr>
            <w:tcW w:type="dxa" w:w="1450"/>
          </w:tcPr>
          <w:p>
            <w:r>
              <w:t>Customers can perform ATM withdrawals using Jaywan co-badged cards with seamless experience.</w:t>
            </w:r>
          </w:p>
        </w:tc>
      </w:tr>
      <w:tr>
        <w:tc>
          <w:tcPr>
            <w:tcW w:type="dxa" w:w="1872"/>
          </w:tcPr>
          <w:p>
            <w:r>
              <w:t>BR-005</w:t>
            </w:r>
          </w:p>
        </w:tc>
        <w:tc>
          <w:tcPr>
            <w:tcW w:type="dxa" w:w="1872"/>
          </w:tcPr>
          <w:p>
            <w:r>
              <w:t>Integrate core banking and PowerCARD to process Jaywan ATM transactions in sequence.</w:t>
            </w:r>
          </w:p>
        </w:tc>
        <w:tc>
          <w:tcPr>
            <w:tcW w:type="dxa" w:w="1872"/>
          </w:tcPr>
          <w:p>
            <w:r>
              <w:t>Internal Architecture Requirement</w:t>
            </w:r>
          </w:p>
        </w:tc>
        <w:tc>
          <w:tcPr>
            <w:tcW w:type="dxa" w:w="2351"/>
          </w:tcPr>
          <w:p>
            <w:r>
              <w:t>Core Banking, PowerCARD, Middleware</w:t>
            </w:r>
          </w:p>
        </w:tc>
        <w:tc>
          <w:tcPr>
            <w:tcW w:type="dxa" w:w="1450"/>
          </w:tcPr>
          <w:p>
            <w:r>
              <w:t>Jaywan ATM transactions are validated at account and card levels before authorization.</w:t>
            </w:r>
          </w:p>
        </w:tc>
      </w:tr>
      <w:tr>
        <w:tc>
          <w:tcPr>
            <w:tcW w:type="dxa" w:w="1872"/>
          </w:tcPr>
          <w:p>
            <w:r>
              <w:t>BR-006</w:t>
            </w:r>
          </w:p>
        </w:tc>
        <w:tc>
          <w:tcPr>
            <w:tcW w:type="dxa" w:w="1872"/>
          </w:tcPr>
          <w:p>
            <w:r>
              <w:t>Define behavior of approved Jaywan ATM transactions including cash dispense, SMS, and EOD posting.</w:t>
            </w:r>
          </w:p>
        </w:tc>
        <w:tc>
          <w:tcPr>
            <w:tcW w:type="dxa" w:w="1872"/>
          </w:tcPr>
          <w:p>
            <w:r>
              <w:t>Customer Journey Requirement</w:t>
            </w:r>
          </w:p>
        </w:tc>
        <w:tc>
          <w:tcPr>
            <w:tcW w:type="dxa" w:w="2351"/>
          </w:tcPr>
          <w:p>
            <w:r>
              <w:t>ATM, Core Banking, PowerCARD, SMS, Batch Processing</w:t>
            </w:r>
          </w:p>
        </w:tc>
        <w:tc>
          <w:tcPr>
            <w:tcW w:type="dxa" w:w="1450"/>
          </w:tcPr>
          <w:p>
            <w:r>
              <w:t>Approved Jaywan withdrawals are properly dispensed, notified, and posted to accounts.</w:t>
            </w:r>
          </w:p>
        </w:tc>
      </w:tr>
      <w:tr>
        <w:tc>
          <w:tcPr>
            <w:tcW w:type="dxa" w:w="1872"/>
          </w:tcPr>
          <w:p>
            <w:r>
              <w:t>BR-007</w:t>
            </w:r>
          </w:p>
        </w:tc>
        <w:tc>
          <w:tcPr>
            <w:tcW w:type="dxa" w:w="1872"/>
          </w:tcPr>
          <w:p>
            <w:r>
              <w:t>Define behavior of rejected Jaywan ATM transactions with no cash and no account posting.</w:t>
            </w:r>
          </w:p>
        </w:tc>
        <w:tc>
          <w:tcPr>
            <w:tcW w:type="dxa" w:w="1872"/>
          </w:tcPr>
          <w:p>
            <w:r>
              <w:t>Customer Journey / Risk Control</w:t>
            </w:r>
          </w:p>
        </w:tc>
        <w:tc>
          <w:tcPr>
            <w:tcW w:type="dxa" w:w="2351"/>
          </w:tcPr>
          <w:p>
            <w:r>
              <w:t>ATM, ATM Switch, Core Banking, SMS</w:t>
            </w:r>
          </w:p>
        </w:tc>
        <w:tc>
          <w:tcPr>
            <w:tcW w:type="dxa" w:w="1450"/>
          </w:tcPr>
          <w:p>
            <w:r>
              <w:t>Declined Jaywan withdrawals do not impact customer balances and are clearly communicated.</w:t>
            </w:r>
          </w:p>
        </w:tc>
      </w:tr>
      <w:tr>
        <w:tc>
          <w:tcPr>
            <w:tcW w:type="dxa" w:w="1872"/>
          </w:tcPr>
          <w:p>
            <w:r>
              <w:t>BR-008</w:t>
            </w:r>
          </w:p>
        </w:tc>
        <w:tc>
          <w:tcPr>
            <w:tcW w:type="dxa" w:w="1872"/>
          </w:tcPr>
          <w:p>
            <w:r>
              <w:t>Configure GL accounts and mappings for Jaywan transaction financial posting.</w:t>
            </w:r>
          </w:p>
        </w:tc>
        <w:tc>
          <w:tcPr>
            <w:tcW w:type="dxa" w:w="1872"/>
          </w:tcPr>
          <w:p>
            <w:r>
              <w:t>Finance Requirement</w:t>
            </w:r>
          </w:p>
        </w:tc>
        <w:tc>
          <w:tcPr>
            <w:tcW w:type="dxa" w:w="2351"/>
          </w:tcPr>
          <w:p>
            <w:r>
              <w:t>Core Banking, Card System, GL/Finance</w:t>
            </w:r>
          </w:p>
        </w:tc>
        <w:tc>
          <w:tcPr>
            <w:tcW w:type="dxa" w:w="1450"/>
          </w:tcPr>
          <w:p>
            <w:r>
              <w:t>Jaywan transaction values are accurately reflected in financial ledgers.</w:t>
            </w:r>
          </w:p>
        </w:tc>
      </w:tr>
      <w:tr>
        <w:tc>
          <w:tcPr>
            <w:tcW w:type="dxa" w:w="1872"/>
          </w:tcPr>
          <w:p>
            <w:r>
              <w:t>BR-009</w:t>
            </w:r>
          </w:p>
        </w:tc>
        <w:tc>
          <w:tcPr>
            <w:tcW w:type="dxa" w:w="1872"/>
          </w:tcPr>
          <w:p>
            <w:r>
              <w:t>Document and align Jaywan ATM and related process flows across business and IT.</w:t>
            </w:r>
          </w:p>
        </w:tc>
        <w:tc>
          <w:tcPr>
            <w:tcW w:type="dxa" w:w="1872"/>
          </w:tcPr>
          <w:p>
            <w:r>
              <w:t>Project Governance</w:t>
            </w:r>
          </w:p>
        </w:tc>
        <w:tc>
          <w:tcPr>
            <w:tcW w:type="dxa" w:w="2351"/>
          </w:tcPr>
          <w:p>
            <w:r>
              <w:t>Process Documentation Repository, All In-Scope Systems</w:t>
            </w:r>
          </w:p>
        </w:tc>
        <w:tc>
          <w:tcPr>
            <w:tcW w:type="dxa" w:w="1450"/>
          </w:tcPr>
          <w:p>
            <w:r>
              <w:t>Stakeholders have clear, agreed reference processes for Jaywan operations.</w:t>
            </w:r>
          </w:p>
        </w:tc>
      </w:tr>
      <w:tr>
        <w:tc>
          <w:tcPr>
            <w:tcW w:type="dxa" w:w="1872"/>
          </w:tcPr>
          <w:p>
            <w:r>
              <w:t>BR-010</w:t>
            </w:r>
          </w:p>
        </w:tc>
        <w:tc>
          <w:tcPr>
            <w:tcW w:type="dxa" w:w="1872"/>
          </w:tcPr>
          <w:p>
            <w:r>
              <w:t>Decide scope and requirements for Jaywan POS tokenized transactions.</w:t>
            </w:r>
          </w:p>
        </w:tc>
        <w:tc>
          <w:tcPr>
            <w:tcW w:type="dxa" w:w="1872"/>
          </w:tcPr>
          <w:p>
            <w:r>
              <w:t>Stakeholder Discussion</w:t>
            </w:r>
          </w:p>
        </w:tc>
        <w:tc>
          <w:tcPr>
            <w:tcW w:type="dxa" w:w="2351"/>
          </w:tcPr>
          <w:p>
            <w:r>
              <w:t>Card Management, POS Switch, Tokenization Platforms</w:t>
            </w:r>
          </w:p>
        </w:tc>
        <w:tc>
          <w:tcPr>
            <w:tcW w:type="dxa" w:w="1450"/>
          </w:tcPr>
          <w:p>
            <w:r>
              <w:t>POS tokenized scope for Jaywan is clearly defined for current and future phases.</w:t>
            </w:r>
          </w:p>
        </w:tc>
      </w:tr>
      <w:tr>
        <w:tc>
          <w:tcPr>
            <w:tcW w:type="dxa" w:w="1872"/>
          </w:tcPr>
          <w:p>
            <w:r>
              <w:t>BR-011</w:t>
            </w:r>
          </w:p>
        </w:tc>
        <w:tc>
          <w:tcPr>
            <w:tcW w:type="dxa" w:w="1872"/>
          </w:tcPr>
          <w:p>
            <w:r>
              <w:t>Define reversal, refund, and chargeback handling for Jaywan transactions.</w:t>
            </w:r>
          </w:p>
        </w:tc>
        <w:tc>
          <w:tcPr>
            <w:tcW w:type="dxa" w:w="1872"/>
          </w:tcPr>
          <w:p>
            <w:r>
              <w:t>Operations / Dispute Management</w:t>
            </w:r>
          </w:p>
        </w:tc>
        <w:tc>
          <w:tcPr>
            <w:tcW w:type="dxa" w:w="2351"/>
          </w:tcPr>
          <w:p>
            <w:r>
              <w:t>Dispute Management, Card System, Core Banking, Reconciliation</w:t>
            </w:r>
          </w:p>
        </w:tc>
        <w:tc>
          <w:tcPr>
            <w:tcW w:type="dxa" w:w="1450"/>
          </w:tcPr>
          <w:p>
            <w:r>
              <w:t>Jaywan disputes are handled efficiently with proper financial adjustments.</w:t>
            </w:r>
          </w:p>
        </w:tc>
      </w:tr>
      <w:tr>
        <w:tc>
          <w:tcPr>
            <w:tcW w:type="dxa" w:w="1872"/>
          </w:tcPr>
          <w:p>
            <w:r>
              <w:t>BR-012</w:t>
            </w:r>
          </w:p>
        </w:tc>
        <w:tc>
          <w:tcPr>
            <w:tcW w:type="dxa" w:w="1872"/>
          </w:tcPr>
          <w:p>
            <w:r>
              <w:t>Implement Jaywan-specific reporting and reconciliation aligned with CBUAE/AEP formats.</w:t>
            </w:r>
          </w:p>
        </w:tc>
        <w:tc>
          <w:tcPr>
            <w:tcW w:type="dxa" w:w="1872"/>
          </w:tcPr>
          <w:p>
            <w:r>
              <w:t>Regulatory and Operational Reporting</w:t>
            </w:r>
          </w:p>
        </w:tc>
        <w:tc>
          <w:tcPr>
            <w:tcW w:type="dxa" w:w="2351"/>
          </w:tcPr>
          <w:p>
            <w:r>
              <w:t>Data Warehouse, Reporting Tools, Reconciliation Systems</w:t>
            </w:r>
          </w:p>
        </w:tc>
        <w:tc>
          <w:tcPr>
            <w:tcW w:type="dxa" w:w="1450"/>
          </w:tcPr>
          <w:p>
            <w:r>
              <w:t>Jaywan transaction data is reported and reconciled accurately to regulators and schemes.</w:t>
            </w:r>
          </w:p>
        </w:tc>
      </w:tr>
      <w:tr>
        <w:tc>
          <w:tcPr>
            <w:tcW w:type="dxa" w:w="1872"/>
          </w:tcPr>
          <w:p>
            <w:r>
              <w:t>BR-013</w:t>
            </w:r>
          </w:p>
        </w:tc>
        <w:tc>
          <w:tcPr>
            <w:tcW w:type="dxa" w:w="1872"/>
          </w:tcPr>
          <w:p>
            <w:r>
              <w:t>Establish role-based access controls for Jaywan configuration and operations.</w:t>
            </w:r>
          </w:p>
        </w:tc>
        <w:tc>
          <w:tcPr>
            <w:tcW w:type="dxa" w:w="1872"/>
          </w:tcPr>
          <w:p>
            <w:r>
              <w:t>Information Security Policy</w:t>
            </w:r>
          </w:p>
        </w:tc>
        <w:tc>
          <w:tcPr>
            <w:tcW w:type="dxa" w:w="2351"/>
          </w:tcPr>
          <w:p>
            <w:r>
              <w:t>ATM Switch, PowerCARD, Core Banking, Reporting Systems</w:t>
            </w:r>
          </w:p>
        </w:tc>
        <w:tc>
          <w:tcPr>
            <w:tcW w:type="dxa" w:w="1450"/>
          </w:tcPr>
          <w:p>
            <w:r>
              <w:t>Only authorized staff can perform Jaywan-related actions with full auditability.</w:t>
            </w:r>
          </w:p>
        </w:tc>
      </w:tr>
      <w:tr>
        <w:tc>
          <w:tcPr>
            <w:tcW w:type="dxa" w:w="1872"/>
          </w:tcPr>
          <w:p>
            <w:r>
              <w:t>BR-014</w:t>
            </w:r>
          </w:p>
        </w:tc>
        <w:tc>
          <w:tcPr>
            <w:tcW w:type="dxa" w:w="1872"/>
          </w:tcPr>
          <w:p>
            <w:r>
              <w:t>Align customer communication on Jaywan with AEP awareness campaigns.</w:t>
            </w:r>
          </w:p>
        </w:tc>
        <w:tc>
          <w:tcPr>
            <w:tcW w:type="dxa" w:w="1872"/>
          </w:tcPr>
          <w:p>
            <w:r>
              <w:t>Customer Communication / AEP Guidance</w:t>
            </w:r>
          </w:p>
        </w:tc>
        <w:tc>
          <w:tcPr>
            <w:tcW w:type="dxa" w:w="2351"/>
          </w:tcPr>
          <w:p>
            <w:r>
              <w:t>Website, Contact Centre, ATM UI, Marketing Platforms</w:t>
            </w:r>
          </w:p>
        </w:tc>
        <w:tc>
          <w:tcPr>
            <w:tcW w:type="dxa" w:w="1450"/>
          </w:tcPr>
          <w:p>
            <w:r>
              <w:t>Customers understand Jaywan features, usage, and benefits across channels.</w:t>
            </w:r>
          </w:p>
        </w:tc>
      </w:tr>
      <w:tr>
        <w:tc>
          <w:tcPr>
            <w:tcW w:type="dxa" w:w="1872"/>
          </w:tcPr>
          <w:p>
            <w:r>
              <w:t>BR-015</w:t>
            </w:r>
          </w:p>
        </w:tc>
        <w:tc>
          <w:tcPr>
            <w:tcW w:type="dxa" w:w="1872"/>
          </w:tcPr>
          <w:p>
            <w:r>
              <w:t>Conduct discovery sessions to capture additional Jaywan requirements.</w:t>
            </w:r>
          </w:p>
        </w:tc>
        <w:tc>
          <w:tcPr>
            <w:tcW w:type="dxa" w:w="1872"/>
          </w:tcPr>
          <w:p>
            <w:r>
              <w:t>Project Management</w:t>
            </w:r>
          </w:p>
        </w:tc>
        <w:tc>
          <w:tcPr>
            <w:tcW w:type="dxa" w:w="2351"/>
          </w:tcPr>
          <w:p>
            <w:r>
              <w:t>Requirements Repository, All Future In-Scope Systems</w:t>
            </w:r>
          </w:p>
        </w:tc>
        <w:tc>
          <w:tcPr>
            <w:tcW w:type="dxa" w:w="1450"/>
          </w:tcPr>
          <w:p>
            <w:r>
              <w:t>All stakeholder requirements for Jaywan are captured and tracked for implementation.</w:t>
            </w:r>
          </w:p>
        </w:tc>
      </w:tr>
      <w:tr>
        <w:tc>
          <w:tcPr>
            <w:tcW w:type="dxa" w:w="1872"/>
          </w:tcPr>
          <w:p>
            <w:r>
              <w:t>BR-016</w:t>
            </w:r>
          </w:p>
        </w:tc>
        <w:tc>
          <w:tcPr>
            <w:tcW w:type="dxa" w:w="1872"/>
          </w:tcPr>
          <w:p>
            <w:r>
              <w:t>Define high-level requirements for future Jaywan enablement on digital wallets.</w:t>
            </w:r>
          </w:p>
        </w:tc>
        <w:tc>
          <w:tcPr>
            <w:tcW w:type="dxa" w:w="1872"/>
          </w:tcPr>
          <w:p>
            <w:r>
              <w:t>Digital Strategy / AEP Roadmap</w:t>
            </w:r>
          </w:p>
        </w:tc>
        <w:tc>
          <w:tcPr>
            <w:tcW w:type="dxa" w:w="2351"/>
          </w:tcPr>
          <w:p>
            <w:r>
              <w:t>Tokenization Service, Mobile Wallet Integration, Card System</w:t>
            </w:r>
          </w:p>
        </w:tc>
        <w:tc>
          <w:tcPr>
            <w:tcW w:type="dxa" w:w="1450"/>
          </w:tcPr>
          <w:p>
            <w:r>
              <w:t>Bank is prepared to support Jaywan on Samsung Wallet and other wallets when available.</w:t>
            </w:r>
          </w:p>
        </w:tc>
      </w:tr>
    </w:tbl>
    <w:p>
      <w:pPr>
        <w:pStyle w:val="Normal"/>
        <w:rPr>
          <w:b/>
          <w:bCs/>
        </w:rPr>
      </w:pPr>
      <w:r>
        <w:rPr>
          <w:b/>
          <w:bCs/>
        </w:rPr>
      </w:r>
    </w:p>
    <w:p>
      <w:pPr>
        <w:pStyle w:val="Normal"/>
        <w:rPr/>
      </w:pPr>
      <w:r>
        <w:rPr/>
      </w:r>
    </w:p>
    <w:p>
      <w:pPr>
        <w:pStyle w:val="Normal"/>
        <w:rPr/>
      </w:pPr>
      <w:r>
        <w:rPr/>
      </w:r>
    </w:p>
    <w:p>
      <w:pPr>
        <w:pStyle w:val="Normal"/>
        <w:rPr>
          <w:b/>
          <w:bCs/>
        </w:rPr>
      </w:pPr>
      <w:r>
        <w:rPr>
          <w:b/>
          <w:bCs/>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Borders>
          <w:top w:val="single" w:sz="8" w:space="0" w:color="000000"/>
          <w:bottom w:val="single" w:sz="8" w:space="0" w:color="000000"/>
          <w:left w:val="single" w:sz="8" w:space="0" w:color="000000"/>
          <w:right w:val="single" w:sz="8" w:space="0" w:color="000000"/>
          <w:insideH w:val="single" w:sz="8" w:space="0" w:color="000000"/>
          <w:insideV w:val="single" w:sz="8" w:space="0" w:color="000000"/>
        </w:tblBorders>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r>
              <w:t>• The solution shall support the existing and projected cardholder base for debit card customers migrated or onboarded to Jaywan mono-badged and co-badged products, with capacity sizing aligned to the bank’s overall retail and corporate customer base as per internal forecasts.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r>
              <w:t>• The solution shall support peak-hour ATM transaction concurrency at least equivalent to current Visa/Mastercard ATM volumes, with additional headroom for Jaywan uptake, ensuring that Jaywan transactions do not degrade existing service levels.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r>
              <w:t>• The solution shall support monthly Jaywan transaction volumes (ATM plus other channels) comparable to a defined percentage of total card transactions, with the exact thresholds to be set based on bank projections and CBUAE/AEP adoption targets.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r>
              <w:t>• The end-to-end Jaywan transaction processing (ATM, core banking, PowerCARD, connectivity to AEP and international schemes) shall target availability consistent with CBUAE expectations for critical payment infrastructure, and at least equal to current card scheme availability SLAs defined by the bank.</w:t>
            </w:r>
          </w:p>
        </w:tc>
      </w:tr>
    </w:tbl>
    <w:p>
      <w:pPr>
        <w:pStyle w:val="Normal"/>
        <w:rPr/>
      </w:pPr>
      <w:r>
        <w:rPr/>
      </w:r>
    </w:p>
    <w:p>
      <w:pPr>
        <w:pStyle w:val="Normal"/>
        <w:rPr/>
      </w:pPr>
      <w:r>
        <w:rPr>
          <w:b/>
          <w:bCs/>
        </w:rPr>
        <w:t>Impact on Operational process:</w:t>
      </w:r>
      <w:r>
        <w:rPr/>
        <w:t xml:space="preserve"> • Existing ATM, Card Operations, and Reconciliation processes shall be updated to incorporate Jaywan mono-badged and co-badged transactions, including new scheme codes, GL mappings, routing rules, and dispute handling.</w:t>
        <w:br/>
        <w:t>• Operations teams shall manage additional scheme relationships (Jaywan via AEP) alongside existing Visa/Mastercard interactions for settlement, operational incidents, and scheme compliance.</w:t>
        <w:br/>
        <w:t>• Contact centre and branch staff shall handle Jaywan-specific customer inquiries, including domestic vs international routing, card acceptance, declines, and dispute initiation.</w:t>
        <w:br/>
        <w:t>• Reconciliation teams shall add Jaywan scheme files and GL accounts into their daily, EOD, and monthly reconciliation routines, increasing process complexity and monitoring requirements.</w:t>
        <w:br/>
        <w:t>• Process documentation, SOPs, and runbooks for incident management, reversals, and outages shall be updated to include Jaywan-specific flows and escalation paths.</w:t>
        <w:br/>
        <w:t>• Internal audit and compliance reviews shall incorporate Jaywan processes into their regular testing and assurance cycles.</w:t>
      </w:r>
    </w:p>
    <w:p>
      <w:pPr>
        <w:pStyle w:val="Normal"/>
        <w:rPr/>
      </w:pPr>
      <w:r>
        <w:rPr/>
      </w:r>
    </w:p>
    <w:p>
      <w:pPr>
        <w:pStyle w:val="Normal"/>
        <w:rPr/>
      </w:pPr>
      <w:r>
        <w:rPr/>
      </w:r>
    </w:p>
    <w:p>
      <w:pPr>
        <w:pStyle w:val="Normal"/>
        <w:rPr/>
      </w:pPr>
      <w:r>
        <w:rPr>
          <w:b/>
          <w:bCs/>
        </w:rPr>
        <w:t>Regulatory impact:</w:t>
      </w:r>
      <w:r>
        <w:rPr/>
        <w:t xml:space="preserve"> • The project shall ensure adherence to the UAE central government / CBUAE circular mandating Jaywan co-badged card issuance and domestic scheme routing, including mandate reference number 5480 2024 as described.</w:t>
        <w:br/>
        <w:t>• The project shall comply with CBUAE guidelines on card payments, domestic schemes, data protection, and reporting, as applicable to licensed financial institutions.</w:t>
        <w:br/>
        <w:t>• The project shall fulfil AEP scheme requirements for Jaywan, including mono-badge and co-badge configuration, transaction processing rules, and participation obligations.</w:t>
        <w:br/>
        <w:t>• Regulatory reporting obligations to CBUAE regarding card transaction statistics, domestic vs international usage segmentation, and payment system resilience shall be updated to include Jaywan metrics.</w:t>
        <w:br/>
        <w:t>• Any bilateral arrangements (e.g. with India and other countries) facilitated through Jaywan shall be implemented in accordance with CBUAE and cross-border regulatory frameworks, though detailed execution is outside this specific ATM-focused scope.</w:t>
      </w:r>
    </w:p>
    <w:p>
      <w:pPr>
        <w:pStyle w:val="Normal"/>
        <w:rPr/>
      </w:pPr>
      <w:r>
        <w:rPr/>
      </w:r>
    </w:p>
    <w:p>
      <w:pPr>
        <w:pStyle w:val="Normal"/>
        <w:rPr/>
      </w:pPr>
      <w:r>
        <w:rPr/>
      </w:r>
    </w:p>
    <w:p>
      <w:pPr>
        <w:pStyle w:val="Normal"/>
        <w:rPr/>
      </w:pPr>
      <w:r>
        <w:rPr>
          <w:b/>
          <w:bCs/>
        </w:rPr>
        <w:t>Reports requirement:</w:t>
      </w:r>
      <w:r>
        <w:rPr/>
        <w:t xml:space="preserve"> • The bank shall produce daily operational reports showing Jaywan ATM transaction volumes, approvals, declines, and errors by card product, channel, and scheme routing.</w:t>
        <w:br/>
        <w:t>• The bank shall produce daily and EOD reconciliation reports matching Jaywan transaction counts and values against GL postings, scheme settlement files, and internal suspense accounts.</w:t>
        <w:br/>
        <w:t>• The bank shall produce monthly management reports summarizing Jaywan adoption, transaction growth, cost savings, and incident statistics, segmented by mono-badge and co-badge products.</w:t>
        <w:br/>
        <w:t>• The bank shall produce regulatory reports to CBUAE and/or AEP in specified formats and frequencies, including breakdowns of domestic vs international Jaywan transactions and other KPIs mandated by regulators.</w:t>
        <w:br/>
        <w:t>• Reports shall be distributed securely to defined stakeholders (Operations, Finance, Risk, Compliance, Senior Management) using agreed channels (e.g. secure email, internal reporting portal) with clear ownership and timelines.</w:t>
        <w:br/>
        <w:t>• Where required, ad-hoc query and drill-down capability on Jaywan transaction data shall be available for investigations, audits, and regulatory queries.</w:t>
      </w:r>
    </w:p>
    <w:p>
      <w:pPr>
        <w:pStyle w:val="Normal"/>
        <w:rPr/>
      </w:pPr>
      <w:r>
        <w:rPr/>
      </w:r>
    </w:p>
    <w:p>
      <w:pPr>
        <w:pStyle w:val="Normal"/>
        <w:rPr/>
      </w:pPr>
      <w:r>
        <w:rPr/>
      </w:r>
    </w:p>
    <w:p>
      <w:pPr>
        <w:pStyle w:val="Normal"/>
        <w:rPr/>
      </w:pPr>
      <w:r>
        <w:rPr>
          <w:b/>
          <w:bCs/>
        </w:rPr>
        <w:t>Access requirement:</w:t>
      </w:r>
      <w:r>
        <w:rPr/>
        <w:t xml:space="preserve"> • Access to configure Jaywan scheme parameters, BINs, routing tables, and GL mappings shall be restricted to designated roles within Card Operations and IT with multi-level approvals.</w:t>
        <w:br/>
        <w:t>• Read-only access to Jaywan transaction reports and dashboards shall be granted to authorized Operations, Finance, Risk, and Compliance staff based on the principle of least privilege.</w:t>
        <w:br/>
        <w:t>• Sensitive functions such as dispute handling, manual adjustments, and reversals for Jaywan transactions shall require role-based entitlements and, where appropriate, maker-checker controls.</w:t>
        <w:br/>
        <w:t>• Authentication to systems handling Jaywan data (ATM switch consoles, PowerCARD, reporting tools, reconciliation systems) shall follow the bank’s standard authentication mechanisms (e.g. AD integration, MFA where applicable) and comply with CBUAE guidelines on access security.</w:t>
        <w:br/>
        <w:t>• Periodic access reviews shall include Jaywan-related roles and permissions, ensuring timely revocation or adjustment upon role changes or staff exits.</w:t>
        <w:br/>
        <w:t>• Any third-party access (e.g. vendors supporting PowerCARD or switch configuration) shall be time-bound, monitored, and governed by formal agreements and approvals.</w:t>
      </w:r>
    </w:p>
    <w:p>
      <w:pPr>
        <w:pStyle w:val="Normal"/>
        <w:rPr/>
      </w:pPr>
      <w:r>
        <w:rPr/>
      </w:r>
    </w:p>
    <w:p>
      <w:pPr>
        <w:pStyle w:val="Normal"/>
        <w:rPr/>
      </w:pPr>
      <w:r>
        <w:rPr/>
      </w:r>
    </w:p>
    <w:p>
      <w:pPr>
        <w:pStyle w:val="Normal"/>
        <w:rPr/>
      </w:pPr>
      <w:r>
        <w:rPr>
          <w:b/>
          <w:bCs/>
        </w:rPr>
        <w:t>Security requirement:</w:t>
      </w:r>
      <w:r>
        <w:rPr/>
        <w:t xml:space="preserve"> • All Jaywan-related cardholder data, including PAN, expiry, and transaction details, shall be protected in transit and at rest in line with applicable security standards (e.g. EMV, card industry best practices) and CBUAE expectations, avoiding unnecessary exposure.</w:t>
        <w:br/>
        <w:t>• Communication between ATM, ATM switch, core banking, PowerCARD, and external networks (AEP, international schemes) shall be encrypted using industry-standard protocols, with appropriate key management via HSMs.</w:t>
        <w:br/>
        <w:t>• Access to Jaywan configuration and operational interfaces shall be logged with full audit trails capturing user, timestamp, action, and before/after values where feasible.</w:t>
        <w:br/>
        <w:t>• Fraud and risk monitoring tools shall be updated to recognize Jaywan transactions and apply appropriate rules and alerts, consistent with the bank’s card fraud management framework.</w:t>
        <w:br/>
        <w:t>• Incident response procedures shall explicitly cover Jaywan-related security incidents, including data exposure, fraud patterns, and scheme-specific notifications to AEP and CBUAE.</w:t>
        <w:br/>
        <w:t>• Backups containing Jaywan data shall be stored securely with access control and retention aligned with bank policy and regulatory requirements.</w:t>
      </w:r>
    </w:p>
    <w:p>
      <w:pPr>
        <w:pStyle w:val="Normal"/>
        <w:rPr/>
      </w:pPr>
      <w:r>
        <w:rPr/>
      </w:r>
    </w:p>
    <w:p>
      <w:pPr>
        <w:pStyle w:val="Normal"/>
        <w:rPr/>
      </w:pPr>
      <w:r>
        <w:rPr/>
      </w:r>
    </w:p>
    <w:p>
      <w:pPr>
        <w:pStyle w:val="Normal"/>
        <w:rPr/>
      </w:pPr>
      <w:r>
        <w:rPr>
          <w:b/>
          <w:bCs/>
        </w:rPr>
        <w:t>Data requirement:</w:t>
      </w:r>
      <w:r>
        <w:rPr/>
        <w:t xml:space="preserve"> • Transaction records for Jaywan mono-badged and co-badged cards shall capture all mandatory data elements required by AEP, international schemes, and internal analytics, including scheme identifiers, routing decisions, and approval/decline codes.</w:t>
        <w:br/>
        <w:t>• Data sources for Jaywan reporting shall include ATM switch logs, core banking transaction records, PowerCARD data, reconciliation systems, and settlement files from AEP and international schemes.</w:t>
        <w:br/>
        <w:t>• Data quality controls shall be implemented to ensure completeness, accuracy, and consistency of Jaywan transaction data across systems, with exception reporting for missing or inconsistent entries.</w:t>
        <w:br/>
        <w:t>• Data retention for Jaywan transactions shall follow the bank’s card transaction retention policy and CBUAE requirements, ensuring that records are available for audits, disputes, and regulatory reviews for the mandated period.</w:t>
        <w:br/>
        <w:t>• Data governance shall ensure that Jaywan data fields are documented in the enterprise data dictionary, with clear ownership, definitions, and allowed values.</w:t>
        <w:br/>
        <w:t>• Aggregated and anonymized Jaywan data may be used for analytics and performance monitoring, provided that no customer-identifiable information is exposed beyond authorized analytical environments.</w:t>
      </w:r>
    </w:p>
    <w:p>
      <w:pPr>
        <w:pStyle w:val="Normal"/>
        <w:rPr/>
      </w:pPr>
      <w:r>
        <w:rPr/>
      </w:r>
    </w:p>
    <w:p>
      <w:pPr>
        <w:pStyle w:val="Normal"/>
        <w:rPr/>
      </w:pPr>
      <w:r>
        <w:rPr/>
      </w:r>
    </w:p>
    <w:p>
      <w:pPr>
        <w:pStyle w:val="Normal"/>
        <w:rPr/>
      </w:pPr>
      <w:r>
        <w:rPr>
          <w:b/>
          <w:bCs/>
        </w:rPr>
        <w:t>Training requirement:</w:t>
      </w:r>
      <w:r>
        <w:rPr/>
        <w:t xml:space="preserve"> • Card Operations, ATM Operations, and Reconciliation staff shall receive training on Jaywan-specific processes, including scheme characteristics, routing rules, GL mappings, and dispute handling.</w:t>
        <w:br/>
        <w:t>• Front-line staff (branches, contact centre, relationship managers) shall be trained on Jaywan product features, customer FAQs, and standard troubleshooting steps for common ATM and transaction issues.</w:t>
        <w:br/>
        <w:t>• IT and support teams shall be trained on the technical aspects of Jaywan integration, including monitoring, incident handling, and configuration management across ATM switch, PowerCARD, and core banking.</w:t>
        <w:br/>
        <w:t>• Compliance and Risk teams shall be briefed on regulatory aspects of Jaywan, CBUAE expectations, and any changes to existing risk frameworks.</w:t>
        <w:br/>
        <w:t>• Training materials (presentations, user guides, FAQs) shall be created, approved, and stored in a central repository, with periodic refreshers planned as Jaywan features evolve.</w:t>
        <w:br/>
        <w:t xml:space="preserve">• Post-implementation support training shall be provided to service desk and Level 2/Level 3 teams to ensure timely resolution of Jaywan-related incidents and queries. </w:t>
      </w:r>
    </w:p>
    <w:p>
      <w:pPr>
        <w:pStyle w:val="Normal"/>
        <w:rPr/>
      </w:pPr>
      <w:r>
        <w:rPr/>
      </w:r>
    </w:p>
    <w:p>
      <w:pPr>
        <w:pStyle w:val="Normal"/>
        <w:rPr/>
      </w:pPr>
      <w:r>
        <w:rPr>
          <w:b/>
          <w:bCs/>
        </w:rPr>
        <w:t>Open Questions:</w:t>
      </w:r>
      <w:r>
        <w:rPr/>
        <w:t xml:space="preserve"> • Clarification shall be obtained from CBUAE/AEP on the detailed interpretation and any supplementary guidance for the central Bank mandate reference number 5480 2024, including precise timelines, card types in scope (credit, debit, prepaid), and any exemptions.</w:t>
        <w:br/>
        <w:t>• Confirmation shall be requested from AEP on definitive rules for GCC usage for Jaywan mono-badged cards, including which countries and terminals are considered part of the extended domestic environment.</w:t>
        <w:br/>
        <w:t>• Detailed scheme rules for Jaywan reversals, refunds, and chargebacks shall be requested from AEP to finalize dispute handling processes and SLAs.</w:t>
        <w:br/>
        <w:t>• Clarification shall be sought on whether all Jaywan transactions processed via digital wallets (Samsung Wallet, Google Pay, Apple Pay) will follow identical domestic routing rules as physical cards, or if any wallet-specific rules apply.</w:t>
        <w:br/>
        <w:t>• Confirmation shall be obtained on tokenized POS and e-commerce transaction support for Jaywan (including DMS vs other messaging models) to determine exact scope and sequencing of implementation beyond ATM.</w:t>
        <w:br/>
        <w:t>• Detailed CBUAE reporting templates and data field specifications for Jaywan shall be validated to ensure that all required data is captured in source systems.</w:t>
        <w:br/>
        <w:t>• Clarification shall be obtained whether any additional customer consent or specific disclosures are required under CBUAE regulations for the introduction of Jaywan co-badged cards, beyond standard card T&amp;Cs.</w:t>
      </w:r>
    </w:p>
    <w:p>
      <w:pPr>
        <w:pStyle w:val="Normal"/>
        <w:rPr/>
      </w:pPr>
      <w:r>
        <w:rPr/>
      </w:r>
    </w:p>
    <w:p>
      <w:pPr>
        <w:pStyle w:val="Normal"/>
        <w:rPr/>
      </w:pPr>
      <w:r>
        <w:rPr>
          <w:b/>
          <w:bCs/>
        </w:rPr>
        <w:t>Contradictions (if any):</w:t>
      </w:r>
      <w:r>
        <w:rPr/>
        <w:t xml:space="preserve"> • The internal summary referencing “central Bank mandate reference number 5480 2024 according to which cards must support both domestic as well as International transactions” appears to provide a specific mandate number that is not explicitly cited in the publicly referenced AEP communication “Jaywan: UAE's new domestic card payment scheme; all your questions answered – Al Etihad Payments” or “Al Etihad Payments – ‘Jaywan’ the UAE's First Domestic Card Scheme Introduced to Strengthen the UAE's Position as a Global Hub for Digital Payments”; alignment and verification of the exact mandate reference with official CBUAE circular documentation shall be performed.</w:t>
        <w:br/>
        <w:t>• Public AEP materials position Jaywan mono-badge cards for local and GCC usage and co-badge cards for local and international usage; the internal context does not fully specify GCC treatment for mono-badge cards, potentially leading to ambiguity on GCC acceptance scope until official scheme documents are consulted.</w:t>
        <w:br/>
        <w:t>• Public communications highlight readiness for Samsung Wallet and future enablement on Google Pay and Apple Pay, whereas internal requirements documents focus primarily on ATM and DMS flows; this may create differing expectations on the immediate scope of digital wallet enablement and needs explicit phase definition.</w:t>
      </w:r>
    </w:p>
    <w:p>
      <w:pPr>
        <w:pStyle w:val="Normal"/>
        <w:rPr/>
      </w:pPr>
      <w:r>
        <w:rPr/>
      </w:r>
    </w:p>
    <w:p>
      <w:pPr>
        <w:pStyle w:val="Normal"/>
        <w:rPr>
          <w:b/>
          <w:bCs/>
        </w:rPr>
      </w:pPr>
      <w:r>
        <w:rPr>
          <w:b/>
          <w:bCs/>
        </w:rPr>
      </w:r>
    </w:p>
    <w:p>
      <w:pPr>
        <w:pStyle w:val="Normal"/>
        <w:rPr/>
      </w:pPr>
      <w:r>
        <w:rPr>
          <w:b/>
          <w:bCs/>
        </w:rPr>
        <w:t>Process Diagram:</w:t>
      </w:r>
      <w:r>
        <w:rPr/>
      </w:r>
    </w:p>
    <w:p>
      <w:pPr>
        <w:pStyle w:val="Normal"/>
        <w:rPr>
          <w:rFonts w:ascii="Consolas;Courier New;monospace" w:hAnsi="Consolas;Courier New;monospace"/>
          <w:b w:val="false"/>
          <w:color w:val="CE9178"/>
          <w:sz w:val="24"/>
          <w:szCs w:val="24"/>
          <w:shd w:fill="1F1F1F" w:val="clear"/>
        </w:rPr>
      </w:pPr>
      <w:r>
        <w:rPr>
          <w:rFonts w:ascii="Consolas;Courier New;monospace" w:hAnsi="Consolas;Courier New;monospace"/>
          <w:b w:val="false"/>
          <w:color w:val="CE9178"/>
          <w:sz w:val="24"/>
          <w:szCs w:val="24"/>
          <w:shd w:fill="1F1F1F" w:val="clear"/>
        </w:rPr>
      </w:r>
    </w:p>
    <w:p>
      <w:pPr>
        <w:pStyle w:val="Normal"/>
        <w:rPr/>
      </w:pPr>
      <w:r>
        <w:rPr/>
      </w:r>
    </w:p>
    <w:p>
      <w:pPr>
        <w:pStyle w:val="Normal"/>
        <w:rPr/>
      </w:pPr>
      <w:r>
        <w:rPr/>
      </w:r>
    </w:p>
    <w:p>
      <w:pPr>
        <w:pStyle w:val="Normal"/>
        <w:widowControl/>
        <w:bidi w:val="0"/>
        <w:spacing w:lineRule="auto" w:line="278" w:before="0" w:after="160"/>
        <w:jc w:val="left"/>
        <w:rPr/>
      </w:pPr>
      <w:r>
        <w:rPr/>
      </w:r>
    </w:p>
    <w:p>
      <w:pPr>
        <w:keepNext w:val="0"/>
        <w:keepLines/>
        <w:spacing w:before="120" w:after="240"/>
        <w:jc w:val="center"/>
      </w:pPr>
      <w:r>
        <w:drawing>
          <wp:inline xmlns:a="http://schemas.openxmlformats.org/drawingml/2006/main">
            <wp:extent cx="1916922" cy="8151825"/>
            <wp:docPr id="1" name="Picture 1"/>
            <wp:cNvGraphicFramePr>
              <a:graphicFrameLocks noChangeAspect="1"/>
            </wp:cNvGraphicFramePr>
            <a:graphic>
              <a:graphicData uri="http://schemas.openxmlformats.org/drawingml/2006/picture">
                <pic:pic>
                  <pic:nvPicPr>
                    <pic:cNvPr id="0" name="process_flow.png"/>
                    <pic:cNvPicPr/>
                  </pic:nvPicPr>
                  <pic:blipFill>
                    <a:blip r:embed="rId5"/>
                    <a:stretch>
                      <a:fillRect/>
                    </a:stretch>
                  </pic:blipFill>
                  <pic:spPr>
                    <a:xfrm>
                      <a:off x="0" y="0"/>
                      <a:ext cx="1916922" cy="8151825"/>
                    </a:xfrm>
                    <a:prstGeom prst="rect"/>
                  </pic:spPr>
                </pic:pic>
              </a:graphicData>
            </a:graphic>
          </wp:inline>
        </w:drawing>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Consolas">
    <w:altName w:val="Courier New"/>
    <w:charset w:val="00"/>
    <w:family w:val="roman"/>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739</TotalTime>
  <Application>LibreOffice/25.2.7.2$Windows_X86_64 LibreOffice_project/5cbfd1ab6520636bb5f7b99185aa69bd7456825d</Application>
  <AppVersion>15.0000</AppVersion>
  <Pages>4</Pages>
  <Words>144</Words>
  <Characters>1360</Characters>
  <CharactersWithSpaces>1428</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2026-02-02T10:36:59Z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