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 Business Requirements Specification for Implementation of Jaywan Mono-Badged and Co-Badged Cards in Compliance with CBUAE Mandate</w:t>
      </w:r>
    </w:p>
    <w:p>
      <w:pPr>
        <w:pStyle w:val="Normal"/>
        <w:rPr/>
      </w:pPr>
      <w:r>
        <w:rPr>
          <w:b/>
          <w:bCs/>
        </w:rPr>
        <w:t>ID:</w:t>
      </w:r>
      <w:r>
        <w:rPr/>
        <w:t xml:space="preserve"> • BRS-JAYWAN-CARDS-001</w:t>
      </w:r>
    </w:p>
    <w:p>
      <w:pPr>
        <w:pStyle w:val="Normal"/>
        <w:rPr/>
      </w:pPr>
      <w:r>
        <w:rPr>
          <w:b/>
          <w:bCs/>
        </w:rPr>
        <w:t>Program:</w:t>
      </w:r>
      <w:r>
        <w:rPr/>
        <w:t xml:space="preserve"> • Jaywan Domestic Card Scheme Enablement – Issuing and Acquiring</w:t>
      </w:r>
    </w:p>
    <w:p>
      <w:pPr>
        <w:pStyle w:val="Normal"/>
        <w:rPr/>
      </w:pPr>
      <w:r>
        <w:rPr>
          <w:b/>
          <w:bCs/>
        </w:rPr>
        <w:t>Type:</w:t>
      </w:r>
      <w:r>
        <w:rPr/>
        <w:t xml:space="preserve"> • Business Requirements Specification (BRS)</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Pr>
      <w:tblGrid>
        <w:gridCol w:w="4620"/>
        <w:gridCol w:w="4619"/>
      </w:tblGrid>
      <w:tr>
        <w:trPr/>
        <w:tc>
          <w:tcPr>
            <w:tcW w:w="4620" w:type="dxa"/>
            <w:tcBorders>
              <w:top w:val="single" w:sz="4" w:space="0" w:color="000000"/>
              <w:left w:val="single" w:sz="4" w:space="0" w:color="000000"/>
              <w:bottom w:val="single" w:sz="4" w:space="0" w:color="000000"/>
            </w:tcBorders>
          </w:tcPr>
          <w:p>
            <w:pPr>
              <w:pStyle w:val="Normal"/>
              <w:spacing w:before="0" w:after="160"/>
              <w:rPr/>
            </w:pPr>
            <w:r>
              <w:rPr/>
              <w:t>Serial Number</w:t>
            </w:r>
          </w:p>
        </w:tc>
        <w:tc>
          <w:tcPr>
            <w:tcW w:w="4619"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rPr/>
              <w:t>Description</w:t>
            </w:r>
          </w:p>
        </w:tc>
      </w:tr>
      <w:tr>
        <w:tc>
          <w:tcPr>
            <w:tcW w:type="dxa" w:w="4620"/>
          </w:tcPr>
          <w:p>
            <w:r>
              <w:t>1</w:t>
            </w:r>
          </w:p>
        </w:tc>
        <w:tc>
          <w:tcPr>
            <w:tcW w:type="dxa" w:w="4619"/>
          </w:tcPr>
          <w:p>
            <w:r>
              <w:t>Document Sign off</w:t>
            </w:r>
          </w:p>
        </w:tc>
      </w:tr>
      <w:tr>
        <w:tc>
          <w:tcPr>
            <w:tcW w:type="dxa" w:w="4620"/>
          </w:tcPr>
          <w:p>
            <w:r>
              <w:t>2</w:t>
            </w:r>
          </w:p>
        </w:tc>
        <w:tc>
          <w:tcPr>
            <w:tcW w:type="dxa" w:w="4619"/>
          </w:tcPr>
          <w:p>
            <w:r>
              <w:t>Document History</w:t>
            </w:r>
          </w:p>
        </w:tc>
      </w:tr>
      <w:tr>
        <w:tc>
          <w:tcPr>
            <w:tcW w:type="dxa" w:w="4620"/>
          </w:tcPr>
          <w:p>
            <w:r>
              <w:t>3</w:t>
            </w:r>
          </w:p>
        </w:tc>
        <w:tc>
          <w:tcPr>
            <w:tcW w:type="dxa" w:w="4619"/>
          </w:tcPr>
          <w:p>
            <w:r>
              <w:t>Overview</w:t>
            </w:r>
          </w:p>
        </w:tc>
      </w:tr>
      <w:tr>
        <w:tc>
          <w:tcPr>
            <w:tcW w:type="dxa" w:w="4620"/>
          </w:tcPr>
          <w:p>
            <w:r>
              <w:t>4</w:t>
            </w:r>
          </w:p>
        </w:tc>
        <w:tc>
          <w:tcPr>
            <w:tcW w:type="dxa" w:w="4619"/>
          </w:tcPr>
          <w:p>
            <w:r>
              <w:t>Current constraints</w:t>
            </w:r>
          </w:p>
        </w:tc>
      </w:tr>
      <w:tr>
        <w:tc>
          <w:tcPr>
            <w:tcW w:type="dxa" w:w="4620"/>
          </w:tcPr>
          <w:p>
            <w:r>
              <w:t>5</w:t>
            </w:r>
          </w:p>
        </w:tc>
        <w:tc>
          <w:tcPr>
            <w:tcW w:type="dxa" w:w="4619"/>
          </w:tcPr>
          <w:p>
            <w:r>
              <w:t>Objective</w:t>
            </w:r>
          </w:p>
        </w:tc>
      </w:tr>
      <w:tr>
        <w:tc>
          <w:tcPr>
            <w:tcW w:type="dxa" w:w="4620"/>
          </w:tcPr>
          <w:p>
            <w:r>
              <w:t>6</w:t>
            </w:r>
          </w:p>
        </w:tc>
        <w:tc>
          <w:tcPr>
            <w:tcW w:type="dxa" w:w="4619"/>
          </w:tcPr>
          <w:p>
            <w:r>
              <w:t>In scope</w:t>
            </w:r>
          </w:p>
        </w:tc>
      </w:tr>
      <w:tr>
        <w:tc>
          <w:tcPr>
            <w:tcW w:type="dxa" w:w="4620"/>
          </w:tcPr>
          <w:p>
            <w:r>
              <w:t>7</w:t>
            </w:r>
          </w:p>
        </w:tc>
        <w:tc>
          <w:tcPr>
            <w:tcW w:type="dxa" w:w="4619"/>
          </w:tcPr>
          <w:p>
            <w:r>
              <w:t>Out of scope</w:t>
            </w:r>
          </w:p>
        </w:tc>
      </w:tr>
      <w:tr>
        <w:tc>
          <w:tcPr>
            <w:tcW w:type="dxa" w:w="4620"/>
          </w:tcPr>
          <w:p>
            <w:r>
              <w:t>8</w:t>
            </w:r>
          </w:p>
        </w:tc>
        <w:tc>
          <w:tcPr>
            <w:tcW w:type="dxa" w:w="4619"/>
          </w:tcPr>
          <w:p>
            <w:r>
              <w:t>Description</w:t>
            </w:r>
          </w:p>
        </w:tc>
      </w:tr>
      <w:tr>
        <w:tc>
          <w:tcPr>
            <w:tcW w:type="dxa" w:w="4620"/>
          </w:tcPr>
          <w:p>
            <w:r>
              <w:t>9</w:t>
            </w:r>
          </w:p>
        </w:tc>
        <w:tc>
          <w:tcPr>
            <w:tcW w:type="dxa" w:w="4619"/>
          </w:tcPr>
          <w:p>
            <w:r>
              <w:t>Business Requirements</w:t>
            </w:r>
          </w:p>
        </w:tc>
      </w:tr>
      <w:tr>
        <w:tc>
          <w:tcPr>
            <w:tcW w:type="dxa" w:w="4620"/>
          </w:tcPr>
          <w:p>
            <w:r>
              <w:t>10</w:t>
            </w:r>
          </w:p>
        </w:tc>
        <w:tc>
          <w:tcPr>
            <w:tcW w:type="dxa" w:w="4619"/>
          </w:tcPr>
          <w:p>
            <w:r>
              <w:t>Requirement Traceability Matrix</w:t>
            </w:r>
          </w:p>
        </w:tc>
      </w:tr>
      <w:tr>
        <w:tc>
          <w:tcPr>
            <w:tcW w:type="dxa" w:w="4620"/>
          </w:tcPr>
          <w:p>
            <w:r>
              <w:t>11</w:t>
            </w:r>
          </w:p>
        </w:tc>
        <w:tc>
          <w:tcPr>
            <w:tcW w:type="dxa" w:w="4619"/>
          </w:tcPr>
          <w:p>
            <w:r>
              <w:t>Non-Functional Requirements</w:t>
            </w:r>
          </w:p>
        </w:tc>
      </w:tr>
      <w:tr>
        <w:tc>
          <w:tcPr>
            <w:tcW w:type="dxa" w:w="4620"/>
          </w:tcPr>
          <w:p>
            <w:r>
              <w:t>12</w:t>
            </w:r>
          </w:p>
        </w:tc>
        <w:tc>
          <w:tcPr>
            <w:tcW w:type="dxa" w:w="4619"/>
          </w:tcPr>
          <w:p>
            <w:r>
              <w:t>Impact on Operational Process</w:t>
            </w:r>
          </w:p>
        </w:tc>
      </w:tr>
      <w:tr>
        <w:tc>
          <w:tcPr>
            <w:tcW w:type="dxa" w:w="4620"/>
          </w:tcPr>
          <w:p>
            <w:r>
              <w:t>13</w:t>
            </w:r>
          </w:p>
        </w:tc>
        <w:tc>
          <w:tcPr>
            <w:tcW w:type="dxa" w:w="4619"/>
          </w:tcPr>
          <w:p>
            <w:r>
              <w:t>Regulatory Impact</w:t>
            </w:r>
          </w:p>
        </w:tc>
      </w:tr>
      <w:tr>
        <w:tc>
          <w:tcPr>
            <w:tcW w:type="dxa" w:w="4620"/>
          </w:tcPr>
          <w:p>
            <w:r>
              <w:t>14</w:t>
            </w:r>
          </w:p>
        </w:tc>
        <w:tc>
          <w:tcPr>
            <w:tcW w:type="dxa" w:w="4619"/>
          </w:tcPr>
          <w:p>
            <w:r>
              <w:t>Reports Requirement</w:t>
            </w:r>
          </w:p>
        </w:tc>
      </w:tr>
      <w:tr>
        <w:tc>
          <w:tcPr>
            <w:tcW w:type="dxa" w:w="4620"/>
          </w:tcPr>
          <w:p>
            <w:r>
              <w:t>15</w:t>
            </w:r>
          </w:p>
        </w:tc>
        <w:tc>
          <w:tcPr>
            <w:tcW w:type="dxa" w:w="4619"/>
          </w:tcPr>
          <w:p>
            <w:r>
              <w:t>Access Requirement</w:t>
            </w:r>
          </w:p>
        </w:tc>
      </w:tr>
      <w:tr>
        <w:tc>
          <w:tcPr>
            <w:tcW w:type="dxa" w:w="4620"/>
          </w:tcPr>
          <w:p>
            <w:r>
              <w:t>16</w:t>
            </w:r>
          </w:p>
        </w:tc>
        <w:tc>
          <w:tcPr>
            <w:tcW w:type="dxa" w:w="4619"/>
          </w:tcPr>
          <w:p>
            <w:r>
              <w:t>Security Requirement</w:t>
            </w:r>
          </w:p>
        </w:tc>
      </w:tr>
      <w:tr>
        <w:tc>
          <w:tcPr>
            <w:tcW w:type="dxa" w:w="4620"/>
          </w:tcPr>
          <w:p>
            <w:r>
              <w:t>17</w:t>
            </w:r>
          </w:p>
        </w:tc>
        <w:tc>
          <w:tcPr>
            <w:tcW w:type="dxa" w:w="4619"/>
          </w:tcPr>
          <w:p>
            <w:r>
              <w:t>Data Requirement</w:t>
            </w:r>
          </w:p>
        </w:tc>
      </w:tr>
      <w:tr>
        <w:tc>
          <w:tcPr>
            <w:tcW w:type="dxa" w:w="4620"/>
          </w:tcPr>
          <w:p>
            <w:r>
              <w:t>18</w:t>
            </w:r>
          </w:p>
        </w:tc>
        <w:tc>
          <w:tcPr>
            <w:tcW w:type="dxa" w:w="4619"/>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7"/>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t>- 02-Feb-2026</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 Implementation of Jaywan as the UAE domestic payment card scheme across issuing and acquiring in line with CBUAE and Al Etihad Payments (AEP) directives</w:t>
        <w:br/>
        <w:t>• Introduction of Jaywan mono-badged domestic cards for UAE and GCC usage, and Jaywan co-badged cards with international schemes (e.g. Visa, Mastercard, JCB) for global usage</w:t>
        <w:br/>
        <w:t>• Migration and configuration of card routing logic to prioritise domestic Jaywan rails for on-us and off-us transactions where merchant/acquirer and issuer are in UAE</w:t>
        <w:br/>
        <w:t>• Alignment of bank systems, channels, and operational processes to support Jaywan for ATM, POS, ECOM, tokenised transactions (Samsung Wallet, Google Pay, Apple Pay), refunds, reversals, chargebacks and reconciliation</w:t>
        <w:br/>
        <w:t>• Enablement of cross-border acceptance use cases in line with AEP bilateral agreements (e.g. India mid-2025 and other corridors to be defined) while maintaining cost efficiency and financial sovereignty</w:t>
        <w:br/>
        <w:t>• Support for central awareness and adoption program led by AEP and CBUAE through adequate customer experience, service levels and reporting</w:t>
      </w:r>
    </w:p>
    <w:p>
      <w:pPr>
        <w:pStyle w:val="Normal"/>
        <w:rPr/>
      </w:pPr>
      <w:r>
        <w:rPr/>
      </w:r>
    </w:p>
    <w:p>
      <w:pPr>
        <w:pStyle w:val="Normal"/>
        <w:rPr/>
      </w:pPr>
      <w:r>
        <w:rPr>
          <w:b/>
          <w:bCs/>
        </w:rPr>
        <w:t>Current constraints:</w:t>
      </w:r>
      <w:r>
        <w:rPr/>
        <w:t xml:space="preserve"> • Existing card portfolio largely dependent on international schemes (Visa, Mastercard, etc.) for both domestic and international transactions</w:t>
        <w:br/>
        <w:t>• Higher domestic transaction costs driven by international network interchange, scheme and processing fees</w:t>
        <w:br/>
        <w:t>• Absence of Jaywan BIN ranges in current issuing, authorisation and switch configurations</w:t>
        <w:br/>
        <w:t>• Routing logic in CMS, Switch and Host not configured to prioritise domestic scheme rails for UAE-on-UAE transactions</w:t>
        <w:br/>
        <w:t>• Limited or no support for domestic scheme specific message formats and dual messaging requirements (CBUAE DMS for ECOM and tokenisation)</w:t>
        <w:br/>
        <w:t>• Tokenised POS and in-app transactions currently linked primarily to international schemes (e.g. Visa DMS) with no support for Jaywan rails</w:t>
        <w:br/>
        <w:t>• Existing GL and reconciliation processes aligned to international schemes only, with no segregation for Jaywan domestic vs international co-badge legs</w:t>
        <w:br/>
        <w:t>• Operational teams (Card Ops, GBO, Reconciliation, Disputes) not yet trained on Jaywan specific flows, dispute rules and timeframes</w:t>
        <w:br/>
        <w:t>• Reporting packs, regulatory returns and management dashboards not designed to capture Jaywan-specific KPIs and CBUAE/AEP reporting requirements</w:t>
        <w:br/>
        <w:t>• Dependency on final detailed technical specifications, operating rules and circulars from CBUAE/AEP for some flows (e.g. chargebacks, cross-border corridors)</w:t>
      </w:r>
    </w:p>
    <w:p>
      <w:pPr>
        <w:pStyle w:val="Normal"/>
        <w:rPr/>
      </w:pPr>
      <w:r>
        <w:rPr/>
      </w:r>
    </w:p>
    <w:p>
      <w:pPr>
        <w:pStyle w:val="Normal"/>
        <w:rPr/>
      </w:pPr>
      <w:r>
        <w:rPr>
          <w:b/>
          <w:bCs/>
        </w:rPr>
        <w:t>Objective:</w:t>
      </w:r>
      <w:r>
        <w:rPr/>
        <w:t xml:space="preserve"> • Comply with CBUAE central government mandate (reference 5480-2024) for all licensed financial institutions to issue Jaywan co-badged cards</w:t>
        <w:br/>
        <w:t>• Launch Jaywan mono-badged and co-badged debit/credit (where applicable) cards for retail and corporate customers within mandated timelines</w:t>
        <w:br/>
        <w:t>• Ensure that new and replacement cards issued for Visa/Mastercard (and other schemes where in scope) support co-badge configuration with Jaywan for domestic usage</w:t>
        <w:br/>
        <w:t>• Configure and implement routing rules that ensure domestic transactions are processed via Jaywan where issuer and acquirer are in UAE or GCC (as defined by AEP) while international transactions are routed via global scheme leg</w:t>
        <w:br/>
        <w:t>• Reduce end-to-end domestic payment processing costs while maintaining or improving customer experience and authorisation performance</w:t>
        <w:br/>
        <w:t>• Provide secure, seamless omni-channel payment experience for Jaywan, including ATM, POS, ECOM, contactless, tokenised wallets and in-app payments</w:t>
        <w:br/>
        <w:t>• Align all processes, controls and systems with CBUAE and AEP operating regulations, risk requirements and dispute resolution frameworks</w:t>
        <w:br/>
        <w:t>• Implement comprehensive reporting, reconciliation and GL structures for transparent financial accounting, settlement and regulatory submissions for Jaywan</w:t>
        <w:br/>
        <w:t>• Strengthen UAE financial sovereignty and position the UAE as a digital payments hub via local scheme adoption and cross-border corridors (e.g. India, GCC and other partner countries)</w:t>
      </w:r>
    </w:p>
    <w:p>
      <w:pPr>
        <w:pStyle w:val="Normal"/>
        <w:rPr/>
      </w:pPr>
      <w:r>
        <w:rPr/>
      </w:r>
    </w:p>
    <w:p>
      <w:pPr>
        <w:pStyle w:val="Normal"/>
        <w:rPr/>
      </w:pPr>
      <w:r>
        <w:rPr>
          <w:b/>
          <w:bCs/>
        </w:rPr>
        <w:t>In scope:</w:t>
      </w:r>
      <w:r>
        <w:rPr/>
        <w:t xml:space="preserve"> • Issuance of Jaywan mono-badged debit cards for domestic and defined GCC usage</w:t>
        <w:br/>
        <w:t>• Issuance of Jaywan co-badged cards with international schemes (Visa, Mastercard, and where approved JCB/others) for domestic plus international usage</w:t>
        <w:br/>
        <w:t>• BIN sponsorship and configuration for Jaywan ranges, including routing tables, card profiles and product hierarchies in CMS and Switch</w:t>
        <w:br/>
        <w:t>• Parameterisation of routing logic for ATM, POS, ECOM and tokenised channels to prioritise Jaywan for eligible domestic transactions</w:t>
        <w:br/>
        <w:t>• Support for CBUAE DMS for ECOM and tokenisation transactions, including dual messaging integration for Jaywan and co-badge legs</w:t>
        <w:br/>
        <w:t>• Integration with AEP / Jaywan switch for authorisation, settlement file exchange, clearing and chargebacks</w:t>
        <w:br/>
        <w:t>• Enablement of Jaywan on Samsung Wallet in initial phase and subsequent enablement on Google Pay and Apple Pay as per AEP timeline</w:t>
        <w:br/>
        <w:t>• Inclusion of POS tokenised transactions within Jaywan scope where technically and commercially mandated by CBUAE/AEP</w:t>
        <w:br/>
        <w:t>• Configuration of GL accounts and reconciliation processes for Jaywan domestic leg, cross-border corridors and co-badge schemes</w:t>
        <w:br/>
        <w:t>• Implementation of dispute, refund, reversal and chargeback processes aligned to Jaywan and CBUAE scheme rules</w:t>
        <w:br/>
        <w:t>• Enhancements to existing process flows (ATM, POS, VISA DMS, CBUAE DMS) to incorporate Jaywan as-is and to-be flows for operations, IT and finance</w:t>
        <w:br/>
        <w:t>• Discovery and requirement sessions for additional Jaywan mono and co-badge capabilities as listed in the discovery schedule</w:t>
        <w:br/>
        <w:t>• Operational readiness including SOP updates, training, SLAs and exception handling for Jaywan transactions</w:t>
        <w:br/>
        <w:t>• Regulatory and management reporting specific to Jaywan volumes, performance, fraud, costs and compliance metrics</w:t>
        <w:br/>
        <w:t>• Participation in AEP/CBUAE awareness and adoption initiatives, including customer messaging through bank channels where required</w:t>
      </w:r>
    </w:p>
    <w:p>
      <w:pPr>
        <w:pStyle w:val="Normal"/>
        <w:rPr/>
      </w:pPr>
      <w:r>
        <w:rPr/>
      </w:r>
    </w:p>
    <w:p>
      <w:pPr>
        <w:pStyle w:val="Normal"/>
        <w:rPr/>
      </w:pPr>
      <w:r>
        <w:rPr>
          <w:b/>
          <w:bCs/>
        </w:rPr>
        <w:t>Out of scope:</w:t>
      </w:r>
      <w:r>
        <w:rPr/>
        <w:t xml:space="preserve"> • Changes to core banking product constructs beyond card and payments related configurations directly required for Jaywan</w:t>
        <w:br/>
        <w:t>• Repricing of customer fees and charges (tariff changes) except where explicitly mandated by CBUAE for domestic scheme adoption</w:t>
        <w:br/>
        <w:t>• End-to-end migration of legacy card portfolios to Jaywan where not required by mandate (e.g. optional early migration of non-expiring cards)</w:t>
        <w:br/>
        <w:t>• Non-card payment instruments (e.g. instant payments, RTGS, direct debits) except where explicitly linked to the Jaywan card scheme</w:t>
        <w:br/>
        <w:t>• Design and execution of AEP/CBUAE nation-wide awareness campaigns (bank will only support as a participant via internal channels)</w:t>
        <w:br/>
        <w:t>• Implementation of non-CBUAE mandated international co-badge partnerships outside those approved (e.g. ad-hoc regional private schemes)</w:t>
        <w:br/>
        <w:t>• Build of merchant acquiring capabilities for external third-party PSPs beyond bank’s own acquiring entity scope</w:t>
        <w:br/>
        <w:t>• Major hardware refresh of ATM and POS estate beyond firmware and software upgrades necessary for Jaywan acceptance</w:t>
        <w:br/>
        <w:t>• Legacy data remediation or historic transaction re-processing not directly required for Jaywan cutover or regulatory compliance</w:t>
        <w:br/>
        <w:t>• Non-UAE entities of the group unless specifically covered under the CBUAE licence and Jaywan mandate</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Compliance with CBUAE Mandate 5480-2024 for Jaywan Co-Badged Card Issuance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Ensure full compliance with central government and CBUAE circular (mandate reference 5480-2024) requiring licensed financial institutions to issue Jaywan co-badged cards for domestic and international card transactions</w:t>
              <w:br/>
              <w:t>• All newly issued primary and replacement cards for schemes in scope (Visa, Mastercard and others as confirmed) must be co-badged with Jaywan to support both domestic and international usage</w:t>
              <w:br/>
              <w:t>• Ensure alignment with Al Etihad Payments (AEP) readiness timelines, scheme rules and operating regulations for Jaywan domestic card scheme</w:t>
              <w:br/>
              <w:t>• Provide governance, documentation and evidence to demonstrate compliance to CBUAE onsite and offsite supervisors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Bank currently issues single-badge international scheme cards (e.g. Visa-only or Mastercard-only) for domestic and international use</w:t>
              <w:br/>
              <w:t>• Domestic UAE transactions are processed over international schemes, incurring higher scheme and interchange costs</w:t>
              <w:br/>
              <w:t>• No Jaywan branding, BIN ranges or scheme parameters exist in CMS and card lifecycle processes</w:t>
              <w:br/>
              <w:t>• Regulatory reporting does not segregate domestic scheme vs international scheme processing for card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All new-to-bank, renewal and replacement cards within mandated product families are issued as Jaywan co-badged (Jaywan + international scheme)</w:t>
              <w:br/>
              <w:t>• Card plastic and digital card displays both Jaywan and international scheme logos as per brand guidelines</w:t>
              <w:br/>
              <w:t>• CMS, card production and lifecycle workflows support co-badge data elements (dual AID, BIN mappings, routing preferences)</w:t>
              <w:br/>
              <w:t>• For customers where product is defined as domestic-only, mono-badged Jaywan cards are issued in line with risk and product strategy</w:t>
              <w:br/>
              <w:t>• Regulatory and internal reporting explicitly shows compliance metrics (percentage of eligible cards issued as Jaywan co-badged, exceptions, timelines)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Receipt and internalisation of official CBUAE circular and AEP operating regulations for Jaywan</w:t>
              <w:br/>
              <w:t>• Finalisation of legal and scheme participation agreements with AEP and relevant international schemes for co-badge model</w:t>
              <w:br/>
              <w:t>• Allocation and confirmation of Jaywan BIN ranges and configurations from AEP</w:t>
              <w:br/>
              <w:t>• Product governance approval for revised product constructs (mono and co-badged variants)</w:t>
              <w:br/>
              <w:t>• Branding approvals and card design sign-off from Jaywan and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100% of new cards and replacements (for in-scope portfolios) issued after go-live date are Jaywan mono or Jaywan co-badged as per product mapping</w:t>
              <w:br/>
              <w:t>• No card issued after mandated cut-over date for in-scope products is single-badge international scheme only unless explicitly exempted in writing by CBUAE</w:t>
              <w:br/>
              <w:t>• Compliance report to CBUAE evidencing adoption rates is generated and internally validated within one month of go-live</w:t>
              <w:br/>
              <w:t>• Successful completion of CBUAE/AEP certification or readiness checks confirming adherence to the mandate</w:t>
              <w:br/>
              <w:t>• No material regulatory observations raised related to non-compliance with mandate 5480-2024 in the first regulatory review post go-live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Customers with active international-only cards issued before the mandate cutover may continue using cards until natural expiry, subject to CBUAE migration guidance</w:t>
              <w:br/>
              <w:t>• For specific niche products (e.g. closed-loop corporate arrangements) where co-badge is not technically feasible, documented exception and approval from CBUAE will be maintained</w:t>
              <w:br/>
              <w:t>• In case of delay in co-badge readiness for a particular international scheme, bank may temporarily prioritise Jaywan mono cards for domestic-only products while maintaining existing international-only cards until co-badge readiness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 Mandate reference 5480-2024 for Jaywan co-badged cards</w:t>
              <w:br/>
              <w:t>• Al Etihad Payments – Jaywan Scheme Rules and Participation Agreement</w:t>
              <w:br/>
              <w:t>• Context 1 – Contribution of the Local Payment Card Scheme in Reducing Payment Costs</w:t>
              <w:br/>
              <w:t>• Context 2 and 4 – CBUAE Circulars and Jaywan FAQs (public classification)</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Jaywan Mono-Badged and Co-Badged Card Product Design and BIN Configuration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Define and implement Jaywan mono-badged and Jaywan co-badged product variants for retail and corporate segments</w:t>
              <w:br/>
              <w:t>• Configure dedicated Jaywan BINs (and sub-BINs where applicable) for mono and co-badge products, mapped to correct product hierarchies and GLs</w:t>
              <w:br/>
              <w:t>• Ensure card product parameters support mandated usage geographies (UAE, GCC, approved cross-border corridors) and risk controls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card products mapped to Visa/Mastercard BINs only</w:t>
              <w:br/>
              <w:t>• No Jaywan BIN ranges or product codes created in CMS</w:t>
              <w:br/>
              <w:t>• Product catalogue, fee structures and risk parameters tailored to international schemes</w:t>
              <w:br/>
              <w:t>• No distinction in product configuration for domestic-only versus domestic-plus-international routing at BIN level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New Jaywan mono-badge BINs created and linked to domestic-use products (e.g. salary cards, basic debit)</w:t>
              <w:br/>
              <w:t>• New Jaywan co-badge BINs created where same physical/digital card carries both Jaywan and international scheme credentials</w:t>
              <w:br/>
              <w:t>• CMS and product catalogue updated to reflect Jaywan features, fee rules and controls (e.g. domestic limits, cross-border corridors)</w:t>
              <w:br/>
              <w:t>• BIN tables shared with Switch, 3D Secure, tokenisation platforms and fraud systems for consistent behaviour</w:t>
              <w:br/>
              <w:t>• Product documentation updated to include scheme-specific rights and obligations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Confirmation of BIN ranges allocated by AEP</w:t>
              <w:br/>
              <w:t>• Product governance and risk approvals for new product constructs</w:t>
              <w:br/>
              <w:t>• Agreement with Finance on GL mapping and fee treatment for Jaywan</w:t>
              <w:br/>
              <w:t>• Completion of CMS impact assessment and design sessions</w:t>
              <w:br/>
              <w:t>• Sign-off from Brand/Marketing on card hierarchy and naming conventions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All Jaywan mono and co-badge BINs successfully created, tested and visible in CMS and Switch</w:t>
              <w:br/>
              <w:t>• Test cards generated for each product/BIN and used to validate authorisation, clearing and settlement behaviour</w:t>
              <w:br/>
              <w:t>• Product catalogue demonstrates clear mapping between card product, BIN, scheme (Jaywan vs international) and usage profile</w:t>
              <w:br/>
              <w:t>• No production incidents related to incorrect BIN routing during pilot and first month of mass issuance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Where legacy systems cannot support co-badge at BIN level, alternative configuration (e.g. scheme-specific PAN ranges within same product) may be used with documented limitations</w:t>
              <w:br/>
              <w:t>• For selected corporate or premium segments, initial launch may be co-badge only, with mono-badge offered in later phase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AEP – Jaywan BIN Allocation and Technical Specification</w:t>
              <w:br/>
              <w:t>• Internal CMS Configuration Standards</w:t>
              <w:br/>
              <w:t>• Context 4 – AEP communication on mono-badge and co-badge options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Domestic and International Transaction Routing for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Implement routing logic to ensure optimal and compliant processing of Jaywan co-badged card transactions</w:t>
              <w:br/>
              <w:t>• Domestic transactions where issuer and acquirer are within UAE (and agreed GCC jurisdictions) must be routed via Jaywan domestic rails</w:t>
              <w:br/>
              <w:t>• International transactions or those initiated outside domestic acceptance domains to be routed via the respective international scheme leg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All transactions for Visa/Mastercard cards routed via respective international network, irrespective of domestic or cross-border nature</w:t>
              <w:br/>
              <w:t>• Switch uses standard scheme routing with no awareness of Jaywan</w:t>
              <w:br/>
              <w:t>• No domestic preferential routing or AID-selection logic implemented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Switch and downstream systems determine routing based on card AID, BIN, MCC, merchant country and acquirer configuration</w:t>
              <w:br/>
              <w:t>• For eligible POS/ATM transactions in UAE, Jaywan AID is prioritised and transaction routed to AEP/Jaywan</w:t>
              <w:br/>
              <w:t>• For transactions outside UAE or where merchant/acquirer not on Jaywan, transaction flows via Visa/Mastercard (or other international scheme)</w:t>
              <w:br/>
              <w:t>• For e-commerce and tokenised transactions, routing is aligned with CBUAE DMS rules and scheme integration design</w:t>
              <w:br/>
              <w:t>• Clear fallback rules exist for cases where Jaywan rails are unavailable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Detailed routing rules and eligibility matrix from AEP and schemes</w:t>
              <w:br/>
              <w:t>• Switch vendor design workshops and configuration capability confirmation</w:t>
              <w:br/>
              <w:t>• Testing environment with connectivity to AEP and international schemes</w:t>
              <w:br/>
              <w:t>• Agreement with Acquiring business on merchant onboarding and enablement for Jaywan acceptance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Test scenarios demonstrate correct routing for all combinations of: domestic/international location, merchant type, terminal capability, and scheme availability</w:t>
              <w:br/>
              <w:t>• Minimum 95% of eligible domestic transactions for co-badged cards processed via Jaywan within three months of go-live (target to be refined with AEP)</w:t>
              <w:br/>
              <w:t>• No customer-facing transaction failures attributable to incorrect routing decisions during pilot and first production month</w:t>
              <w:br/>
              <w:t>• Monitoring dashboards show real-time visibility of routing distribution between Jaywan and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In case of Jaywan service unavailability, routing automatically falls back to international scheme leg for co-badged cards if scheme rules permit</w:t>
              <w:br/>
              <w:t>• For merchants not enabled for Jaywan acceptance, transactions may proceed over international scheme even if domestic</w:t>
              <w:br/>
              <w:t>• Specific MCCs or transaction types (e.g. recurring, MOTO) may be temporarily kept on international scheme until Jaywan fully supports them</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AEP – Jaywan Interface and Routing Specifications</w:t>
              <w:br/>
              <w:t>• International Scheme Co-Badge and Fallback Routing Guidelines</w:t>
              <w:br/>
              <w:t>• Context 1 and 2 – Readiness of financial infrastructure to activate Jaywan locally and globally</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Support for Jaywan Transactions across ATM, POS, ECOM and Tokenised Channels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Enable Jaywan acceptance and issuing capabilities across all primary customer channels: ATM, POS, e-commerce and tokenised mobile wallets</w:t>
              <w:br/>
              <w:t>• Ensure omni-channel consistency for PIN, CVV, contactless, tokenisation and risk controls for Jaywan mono and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ATM and POS channels process Visa/Mastercard transactions via existing switching and scheme integrations</w:t>
              <w:br/>
              <w:t>• ECOM and tokenised transactions primarily processed through Visa DMS and corresponding tokenisation platforms</w:t>
              <w:br/>
              <w:t>• POS tokenised transactions may not be in current scope for domestic scheme handling</w:t>
              <w:br/>
              <w:t>• No configuration for Jaywan AID at ATMs, POS terminals or HSMs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ATMs and POS terminals configured with Jaywan AID, keys and parameters</w:t>
              <w:br/>
              <w:t>• Acquiring host and Switch integrated with AEP for Jaywan authorisation and clearing for ATM and POS</w:t>
              <w:br/>
              <w:t>• E-commerce gateway and 3D Secure server configured to support Jaywan rails and CBUAE DMS flows for relevant transactions</w:t>
              <w:br/>
              <w:t>• Tokenisation platforms and wallet integrations support Jaywan (starting with Samsung Wallet, followed by Google Pay and Apple Pay per AEP roadmap)</w:t>
              <w:br/>
              <w:t>• POS tokenised transactions included within scope where mandated, with correct routing to Jaywan/domestic rails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Jaywan EMV, contact, contactless and AID specifications from AEP</w:t>
              <w:br/>
              <w:t>• Upgrade plans for ATM/POS firmware and parameters to support Jaywan</w:t>
              <w:br/>
              <w:t>• 3D Secure and payment gateway vendor readiness for Jaywan</w:t>
              <w:br/>
              <w:t>• Tokenisation and wallet partnership enablement with AEP and wallet providers</w:t>
              <w:br/>
              <w:t>• Completion of CBUAE DMS integration design for ECOM and tokenised 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Successful end-to-end test transactions for Jaywan across ATM cash withdrawal, balance enquiry, POS purchase, refund and cash advance (if applicable)</w:t>
              <w:br/>
              <w:t>• Successful ECOM transactions with 3D Secure authentication via Jaywan rails as per CBUAE DMS</w:t>
              <w:br/>
              <w:t>• Successful provisioning and payment via Samsung Wallet for Jaywan cards in production-like environment</w:t>
              <w:br/>
              <w:t>• Transaction success and decline ratios for Jaywan comparable to existing international schemes for similar use cases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 specific wallet (e.g. Apple Pay or Google Pay) is not yet live for Jaywan, cards continue using international scheme tokenisation until enabled</w:t>
              <w:br/>
              <w:t>• For certain MCCs or high-risk channels, bank may choose to route via international schemes initially while Jaywan risk models mature</w:t>
              <w:br/>
              <w:t>• For ATMs or POS not yet upgraded to support Jaywan, transactions may proceed over international schemes using co-badge leg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AEP – Jaywan EMV and Channel Implementation Guide</w:t>
              <w:br/>
              <w:t>• Context 3 – Implementation of Jaywan on Samsung Wallet, and roadmap for Google Pay and Apple Pay</w:t>
              <w:br/>
              <w:t>• Internal Channel Architecture and Integration Design Documents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Dual Messaging (DMS) and Message Formats for Jaywan and Co-Badged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Implement support for CBUAE DMS and relevant scheme dual messaging requirements for ECOM and tokenisation transactions</w:t>
              <w:br/>
              <w:t>• Ensure correct authorisation, clearing and settlement message flows for Jaywan and co-badge legs across channels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process documentation for SMS (ATM, POS) and VISA DMS (ECOM and tokenisation transactions) is in place</w:t>
              <w:br/>
              <w:t>• CBUAE DMS (To-Be) for ECOM and tokenisation transactions documented but not yet fully implemented</w:t>
              <w:br/>
              <w:t>• Dual messaging to local scheme not currently supported for Jaywan as it is new</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CBUAE DMS implemented for Jaywan where required, with clear mapping between authorisation, presentment and clearing messages</w:t>
              <w:br/>
              <w:t>• Co-badge transactions correctly split between domestic leg (Jaywan) and international leg (Visa/Mastercard) depending on routing decision</w:t>
              <w:br/>
              <w:t>• Reconciliation and settlement systems able to consume DMS files and perform matching</w:t>
              <w:br/>
              <w:t>• Exception management procedures defined for mismatches, late presentments and reversals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Final CBUAE DMS specifications for Jaywan and co-badged flows</w:t>
              <w:br/>
              <w:t>• Alignment workshops between Business, IT, Card Ops and GBO-ATM/CDM on dual messaging process steps</w:t>
              <w:br/>
              <w:t>• Switch and host system enhancements to support new message fields and flows</w:t>
              <w:br/>
              <w:t>• Updated documentation and sign-offs on revised process 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All defined DMS scenarios for Jaywan and co-badge pass SIT and UAT with no unmatched or orphan messages</w:t>
              <w:br/>
              <w:t>• Reconciliation team confirms that DMS data is sufficient for accurate matching and settlement</w:t>
              <w:br/>
              <w:t>• No critical production incidents related to dual messaging for Jaywan in first month after go-live</w:t>
              <w:br/>
              <w:t>• CBUAE and AEP confirm acceptance of bank’s message formats during certification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For channels not yet mandated for DMS, standard single message flows may temporarily continue with clear roadmap for migration</w:t>
              <w:br/>
              <w:t>• For exception cases (e.g. offline transactions) manual or batch adjustment procedures will be defined and documented</w:t>
              <w:br/>
              <w:t>• In case of DMS processing failure, fallback to contingency file exchange with AEP may be used as per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 DMS Specifications for Card Transactions</w:t>
              <w:br/>
              <w:t>• VISA DMS and CBUAE DMS Process Documents (internal)</w:t>
              <w:br/>
              <w:t>• Context 7 – Documented process flow for current SMS, VISA DMS and CBUAE DMS (To-Be)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Reconciliation, GL Mapping and Settlement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Define and implement end-to-end reconciliation and GL mapping for Jaywan mono-badged and co-badged transactions</w:t>
              <w:br/>
              <w:t>• Ensure alignment of finance, operations and IT on accounting entries, net settlement, fee accounting and exception handling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Reconciliation process and GL mapping designed for existing schemes (Visa/Mastercard) only</w:t>
              <w:br/>
              <w:t>• Original reports from CBUAE for current schemes available and used</w:t>
              <w:br/>
              <w:t>• No specific GLs for Jaywan settlement, interchange or scheme fees</w:t>
              <w:br/>
              <w:t>• Disputes and chargeback accounting aligned to international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Dedicated GLs created for Jaywan domestic interchange income/expense, scheme fees and settlement positions</w:t>
              <w:br/>
              <w:t>• Reconciliation reports enhanced to segregate Jaywan transactions by channel, product, corridor and scheme leg</w:t>
              <w:br/>
              <w:t>• Automated reconciliation between AEP settlement reports, scheme files and internal ledger balances</w:t>
              <w:br/>
              <w:t>• Exception management process defined for breaks and disputes involving Jaywan</w:t>
              <w:br/>
              <w:t>• Finance team able to produce P&amp;L and balance sheet impacts specific to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Confirmation from Finance that GL details and structure are finalised (as indicated in context)</w:t>
              <w:br/>
              <w:t>• Receipt of original settlement and reconciliation report formats from CBUAE/AEP</w:t>
              <w:br/>
              <w:t>• Detailed design sessions between Reconciliation, Finance, IT and Card Ops</w:t>
              <w:br/>
              <w:t>• Availability of sample and test settlement files from AEP for validation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Daily reconciliation of Jaywan transactions completed within agreed T+1 or T+2 timelines</w:t>
              <w:br/>
              <w:t>• Reconciliation breaks for Jaywan maintained within defined operational thresholds and tracked via MIS</w:t>
              <w:br/>
              <w:t>• All Jaywan GL accounts reconciled monthly with no unexplained balances</w:t>
              <w:br/>
              <w:t>• Successful internal audit sign-off of Jaywan reconciliation and GL design before or shortly after go-live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In case of delay in automation, interim manual reconciliation may be used with documented compensating controls and sign-offs</w:t>
              <w:br/>
              <w:t>• Where co-badge transactions involve both Jaywan and international scheme legs, partial automation combined with manual checks may be implemented initially</w:t>
              <w:br/>
              <w:t>• If AEP revises settlement file formats post go-live, change control process will be followed for required system updates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 AEP – Settlement and Reconciliation Report Specifications</w:t>
              <w:br/>
              <w:t>• Internal Finance GL Design Confirmation (Context 7 – GLs details ready)</w:t>
              <w:br/>
              <w:t>• Context 6 – Clarified queries with business and request for original report from CBUAE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Refunds, Reversals, Chargebacks and Dispute Management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Define and implement operational and system capabilities for handling refunds, reversals, chargebacks and disputes for Jaywan mono and co-badged transactions</w:t>
              <w:br/>
              <w:t>• Ensure alignment with Jaywan scheme rules, CBUAE regulations and internal risk policies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Refunds, reversals, chargebacks and disputes currently managed under international scheme rules (Visa/Mastercard)</w:t>
              <w:br/>
              <w:t>• Process documentation and systems tailored to existing schemes only</w:t>
              <w:br/>
              <w:t>• No defined flows or SLAs specific to Jaywan</w:t>
              <w:br/>
              <w:t>• Some updates on reversals, refunds and chargebacks identified as pending in meeting notes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Dispute and chargeback workflows enhanced to support Jaywan-specific reason codes, timeframes and evidence requirements</w:t>
              <w:br/>
              <w:t>• Systems updated to capture scheme indicator (Jaywan vs international) for all dispute cases and financial entries</w:t>
              <w:br/>
              <w:t>• Staff trained on Jaywan dispute handling, including merchant, acquirer and cardholder perspectives</w:t>
              <w:br/>
              <w:t>• Customer communication templates updated to reference Jaywan where applicable</w:t>
              <w:br/>
              <w:t>• MI on disputes and chargebacks segmented by scheme to support monitoring and cost management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Publication of Jaywan dispute and chargeback rules by AEP/CBUAE</w:t>
              <w:br/>
              <w:t>• System impact assessment across dispute management platforms, CRM and core banking</w:t>
              <w:br/>
              <w:t>• Agreement on SLAs and responsibilities between Issuing, Acquiring, Operations and Customer Service</w:t>
              <w:br/>
              <w:t>• Completion of updates on reversals, refunds and chargebacks identified in internal meetings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All Jaywan disputes processed within scheme-defined timeframes and internal SLAs</w:t>
              <w:br/>
              <w:t>• Dispute system can generate reports by scheme, reason code and outcome for Jaywan</w:t>
              <w:br/>
              <w:t>• No financial loss events due to inability to process Jaywan disputes as per scheme rules within first quarter after go-live</w:t>
              <w:br/>
              <w:t>• Positive feedback from CBUAE/AEP in any post-implementation review of dispute handling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For co-badged transactions initially processed via international scheme, dispute flows may follow international scheme rules while Jaywan processes mature</w:t>
              <w:br/>
              <w:t>• In exceptional cases where rules are ambiguous, bank will seek clarification from AEP and hold cases in a controlled pending state</w:t>
              <w:br/>
              <w:t>• Manual workarounds may be used temporarily for specific dispute scenarios until system enhancements are completed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Jaywan Scheme Dispute and Chargeback Rules (to be provided by AEP)</w:t>
              <w:br/>
              <w:t>• Internal Dispute Management SOPs</w:t>
              <w:br/>
              <w:t>• Context 7 – Updates on Reversal, Refunds, Chargebacks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Reporting and Regulatory Submissions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Implement comprehensive reporting capabilities for Jaywan covering operational, financial, risk and regulatory perspectives</w:t>
              <w:br/>
              <w:t>• Support CBUAE and AEP mandated reports, as well as internal MIS for monitoring adoption, performance and cost savings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reports built around Visa/Mastercard volumes, revenues, fraud and disputes</w:t>
              <w:br/>
              <w:t>• CBUAE reports do not currently include Jaywan segmentation</w:t>
              <w:br/>
              <w:t>• Queries have been clarified with business and original report formats from CBUAE have been shared, but Jaywan-specific extensions not yet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Regular regulatory reports submitted to CBUAE/AEP containing Jaywan transaction volumes, values, channels, fraud and chargeback metrics</w:t>
              <w:br/>
              <w:t>• Internal dashboards for Management, Product, Operations and Risk showing Jaywan adoption, routing split and cost savings</w:t>
              <w:br/>
              <w:t>• Exception and incident reports (e.g. high decline rates, reconciliation breaks, fraud spikes) for Jaywan with clear escalation paths</w:t>
              <w:br/>
              <w:t>• Reports to support AEP awareness campaign metrics and adoption tracking where requested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Finalisation of Jaywan reporting requirements from CBUAE/AEP</w:t>
              <w:br/>
              <w:t>• Data model and warehouse enhancements to store required Jaywan attributes</w:t>
              <w:br/>
              <w:t>• Agreement of internal KPIs and thresholds for Jaywan performance monitoring</w:t>
              <w:br/>
              <w:t>• Access to original CBUAE report structures (already shared as per context) adapted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All mandated Jaywan reports submitted to CBUAE/AEP within required timelines without data quality issues in first reporting cycle</w:t>
              <w:br/>
              <w:t>• Users can access standard Jaywan MIS via agreed reporting tools without manual data manipulation</w:t>
              <w:br/>
              <w:t>• Data quality checks confirm completeness and accuracy of Jaywan data (no missing scheme indicators, BIN, corridor, etc.)</w:t>
              <w:br/>
              <w:t>• Senior management dashboards for Jaywan available within two months of go-live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Interim manual or semi-manual reporting may be used for initial cycles while automated pipelines are being stabilised</w:t>
              <w:br/>
              <w:t>• If CBUAE revises reporting templates post go-live, change management will be applied for subsequent releases</w:t>
              <w:br/>
              <w:t>• For group-level reporting, Jaywan data may initially be aggregated at high level with more detailed segmentation added later</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 Reporting Templates for Domestic Card Schemes (public classification)</w:t>
              <w:br/>
              <w:t>• Original reports shared by CBUAE (Context 6)</w:t>
              <w:br/>
              <w:t>• Internal MIS and Data Governance Policies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BR-009</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Operational Readiness, SOPs and Training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Ensure all impacted operational teams are prepared to support Jaywan mono and co-badged cards from go-live</w:t>
              <w:br/>
              <w:t>• Update SOPs, RACI matrices, checklists and training material to reflect new scheme flows and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Operations teams (Card Ops, GBO-ATM/CDM, Reconciliation, Disputes, Call Centre) work with international schemes only</w:t>
              <w:br/>
              <w:t>• Existing SOPs and runbooks do not mention Jaywan</w:t>
              <w:br/>
              <w:t>• Limited awareness of Jaywan flows, timelines and regulatory expectations among frontline and back-office staff</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SOPs updated to include Jaywan-specific steps for card issuance, PIN mailers, disputes, chargebacks, reconciliations, exception handling and incident management</w:t>
              <w:br/>
              <w:t>• Staff trained on features and benefits of Jaywan, customer FAQs, AEP awareness key messages and escalation points</w:t>
              <w:br/>
              <w:t>• Operational KPIs defined for Jaywan (e.g. TAT for card issuance, dispute resolution, reconciliation closure)</w:t>
              <w:br/>
              <w:t>• Stakeholder matrix updated to include AEP points of contact for incident escalation and scheme queries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Finalised process flows (As-Is and To-Be) incorporating Jaywan</w:t>
              <w:br/>
              <w:t>• Confirmation of scheme rules, SLAs and reporting obligations from AEP/CBUAE</w:t>
              <w:br/>
              <w:t>• Availability of training material, including content from AEP awareness campaign where reusable</w:t>
              <w:br/>
              <w:t>• Completion of discovery sessions and sign-off on operational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100% of relevant operational staff complete Jaywan training prior to go-live and achieve minimum pass marks in assessments (where applicable)</w:t>
              <w:br/>
              <w:t>• SOPs and runbooks approved and published before go-live</w:t>
              <w:br/>
              <w:t>• No major operational incidents attributable to lack of awareness or process gaps within first month after launch</w:t>
              <w:br/>
              <w:t>• Positive feedback from internal QA or operational risk review of Jaywan readiness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For smaller branches or remote locations, e-learning or virtual training may be used instead of classroom sessions</w:t>
              <w:br/>
              <w:t>• In case of late changes from AEP/CBUAE, interim memos may supplement SOPs until formal updates are published</w:t>
              <w:br/>
              <w:t>• If certain low-volume processes are not fully automated by go-live, manual checklists may be provided as interim control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Internal Process Flow Documents (Context 5, 7, 9)</w:t>
              <w:br/>
              <w:t>• AEP – Awareness Campaign Material (April 2025 launch)</w:t>
              <w:br/>
              <w:t>• Internal HR and Training Policies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BR-010</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Discovery and Stakeholder Engagement for Additional Jaywan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Conduct structured discovery sessions with Business, IT and external stakeholders to capture additional requirements for Jaywan mono-badged and co-badged cards</w:t>
              <w:br/>
              <w:t>• Maintain updated backlog and prioritisation for phased delivery aligned with CBUAE timelines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Initial meetings held among Business, IT, BA, Manager and other stakeholders to review processes and clarification points</w:t>
              <w:br/>
              <w:t>• High-level discovery schedule for Jaywan mono and co-badged sessions defined but further sessions pending</w:t>
              <w:br/>
              <w:t>• Queries to AEP identified but not fully consolidated and addressed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Formal discovery calendar for Jaywan sessions adhered to with clear agenda, minutes and action items</w:t>
              <w:br/>
              <w:t>• Requirements and queries to AEP consolidated, tracked and addressed in a central log</w:t>
              <w:br/>
              <w:t>• Change requests for post-MVP enhancements captured and aligned with release planning</w:t>
              <w:br/>
              <w:t>• Stakeholders kept informed of progress, decisions and design changes impacting their areas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Confirmation of attendees and roles for each discovery session (Business, IT, Operations, Finance, Risk)</w:t>
              <w:br/>
              <w:t>• Baseline documentation (current process flows, regulatory circulars, scheme rules) available to all participants</w:t>
              <w:br/>
              <w:t>• Governance structure defined (Steering Committee, Working Groups, Design Authority)</w:t>
              <w:br/>
              <w:t>• Tools and templates for minutes, decision logs and requirements registers agreed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All planned discovery sessions for mono and co-badged requirements completed by agreed milestone date</w:t>
              <w:br/>
              <w:t>• 100% of identified action items documented with owners and due dates</w:t>
              <w:br/>
              <w:t>• No major requirement gaps discovered post go-live that could have been reasonably identified during discovery</w:t>
              <w:br/>
              <w:t>• Positive feedback from stakeholders on clarity and completeness of requirement capture process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Where physical meetings are not feasible, virtual sessions will be conducted and recorded</w:t>
              <w:br/>
              <w:t>• Critical decisions can be escalated to Steering Committee via written notes if consensus not reached in discovery sessions</w:t>
              <w:br/>
              <w:t>• If new regulatory guidance emerges mid-project, additional ad-hoc discovery sessions will be scheduled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Context 5, 8 and 9 – Meeting attendees, agenda, minutes and discovery schedule</w:t>
              <w:br/>
              <w:t>• Discovery Sessions Calendar – “Discovery sessions for additional requirements for Jaywan Mono badged cards, Jaywan co badged cards”</w:t>
            </w:r>
          </w:p>
        </w:tc>
      </w:tr>
    </w:tbl>
    <w:p>
      <w:pPr>
        <w:pStyle w:val="Normal"/>
        <w:rPr/>
      </w:pPr>
      <w:r>
        <w:rPr/>
      </w:r>
    </w:p>
    <w:p>
      <w:pPr>
        <w:pStyle w:val="Normal"/>
        <w:rPr>
          <w:b/>
          <w:bCs/>
        </w:rPr>
      </w:pPr>
      <w:r>
        <w:rPr>
          <w:b/>
          <w:bCs/>
        </w:rPr>
        <w:t>Requirement Traceability Matrix</w:t>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BR-001</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Compliance with CBUAE mandate 5480-2024 requiring Jaywan co-badged card issuance across licensed FIs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CBUAE Circular, Central Government Mandate, Internal Compliance Function</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Card Management System, Card Production, CRM, Regulatory Reporting, Governance and Compliance Tools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Full regulatory compliance, avoidance of supervisory findings, standardised co-badge issuance across portfolios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BR-002</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Design and configuration of Jaywan mono and co-badge products and BINs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Product Management, AEP Scheme Participation Documentation, Finance GL Requirements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Card Management System, Switch, Card Personalisation System, Data Warehouse, GL System</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Correct identification and processing of Jaywan transactions and accurate product-level reporting</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BR-003</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Domestic versus international routing logic for Jaywan co-badged cards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AEP Technical Specs, CBUAE Domestic Scheme Policy, IT Architecture Workshops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Switch, ATM/POS Host, ECOM Gateway, 3D Secure Server, Fraud Monitoring</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Optimised domestic routing, reduced payment costs and compliant cross-border handling</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BR-004</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Enablement of Jaywan across ATM, POS, ECOM and tokenised channels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Channel Owners (ATM, POS, Digital Banking), AEP Channel Readiness Communications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ATM Network, POS Acquiring Platform, ECOM Gateway, Tokenisation Platforms, Mobile Wallet Integrations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Seamless omni-channel customer experience and higher Jaywan adoption</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BR-005</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Implementation of CBUAE DMS and dual messaging for Jaywan and co-badged transactions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CBUAE DMS Specifications, Existing VISA DMS Documentation, IT-Business Workshops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Switch, Host Authorisation, Reconciliation Engine, Data Warehouse</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Accurate authorisation-clearing linkage and compliant settlement across schemes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BR-006</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Reconciliation, GL mapping and settlement for Jaywan</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Finance Team Requirements, Reconciliation Team Workshops, CBUAE/AEP Settlement Formats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Reconciliation System, GL/Finance System, Data Warehouse, Reporting Tools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Accurate financial accounting, transparent settlement and reduced operational risk</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BR-007</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Refunds, reversals, chargebacks and dispute management for Jaywan transactions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AEP/Jaywan Scheme Rules, Operations and Dispute Management Requirements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Dispute Management Platform, CRM, Core Banking, GL, Customer Communication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Effective customer protection and loss mitigation aligned to scheme and regulatory expectations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BR-008</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Reporting and regulatory submissions for Jaywan</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CBUAE/AEP Reporting Mandates, Internal MIS Requirements, Risk and Compliance Inputs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Data Warehouse, BI Tools, Regulatory Reporting Engine, Operational MIS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Timely, accurate regulatory submissions and informed decision-making on Jaywan performance</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BR-009</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Operational readiness, SOPs and training for Jaywan</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Operations, HR/Training, Operational Risk, Internal Audit</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SOP Repositories, Learning Management System, Knowledge Portals, Incident Management Tools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Smooth operational support for Jaywan with minimal service disruption and controlled risks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BR-010</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Discovery and stakeholder engagement for additional Jaywan requirements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Project Governance, Business and IT Stakeholders, Meeting Minutes and Schedules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Requirements Management Tools, Project Management Systems, Document Repositories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Comprehensive and prioritised requirement set for phased Jaywan implementation</w:t>
            </w:r>
          </w:p>
        </w:tc>
      </w:tr>
    </w:tbl>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 Up to 2–3 million cardholders across retail and corporate segments for Jaywan mono and co-badged cards within 3 years</w:t>
              <w:br/>
              <w:t>• Approximately 3,000–5,000 internal users (Operations, Branch, Contact Centre, Finance, Risk, IT) requiring access to Jaywan-related processes and reports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 Authorisation TPS: Ability to handle at least 2x current domestic peak for card authorisations, with headroom for future growth under Jaywan</w:t>
              <w:br/>
              <w:t>• Peak daily Jaywan transactions: Support for at least 1.5x projected high-season (e.g. holidays) domestic transaction volume across ATM, POS, ECOM and tokenised channels</w:t>
              <w:br/>
              <w:t>• Batch processing: Completion of Jaywan clearing, settlement and reconciliation batch runs within existing nightly window without impacting cut-off times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 Initial forecast: 20–40% of total domestic card volume routed via Jaywan within first 12 months, increasing to 60–80% in medium term subject to market adoption</w:t>
              <w:br/>
              <w:t>• Systems and storage sized to handle at least 50 million Jaywan-related transaction records per month with 5-year online availability and longer-term archive as per policy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 Jaywan transaction processing availability of minimum 99.9% on a monthly basis across all channels, excluding agreed maintenance windows</w:t>
              <w:br/>
              <w:t>• Reporting and reconciliation tools availability of minimum 99.5% during business hours</w:t>
              <w:br/>
              <w:t>• RPO (Recovery Point Objective) for Jaywan transaction data not exceeding 15 minutes; RTO (Recovery Time Objective) not exceeding 1 hour for critical processing components</w:t>
            </w:r>
          </w:p>
        </w:tc>
      </w:tr>
    </w:tbl>
    <w:p>
      <w:pPr>
        <w:pStyle w:val="Normal"/>
        <w:rPr/>
      </w:pPr>
      <w:r>
        <w:rPr/>
      </w:r>
    </w:p>
    <w:p>
      <w:pPr>
        <w:pStyle w:val="Normal"/>
        <w:rPr/>
      </w:pPr>
      <w:r>
        <w:rPr>
          <w:b/>
          <w:bCs/>
        </w:rPr>
        <w:t>Impact on Operational process:</w:t>
      </w:r>
      <w:r>
        <w:rPr/>
        <w:t xml:space="preserve"> • Card issuance processes will be updated to handle Jaywan mono and co-badged products, including new card ordering, embossing, PIN generation and card activation steps</w:t>
        <w:br/>
        <w:t>• Call Centre and Branch processes will incorporate Jaywan-specific scripts, FAQs and troubleshooting for domestic versus international usage, tokenised wallets and cross-border corridors</w:t>
        <w:br/>
        <w:t>• ATM and POS Operations (including vendor management) will add Jaywan AID and parameter management to standard deployment and monitoring routines</w:t>
        <w:br/>
        <w:t>• Reconciliation teams will need to manage additional Jaywan settlement files, new GL accounts and enhanced exception handling workflows</w:t>
        <w:br/>
        <w:t>• Dispute and chargeback handling will expand to cover Jaywan scheme rules, requiring updated checklists, documentation requirements and follow-up with AEP counterparts</w:t>
        <w:br/>
        <w:t>• Incident and problem management processes will include Jaywan-specific severity definitions, communication templates and coordination with AEP/National Switch support teams</w:t>
        <w:br/>
        <w:t>• Operational reporting cycles will include Jaywan KPIs, regulatory submissions and internal dashboards for management and risk committees</w:t>
        <w:br/>
        <w:t>• Additional coordination will be required between Business, IT, Finance and Compliance for ongoing updates to Jaywan scheme rules, bilateral agreements and regulatory circulars</w:t>
      </w:r>
    </w:p>
    <w:p>
      <w:pPr>
        <w:pStyle w:val="Normal"/>
        <w:rPr/>
      </w:pPr>
      <w:r>
        <w:rPr/>
      </w:r>
    </w:p>
    <w:p>
      <w:pPr>
        <w:pStyle w:val="Normal"/>
        <w:rPr/>
      </w:pPr>
      <w:r>
        <w:rPr/>
      </w:r>
    </w:p>
    <w:p>
      <w:pPr>
        <w:pStyle w:val="Normal"/>
        <w:rPr/>
      </w:pPr>
      <w:r>
        <w:rPr>
          <w:b/>
          <w:bCs/>
        </w:rPr>
        <w:t>Regulatory impact:</w:t>
      </w:r>
      <w:r>
        <w:rPr/>
        <w:t xml:space="preserve"> • Mandatory compliance with CBUAE circular and central government directive mandating issuance of Jaywan co-badged cards (reference 5480-2024)</w:t>
        <w:br/>
        <w:t>• Alignment with CBUAE payment systems regulations, retail payment services regulations and any specific domestic card scheme guidelines</w:t>
        <w:br/>
        <w:t>• Need to comply with CBUAE requirements on transaction routing, fee transparency, customer protection, dispute resolution and reporting for domestic schemes</w:t>
        <w:br/>
        <w:t>• Adherence to AEP/Jaywan operating rules covering technical specifications, certification, fraud management, chargebacks and settlement timelines</w:t>
        <w:br/>
        <w:t>• Data localisation and data sharing controls must comply with UAE data protection and banking secrecy regulations when processing Jaywan data locally and through cross-border corridors (e.g. India bilateral agreements)</w:t>
        <w:br/>
        <w:t>• Submission of periodic and ad-hoc reports to CBUAE and AEP on Jaywan volumes, outages, fraud statistics, customer complaints and compliance status</w:t>
        <w:br/>
        <w:t>• Potential requirement for regulatory approval or notification for material changes to card product constructs, routing logic or fee structures related to Jaywan</w:t>
        <w:br/>
        <w:t>• Internal Compliance and Legal functions will update compliance risk assessment and regulatory obligations register to include Jaywan-specific requirements</w:t>
      </w:r>
    </w:p>
    <w:p>
      <w:pPr>
        <w:pStyle w:val="Normal"/>
        <w:rPr/>
      </w:pPr>
      <w:r>
        <w:rPr/>
      </w:r>
    </w:p>
    <w:p>
      <w:pPr>
        <w:pStyle w:val="Normal"/>
        <w:rPr/>
      </w:pPr>
      <w:r>
        <w:rPr/>
      </w:r>
    </w:p>
    <w:p>
      <w:pPr>
        <w:pStyle w:val="Normal"/>
        <w:rPr/>
      </w:pPr>
      <w:r>
        <w:rPr>
          <w:b/>
          <w:bCs/>
        </w:rPr>
        <w:t>Reports requirement:</w:t>
      </w:r>
      <w:r>
        <w:rPr/>
        <w:t xml:space="preserve"> • Regulatory reports to CBUAE and AEP on Jaywan transaction volumes, values, channels, merchant categories, cross-border corridors and adoption metrics, submitted monthly or as defined by circulars</w:t>
        <w:br/>
        <w:t>• Operational MIS for Card Operations, ATM/POS Operations and Dispute Management showing Jaywan transaction counts, declines, reversals, refunds, chargebacks, ageing and SLA adherence</w:t>
        <w:br/>
        <w:t>• Financial reports for Finance and Product Management including Jaywan interchange income/expense, scheme fees, net settlement positions and P&amp;L contribution</w:t>
        <w:br/>
        <w:t>• Risk and Fraud reports including Jaywan fraud cases, chargeback ratios, high-risk merchants, geolocation analysis and control effectiveness indicators</w:t>
        <w:br/>
        <w:t>• Customer experience and service reports, including complaint statistics and root-cause analysis for Jaywan-related issues</w:t>
        <w:br/>
        <w:t>• Implementation progress and governance dashboards for Steering Committee showing key milestones, readiness status, open risks and issues</w:t>
        <w:br/>
        <w:t>• Ad-hoc reports to support AEP awareness campaign measurement, including number of Jaywan cards issued, active usage, and merchant acceptance penetration</w:t>
        <w:br/>
        <w:t>• Reports to be available in standard electronic formats (e.g. CSV, XLSX, PDF) with secure distribution lists and appropriate segregation of duties</w:t>
      </w:r>
    </w:p>
    <w:p>
      <w:pPr>
        <w:pStyle w:val="Normal"/>
        <w:rPr/>
      </w:pPr>
      <w:r>
        <w:rPr/>
      </w:r>
    </w:p>
    <w:p>
      <w:pPr>
        <w:pStyle w:val="Normal"/>
        <w:rPr/>
      </w:pPr>
      <w:r>
        <w:rPr/>
      </w:r>
    </w:p>
    <w:p>
      <w:pPr>
        <w:pStyle w:val="Normal"/>
        <w:rPr/>
      </w:pPr>
      <w:r>
        <w:rPr>
          <w:b/>
          <w:bCs/>
        </w:rPr>
        <w:t>Access requirement:</w:t>
      </w:r>
      <w:r>
        <w:rPr/>
        <w:t xml:space="preserve"> • Role-based access control (RBAC) must be implemented for all Jaywan-related systems and data, aligned with the bank’s information security and segregation of duties policies</w:t>
        <w:br/>
        <w:t>• Distinct access profiles for Business Users, Operations, Finance, Risk, Compliance, IT Support and Administrators with least-privilege principle</w:t>
        <w:br/>
        <w:t>• Strong authentication (including MFA where mandated) for access to core payment systems, reconciliation tools, dispute platforms and reporting dashboards handling Jaywan data</w:t>
        <w:br/>
        <w:t>• Access to regulatory reporting modules restricted to authorised Compliance and Finance users with maker-checker controls</w:t>
        <w:br/>
        <w:t>• Privileged access to configuration items (e.g. routing tables, BIN configurations, GL mappings) available only to a limited set of authorised administrators with full audit trails and approval workflows</w:t>
        <w:br/>
        <w:t>• Branch and Call Centre staff provided read-only or limited-update access to Jaywan customer and transaction information as necessary for servicing</w:t>
        <w:br/>
        <w:t>• Periodic access reviews and recertifications conducted at least quarterly to ensure appropriateness of Jaywan-related system access</w:t>
        <w:br/>
        <w:t>• External access by AEP, vendors or service providers to be governed by formal contracts, NDAs and technical controls such as VPN, IP whitelisting and secure logging</w:t>
      </w:r>
    </w:p>
    <w:p>
      <w:pPr>
        <w:pStyle w:val="Normal"/>
        <w:rPr/>
      </w:pPr>
      <w:r>
        <w:rPr/>
      </w:r>
    </w:p>
    <w:p>
      <w:pPr>
        <w:pStyle w:val="Normal"/>
        <w:rPr/>
      </w:pPr>
      <w:r>
        <w:rPr/>
      </w:r>
    </w:p>
    <w:p>
      <w:pPr>
        <w:pStyle w:val="Normal"/>
        <w:rPr/>
      </w:pPr>
      <w:r>
        <w:rPr>
          <w:b/>
          <w:bCs/>
        </w:rPr>
        <w:t>Security requirement:</w:t>
      </w:r>
      <w:r>
        <w:rPr/>
        <w:t xml:space="preserve"> • All Jaywan cardholder data (PAN, expiry, CVV, PIN, sensitive auth data) must be protected in line with PCI-DSS, CBUAE and internal security standards</w:t>
        <w:br/>
        <w:t>• Encryption of data in transit for Jaywan transactions using industry-standard protocols (e.g. TLS) between bank, AEP and scheme partners</w:t>
        <w:br/>
        <w:t>• Encryption of data at rest in card management databases, token vaults, log repositories and reporting stores where Jaywan data is stored</w:t>
        <w:br/>
        <w:t>• HSM-based key management for PIN, EMV keys and other cryptographic materials used in Jaywan processing across ATM, POS and digital channels</w:t>
        <w:br/>
        <w:t>• Tokenisation of card data for mobile wallets and e-commerce use cases, with separation of token vault and transaction processing environments</w:t>
        <w:br/>
        <w:t>• Implementation of fraud monitoring rules and real-time risk scoring tailored to Jaywan domestic patterns, including integration with existing fraud detection platforms</w:t>
        <w:br/>
        <w:t>• Logging and monitoring of all privileged access and configuration changes related to Jaywan systems, with alerting for suspicious activities</w:t>
        <w:br/>
        <w:t>• Business continuity and disaster recovery controls (including regular DR tests) to ensure resilience of Jaywan processing in line with RPO/RTO commitments</w:t>
        <w:br/>
        <w:t>• Compliance with CBUAE and AEP security and incident reporting requirements, including timelines for breach notification and root cause analysis</w:t>
      </w:r>
    </w:p>
    <w:p>
      <w:pPr>
        <w:pStyle w:val="Normal"/>
        <w:rPr/>
      </w:pPr>
      <w:r>
        <w:rPr/>
      </w:r>
    </w:p>
    <w:p>
      <w:pPr>
        <w:pStyle w:val="Normal"/>
        <w:rPr/>
      </w:pPr>
      <w:r>
        <w:rPr/>
      </w:r>
    </w:p>
    <w:p>
      <w:pPr>
        <w:pStyle w:val="Normal"/>
        <w:rPr/>
      </w:pPr>
      <w:r>
        <w:rPr>
          <w:b/>
          <w:bCs/>
        </w:rPr>
        <w:t>Data requirement:</w:t>
      </w:r>
      <w:r>
        <w:rPr/>
        <w:t xml:space="preserve"> • Capture and store Jaywan-specific data attributes including scheme identifier, BIN, AID, routing decision, corridor, settlement reference and scheme fees</w:t>
        <w:br/>
        <w:t>• Maintain high data quality and consistency across systems (CMS, Switch, Reconciliation, Data Warehouse, Reporting) through defined data models and validation rules</w:t>
        <w:br/>
        <w:t>• Data retention periods for Jaywan transaction and customer data to follow CBUAE regulations and bank policy (e.g. minimum 5–7 years for transaction data, longer for dispute evidence where required)</w:t>
        <w:br/>
        <w:t>• Ensure that data lineage for Jaywan metrics (from source transaction through to regulatory report) is documented and traceable</w:t>
        <w:br/>
        <w:t>• Implement data governance oversight for Jaywan data elements, with appointed data owners and data stewards in Business and IT</w:t>
        <w:br/>
        <w:t>• Anonymisation or pseudonymisation of Jaywan data for non-production environments (e.g. testing, training, analytics) to prevent exposure of sensitive data</w:t>
        <w:br/>
        <w:t>• Ability to support analytic use cases for Jaywan, including adoption analysis, cost optimisation, customer segmentation and fraud pattern detection, subject to privacy and regulatory constraints</w:t>
        <w:br/>
        <w:t>• Alignment with any CBUAE/AEP requirements for onshore data residency for domestic scheme transaction data</w:t>
      </w:r>
    </w:p>
    <w:p>
      <w:pPr>
        <w:pStyle w:val="Normal"/>
        <w:rPr/>
      </w:pPr>
      <w:r>
        <w:rPr/>
      </w:r>
    </w:p>
    <w:p>
      <w:pPr>
        <w:pStyle w:val="Normal"/>
        <w:rPr/>
      </w:pPr>
      <w:r>
        <w:rPr/>
      </w:r>
    </w:p>
    <w:p>
      <w:pPr>
        <w:pStyle w:val="Normal"/>
        <w:rPr/>
      </w:pPr>
      <w:r>
        <w:rPr>
          <w:b/>
          <w:bCs/>
        </w:rPr>
        <w:t>Training requirement:</w:t>
      </w:r>
      <w:r>
        <w:rPr/>
        <w:t xml:space="preserve"> • Targeted training programmes for Card Operations, ATM/POS Operations, Contact Centre, Branch Staff, Reconciliation, Finance, Risk and IT Support on Jaywan scheme, processes and systems</w:t>
        <w:br/>
        <w:t>• Training content to cover key topics such as Jaywan features and benefits, regulatory mandate context, mono vs co-badge differences, routing behaviour, dispute handling and customer communication guidelines</w:t>
        <w:br/>
        <w:t>• System-specific training for users of CMS, Switch monitoring tools, reconciliation systems, dispute management platforms and reporting dashboards including Jaywan-related enhancements</w:t>
        <w:br/>
        <w:t>• Training for Compliance, Legal and Risk teams on new regulatory obligations, reporting requirements and risk controls linked to Jaywan</w:t>
        <w:br/>
        <w:t>• Use of multiple delivery channels (classroom, virtual sessions, e-learning, quick reference guides) to ensure full coverage and ongoing refresh</w:t>
        <w:br/>
        <w:t>• Evaluation and certification mechanisms (quizzes, assessments) for critical roles to evidence understanding and readiness</w:t>
        <w:br/>
        <w:t>• Training materials to be updated in line with AEP awareness campaign content and any scheme rule changes</w:t>
        <w:br/>
        <w:t>• Post-go-live refresher sessions based on incident trends, user feedback and audit observations related to Jaywan</w:t>
      </w:r>
    </w:p>
    <w:p>
      <w:pPr>
        <w:pStyle w:val="Normal"/>
        <w:rPr/>
      </w:pPr>
      <w:r>
        <w:rPr/>
      </w:r>
    </w:p>
    <w:p>
      <w:pPr>
        <w:pStyle w:val="Normal"/>
        <w:rPr/>
      </w:pPr>
      <w:r>
        <w:rPr>
          <w:b/>
          <w:bCs/>
        </w:rPr>
        <w:t>Open Questions:</w:t>
      </w:r>
      <w:r>
        <w:rPr/>
        <w:t xml:space="preserve"> • Confirmation of full and final text of CBUAE circular and mandate reference 5480-2024, including any transitional arrangements or exemptions</w:t>
        <w:br/>
        <w:t>• Clarification from AEP on exact list of transaction types and MCCs to be initially supported on Jaywan (e.g. recurring, MOTO, certain high-risk MCCs)</w:t>
        <w:br/>
        <w:t>• Detailed rules for dispute timeframes, evidence requirements and chargeback cycles for Jaywan, especially for cross-border corridors</w:t>
        <w:br/>
        <w:t>• Final timeline and certification criteria for enabling Jaywan on Google Pay and Apple Pay after Samsung Wallet</w:t>
        <w:br/>
        <w:t>• Scope and parameters of GCC and India corridors, including currencies, interchange structures, FX treatment and regulatory reporting expectations</w:t>
        <w:br/>
        <w:t>• Confirmation of whether any existing card portfolios (e.g. prepaid, corporate T&amp;E cards) are excluded from Jaywan co-badge requirement</w:t>
        <w:br/>
        <w:t>• Guidance from CBUAE on handling of existing international-only cards (e.g. mandatory migration vs natural expiry approach)</w:t>
        <w:br/>
        <w:t>• Confirmation of whether tokenised POS transactions must always route via domestic rails when eligible, or whether cardholder choice or merchant configuration can influence scheme selection</w:t>
        <w:br/>
        <w:t>• Definition of service level expectations from AEP for Jaywan uptime, incident response and planned maintenance windows</w:t>
        <w:br/>
        <w:t>• Requirements, if any, for customer-facing disclosures on statements and digital channels differentiating Jaywan vs international scheme charges</w:t>
      </w:r>
    </w:p>
    <w:p>
      <w:pPr>
        <w:pStyle w:val="Normal"/>
        <w:rPr/>
      </w:pPr>
      <w:r>
        <w:rPr/>
      </w:r>
    </w:p>
    <w:p>
      <w:pPr>
        <w:pStyle w:val="Normal"/>
        <w:rPr/>
      </w:pPr>
      <w:r>
        <w:rPr>
          <w:b/>
          <w:bCs/>
        </w:rPr>
        <w:t>Contradictions (if any):</w:t>
      </w:r>
      <w:r>
        <w:rPr/>
        <w:t xml:space="preserve"> • Context 2 and Context 4 both describe Jaywan mono-badge cards as being for local and GCC usage, while the main objective in Context 10 refers primarily to domestic (UAE) and international transactions without explicitly reiterating GCC regional scope, creating ambiguity on whether GCC is treated as domestic, regional or international for routing and pricing</w:t>
        <w:br/>
        <w:t>• Context 1 and general CBUAE positioning emphasise reduction of payment costs and strengthening of financial sovereignty, while Context 3 highlights expansion of Jaywan usability outside UAE via bilateral agreements and global wallet integrations, without clearly reconciling how cross-border use will maintain lower costs compared to existing international schemes</w:t>
        <w:br/>
        <w:t>• Context 3 states that bilateral agreements with India are targeted by mid-2025, whereas other contexts (e.g. Context 2 and 4) talk about readiness of financial infrastructure to activate Jaywan locally and globally without specifying corridor timelines, leading to uncertainty on when specific corridors are actually in production</w:t>
        <w:br/>
        <w:t>• Context 7 indicates that POS tokenised transactions "may need to be in scope", suggesting uncertainty, whereas Context 3 and 4 imply a broader readiness for multi-wallet and tokenised usage, resulting in unclear mandatory versus optional treatment of POS tokenised Jaywan transactions</w:t>
        <w:br/>
        <w:t>• Context 6 mentions that original reports from CBUAE have been shared, but Context 8 and 9 indicate ongoing discovery and open queries on requirements, so it is not clear whether the current report formats are final for Jaywan or still subject to change</w:t>
        <w:br/>
        <w:t>• None of the contexts provide a single definitive list of products and schemes to be included in Jaywan co-badge rollout (Visa, Mastercard, JCB, etc.), yet Context 5 agenda references possible adoption of VISA process for JMB/JCB, creating ambiguity on the exact scheme scope and implementation priority</w:t>
      </w:r>
    </w:p>
    <w:p>
      <w:pPr>
        <w:pStyle w:val="Normal"/>
        <w:rPr>
          <w:rFonts w:ascii="Consolas;Courier New;monospace" w:hAnsi="Consolas;Courier New;monospace"/>
          <w:b w:val="false"/>
          <w:color w:val="CE9178"/>
          <w:sz w:val="24"/>
          <w:szCs w:val="24"/>
          <w:shd w:fill="1F1F1F" w:val="clear"/>
        </w:rPr>
      </w:pPr>
      <w:r>
        <w:rPr>
          <w:rFonts w:ascii="Consolas;Courier New;monospace" w:hAnsi="Consolas;Courier New;monospace"/>
          <w:b w:val="false"/>
          <w:color w:val="CE9178"/>
          <w:sz w:val="24"/>
          <w:szCs w:val="24"/>
          <w:shd w:fill="1F1F1F" w:val="clear"/>
        </w:rPr>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nsolas">
    <w:altName w:val="Courier New"/>
    <w:charset w:val="00"/>
    <w:family w:val="auto"/>
    <w:pitch w:val="default"/>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465</TotalTime>
  <Application>LibreOffice/25.2.7.2$Windows_X86_64 LibreOffice_project/5cbfd1ab6520636bb5f7b99185aa69bd7456825d</Application>
  <AppVersion>15.0000</AppVersion>
  <Pages>4</Pages>
  <Words>141</Words>
  <Characters>1328</Characters>
  <CharactersWithSpaces>1393</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2026-01-30T11:24:18Z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