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 Business Requirements Specification for Jaywan Co-badged Card ATM Cash Withdrawal (Domestic and International Routing)</w:t>
      </w:r>
    </w:p>
    <w:p>
      <w:pPr>
        <w:pStyle w:val="Normal"/>
        <w:rPr/>
      </w:pPr>
      <w:r>
        <w:rPr>
          <w:b/>
          <w:bCs/>
        </w:rPr>
        <w:t>ID:</w:t>
      </w:r>
      <w:r>
        <w:rPr/>
        <w:t xml:space="preserve"> • BRS-JAYWAN-ATM-CB-001</w:t>
      </w:r>
    </w:p>
    <w:p>
      <w:pPr>
        <w:pStyle w:val="Normal"/>
        <w:rPr/>
      </w:pPr>
      <w:r>
        <w:rPr>
          <w:b/>
          <w:bCs/>
        </w:rPr>
        <w:t>Program:</w:t>
      </w:r>
      <w:r>
        <w:rPr/>
        <w:t xml:space="preserve"> • Jaywan Domestic Card Scheme Enablement – Co-badged Cards</w:t>
      </w:r>
    </w:p>
    <w:p>
      <w:pPr>
        <w:pStyle w:val="Normal"/>
        <w:rPr/>
      </w:pPr>
      <w:r>
        <w:rPr>
          <w:b/>
          <w:bCs/>
        </w:rPr>
        <w:t>Type:</w:t>
      </w:r>
      <w:r>
        <w:rPr/>
        <w:t xml:space="preserve"> • Business Requirements Specification (BRS)</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Pr>
      <w:tblGrid>
        <w:gridCol w:w="4620"/>
        <w:gridCol w:w="4619"/>
      </w:tblGrid>
      <w:tr>
        <w:trPr/>
        <w:tc>
          <w:tcPr>
            <w:tcW w:w="4620" w:type="dxa"/>
            <w:tcBorders>
              <w:top w:val="single" w:sz="8" w:space="0" w:color="000000"/>
              <w:left w:val="single" w:sz="8" w:space="0" w:color="000000"/>
              <w:bottom w:val="single" w:sz="8" w:space="0" w:color="000000"/>
            </w:tcBorders>
          </w:tcPr>
          <w:p>
            <w:pPr>
              <w:pStyle w:val="Normal"/>
              <w:spacing w:before="0" w:after="160"/>
              <w:rPr/>
            </w:pPr>
            <w:r>
              <w:rPr/>
              <w:t>Serial Number</w:t>
            </w:r>
          </w:p>
        </w:tc>
        <w:tc>
          <w:tcPr>
            <w:tcW w:w="4619"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Description</w:t>
            </w:r>
          </w:p>
        </w:tc>
      </w:tr>
      <w:tr>
        <w:tc>
          <w:tcPr>
            <w:tcW w:type="dxa" w:w="4620"/>
          </w:tcPr>
          <w:p>
            <w:r>
              <w:t>1</w:t>
            </w:r>
          </w:p>
        </w:tc>
        <w:tc>
          <w:tcPr>
            <w:tcW w:type="dxa" w:w="4619"/>
          </w:tcPr>
          <w:p>
            <w:r>
              <w:t>Document Sign off</w:t>
            </w:r>
          </w:p>
        </w:tc>
      </w:tr>
      <w:tr>
        <w:tc>
          <w:tcPr>
            <w:tcW w:type="dxa" w:w="4620"/>
          </w:tcPr>
          <w:p>
            <w:r>
              <w:t>2</w:t>
            </w:r>
          </w:p>
        </w:tc>
        <w:tc>
          <w:tcPr>
            <w:tcW w:type="dxa" w:w="4619"/>
          </w:tcPr>
          <w:p>
            <w:r>
              <w:t>Document History</w:t>
            </w:r>
          </w:p>
        </w:tc>
      </w:tr>
      <w:tr>
        <w:tc>
          <w:tcPr>
            <w:tcW w:type="dxa" w:w="4620"/>
          </w:tcPr>
          <w:p>
            <w:r>
              <w:t>3</w:t>
            </w:r>
          </w:p>
        </w:tc>
        <w:tc>
          <w:tcPr>
            <w:tcW w:type="dxa" w:w="4619"/>
          </w:tcPr>
          <w:p>
            <w:r>
              <w:t>Overview</w:t>
            </w:r>
          </w:p>
        </w:tc>
      </w:tr>
      <w:tr>
        <w:tc>
          <w:tcPr>
            <w:tcW w:type="dxa" w:w="4620"/>
          </w:tcPr>
          <w:p>
            <w:r>
              <w:t>4</w:t>
            </w:r>
          </w:p>
        </w:tc>
        <w:tc>
          <w:tcPr>
            <w:tcW w:type="dxa" w:w="4619"/>
          </w:tcPr>
          <w:p>
            <w:r>
              <w:t>Current constraints</w:t>
            </w:r>
          </w:p>
        </w:tc>
      </w:tr>
      <w:tr>
        <w:tc>
          <w:tcPr>
            <w:tcW w:type="dxa" w:w="4620"/>
          </w:tcPr>
          <w:p>
            <w:r>
              <w:t>5</w:t>
            </w:r>
          </w:p>
        </w:tc>
        <w:tc>
          <w:tcPr>
            <w:tcW w:type="dxa" w:w="4619"/>
          </w:tcPr>
          <w:p>
            <w:r>
              <w:t>Objective</w:t>
            </w:r>
          </w:p>
        </w:tc>
      </w:tr>
      <w:tr>
        <w:tc>
          <w:tcPr>
            <w:tcW w:type="dxa" w:w="4620"/>
          </w:tcPr>
          <w:p>
            <w:r>
              <w:t>6</w:t>
            </w:r>
          </w:p>
        </w:tc>
        <w:tc>
          <w:tcPr>
            <w:tcW w:type="dxa" w:w="4619"/>
          </w:tcPr>
          <w:p>
            <w:r>
              <w:t>In scope</w:t>
            </w:r>
          </w:p>
        </w:tc>
      </w:tr>
      <w:tr>
        <w:tc>
          <w:tcPr>
            <w:tcW w:type="dxa" w:w="4620"/>
          </w:tcPr>
          <w:p>
            <w:r>
              <w:t>7</w:t>
            </w:r>
          </w:p>
        </w:tc>
        <w:tc>
          <w:tcPr>
            <w:tcW w:type="dxa" w:w="4619"/>
          </w:tcPr>
          <w:p>
            <w:r>
              <w:t>Out of scope</w:t>
            </w:r>
          </w:p>
        </w:tc>
      </w:tr>
      <w:tr>
        <w:tc>
          <w:tcPr>
            <w:tcW w:type="dxa" w:w="4620"/>
          </w:tcPr>
          <w:p>
            <w:r>
              <w:t>8</w:t>
            </w:r>
          </w:p>
        </w:tc>
        <w:tc>
          <w:tcPr>
            <w:tcW w:type="dxa" w:w="4619"/>
          </w:tcPr>
          <w:p>
            <w:r>
              <w:t>Description</w:t>
            </w:r>
          </w:p>
        </w:tc>
      </w:tr>
      <w:tr>
        <w:tc>
          <w:tcPr>
            <w:tcW w:type="dxa" w:w="4620"/>
          </w:tcPr>
          <w:p>
            <w:r>
              <w:t>9</w:t>
            </w:r>
          </w:p>
        </w:tc>
        <w:tc>
          <w:tcPr>
            <w:tcW w:type="dxa" w:w="4619"/>
          </w:tcPr>
          <w:p>
            <w:r>
              <w:t>Business Requirements</w:t>
            </w:r>
          </w:p>
        </w:tc>
      </w:tr>
      <w:tr>
        <w:tc>
          <w:tcPr>
            <w:tcW w:type="dxa" w:w="4620"/>
          </w:tcPr>
          <w:p>
            <w:r>
              <w:t>10</w:t>
            </w:r>
          </w:p>
        </w:tc>
        <w:tc>
          <w:tcPr>
            <w:tcW w:type="dxa" w:w="4619"/>
          </w:tcPr>
          <w:p>
            <w:r>
              <w:t>Requirement Traceability Matrix</w:t>
            </w:r>
          </w:p>
        </w:tc>
      </w:tr>
      <w:tr>
        <w:tc>
          <w:tcPr>
            <w:tcW w:type="dxa" w:w="4620"/>
          </w:tcPr>
          <w:p>
            <w:r>
              <w:t>11</w:t>
            </w:r>
          </w:p>
        </w:tc>
        <w:tc>
          <w:tcPr>
            <w:tcW w:type="dxa" w:w="4619"/>
          </w:tcPr>
          <w:p>
            <w:r>
              <w:t>Non-Functional Requirements</w:t>
            </w:r>
          </w:p>
        </w:tc>
      </w:tr>
      <w:tr>
        <w:tc>
          <w:tcPr>
            <w:tcW w:type="dxa" w:w="4620"/>
          </w:tcPr>
          <w:p>
            <w:r>
              <w:t>12</w:t>
            </w:r>
          </w:p>
        </w:tc>
        <w:tc>
          <w:tcPr>
            <w:tcW w:type="dxa" w:w="4619"/>
          </w:tcPr>
          <w:p>
            <w:r>
              <w:t>Impact on Operational Process</w:t>
            </w:r>
          </w:p>
        </w:tc>
      </w:tr>
      <w:tr>
        <w:tc>
          <w:tcPr>
            <w:tcW w:type="dxa" w:w="4620"/>
          </w:tcPr>
          <w:p>
            <w:r>
              <w:t>13</w:t>
            </w:r>
          </w:p>
        </w:tc>
        <w:tc>
          <w:tcPr>
            <w:tcW w:type="dxa" w:w="4619"/>
          </w:tcPr>
          <w:p>
            <w:r>
              <w:t>Regulatory Impact</w:t>
            </w:r>
          </w:p>
        </w:tc>
      </w:tr>
      <w:tr>
        <w:tc>
          <w:tcPr>
            <w:tcW w:type="dxa" w:w="4620"/>
          </w:tcPr>
          <w:p>
            <w:r>
              <w:t>14</w:t>
            </w:r>
          </w:p>
        </w:tc>
        <w:tc>
          <w:tcPr>
            <w:tcW w:type="dxa" w:w="4619"/>
          </w:tcPr>
          <w:p>
            <w:r>
              <w:t>Reports Requirement</w:t>
            </w:r>
          </w:p>
        </w:tc>
      </w:tr>
      <w:tr>
        <w:tc>
          <w:tcPr>
            <w:tcW w:type="dxa" w:w="4620"/>
          </w:tcPr>
          <w:p>
            <w:r>
              <w:t>15</w:t>
            </w:r>
          </w:p>
        </w:tc>
        <w:tc>
          <w:tcPr>
            <w:tcW w:type="dxa" w:w="4619"/>
          </w:tcPr>
          <w:p>
            <w:r>
              <w:t>Access Requirement</w:t>
            </w:r>
          </w:p>
        </w:tc>
      </w:tr>
      <w:tr>
        <w:tc>
          <w:tcPr>
            <w:tcW w:type="dxa" w:w="4620"/>
          </w:tcPr>
          <w:p>
            <w:r>
              <w:t>16</w:t>
            </w:r>
          </w:p>
        </w:tc>
        <w:tc>
          <w:tcPr>
            <w:tcW w:type="dxa" w:w="4619"/>
          </w:tcPr>
          <w:p>
            <w:r>
              <w:t>Security Requirement</w:t>
            </w:r>
          </w:p>
        </w:tc>
      </w:tr>
      <w:tr>
        <w:tc>
          <w:tcPr>
            <w:tcW w:type="dxa" w:w="4620"/>
          </w:tcPr>
          <w:p>
            <w:r>
              <w:t>17</w:t>
            </w:r>
          </w:p>
        </w:tc>
        <w:tc>
          <w:tcPr>
            <w:tcW w:type="dxa" w:w="4619"/>
          </w:tcPr>
          <w:p>
            <w:r>
              <w:t>Data Requirement</w:t>
            </w:r>
          </w:p>
        </w:tc>
      </w:tr>
      <w:tr>
        <w:tc>
          <w:tcPr>
            <w:tcW w:type="dxa" w:w="4620"/>
          </w:tcPr>
          <w:p>
            <w:r>
              <w:t>18</w:t>
            </w:r>
          </w:p>
        </w:tc>
        <w:tc>
          <w:tcPr>
            <w:tcW w:type="dxa" w:w="4619"/>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7"/>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t>- 02-Feb-2026</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 The document shall define business requirements for enabling ATM cash withdrawal transactions using Jaywan co-badged debit cards in alignment with CBUAE and Al Etihad Payments (AEP) directives.</w:t>
        <w:br/>
        <w:t>• The document shall focus on domestic and international transaction routing for Jaywan co-badged debit cards using the Bank’s ATM network, Core Banking System and Card Management / Switch (PowerCard).</w:t>
        <w:br/>
        <w:t>• The document shall cover end-to-end flow from card insertion, PIN and amount capture, authorisation routing, approval/decline handling, customer notification, and end-of-day (EOD) posting for successful transactions.</w:t>
        <w:br/>
        <w:t>• The document shall ensure that the requirements support the CBUAE mandate that licensed financial institutions issue Jaywan co-badged cards to support both domestic and international transactions.</w:t>
        <w:br/>
        <w:t>• The document shall restrict itself to the information explicitly provided in the source content and shall avoid assumptions on technical configurations, fees, limits or scheme rules not stated in the inputs.</w:t>
      </w:r>
    </w:p>
    <w:p>
      <w:pPr>
        <w:pStyle w:val="Normal"/>
        <w:rPr/>
      </w:pPr>
      <w:r>
        <w:rPr/>
      </w:r>
    </w:p>
    <w:p>
      <w:pPr>
        <w:pStyle w:val="Normal"/>
        <w:rPr/>
      </w:pPr>
      <w:r>
        <w:rPr>
          <w:b/>
          <w:bCs/>
        </w:rPr>
        <w:t>Current constraints:</w:t>
      </w:r>
      <w:r>
        <w:rPr/>
        <w:t xml:space="preserve"> • Existing issuing cards are primarily MasterCard/Visa without mandatory Jaywan co-badging as per new CBUAE central government circular.</w:t>
        <w:br/>
        <w:t>• Existing routing logic for ATM transactions is aligned to international schemes (e.g. Visa, MasterCard) and not yet fully aligned to Jaywan domestic scheme routing requirements.</w:t>
        <w:br/>
        <w:t>• Existing documentation and process flows are focused on current SMS (ATM, POS), current Visa Dual Messaging System (DMS) for e-commerce and tokenisation, and CBUAE DMS (to-be) for e-commerce and tokenisation, and do not comprehensively cover Jaywan ATM cash withdrawal flows.</w:t>
        <w:br/>
        <w:t>• Queries remain open between Business, IT and AEP regarding adoption of existing Visa processes for Jaywan mono-badged and co-badged cards, including handling of reversals, refunds and chargebacks.</w:t>
        <w:br/>
        <w:t>• Reporting and reconciliation documentation related to Jaywan is incomplete; additional clarification and original reports from CBUAE/AEP have been requested.</w:t>
        <w:br/>
        <w:t>• Scope and treatment of POS tokenised transactions have been raised as a potential requirement but are not fully defined within the provided content.</w:t>
      </w:r>
    </w:p>
    <w:p>
      <w:pPr>
        <w:pStyle w:val="Normal"/>
        <w:rPr/>
      </w:pPr>
      <w:r>
        <w:rPr/>
      </w:r>
    </w:p>
    <w:p>
      <w:pPr>
        <w:pStyle w:val="Normal"/>
        <w:rPr/>
      </w:pPr>
      <w:r>
        <w:rPr>
          <w:b/>
          <w:bCs/>
        </w:rPr>
        <w:t>Objective:</w:t>
      </w:r>
      <w:r>
        <w:rPr/>
        <w:t xml:space="preserve"> • The project shall implement ATM cash withdrawal capability for Jaywan co-badged debit cards in compliance with the CBUAE central government circular and AEP guidance.</w:t>
        <w:br/>
        <w:t>• The solution shall support routing of ATM transactions such that domestic transactions are processed via the Jaywan scheme and international transactions are processed via the relevant co-badge international scheme (e.g. Visa/MasterCard), as per the regulatory mandate.</w:t>
        <w:br/>
        <w:t>• The solution shall ensure that all licensed financial institution ATMs of the Bank are able to process Jaywan co-badged debit card transactions for cash withdrawal, supporting both approvals and declines as defined in the BA process instructions.</w:t>
        <w:br/>
        <w:t>• The solution shall ensure that customer experience for Jaywan co-badged card ATM withdrawals is secure, seamless and comparable to existing card schemes, including PIN validation, cash dispensing, receipt printing, SMS alerting and EOD posting of successful transactions.</w:t>
        <w:br/>
        <w:t>• The project shall provide clear documentation and traceability of business requirements, including routing logic, operational impact, reporting and regulatory compliance for Jaywan co-badged ATM transactions.</w:t>
        <w:br/>
        <w:t>• The project shall facilitate alignment with AEP’s Jaywan domestic card scheme readiness and CBUAE’s objective to reduce payment costs and enhance financial sovereignty, within the limits of the information provided.</w:t>
      </w:r>
    </w:p>
    <w:p>
      <w:pPr>
        <w:pStyle w:val="Normal"/>
        <w:rPr/>
      </w:pPr>
      <w:r>
        <w:rPr/>
      </w:r>
    </w:p>
    <w:p>
      <w:pPr>
        <w:pStyle w:val="Normal"/>
        <w:rPr/>
      </w:pPr>
      <w:r>
        <w:rPr>
          <w:b/>
          <w:bCs/>
        </w:rPr>
        <w:t>In scope:</w:t>
      </w:r>
      <w:r>
        <w:rPr/>
        <w:t xml:space="preserve"> • Implementation of ATM cash withdrawal transactions for Jaywan co-badged debit debit cards issued by the Bank, as described in the BA process instructions.</w:t>
        <w:br/>
        <w:t>• Enablement of transaction flow from ATM to Core Banking System and from Core Banking System to PowerCard for authorisation and routing.</w:t>
        <w:br/>
        <w:t>• Identification of transactions as domestic or international and routing to the appropriate scheme (Jaywan for domestic, co-badge international scheme for international), as per the high-level mandate.</w:t>
        <w:br/>
        <w:t>• Handling of approved ATM withdrawal transactions including: cash dispensing, card return, receipt printing, SMS alerts and EOD posting to customer account.</w:t>
        <w:br/>
        <w:t>• Handling of rejected ATM withdrawal transactions including: non-dispensing of cash, card return and SMS decline notification without account posting.</w:t>
        <w:br/>
        <w:t>• Business rules and requirements for message flows, statuses and end-of-day updating of customer accounts for successful transactions.</w:t>
        <w:br/>
        <w:t>• High-level operational process impacts on Card Operations, ATM Operations, Reconciliation and Customer Service in relation to Jaywan co-badged ATM withdrawals.</w:t>
        <w:br/>
        <w:t>• Alignment of requirements with CBUAE circular (central government circular referencing mandate number 5480 2024) requiring licensed financial institutions to launch Jaywan co-badged cards supporting domestic and international transactions.</w:t>
        <w:br/>
        <w:t>• Inclusion of Jaywan co-badged cards in discovery sessions and requirement-gathering meetings as referenced in the meeting schedule for Jaywan mono-badged and co-badged cards.</w:t>
        <w:br/>
        <w:t>• High-level reporting requirements for Jaywan-related ATM transactions, subject to availability of CBUAE/AEP reports referenced in the inputs.</w:t>
        <w:br/>
        <w:t>• Process visualisation of the ATM cash withdrawal journey for Jaywan co-badged cards based on BA process instructions.</w:t>
      </w:r>
    </w:p>
    <w:p>
      <w:pPr>
        <w:pStyle w:val="Normal"/>
        <w:rPr/>
      </w:pPr>
      <w:r>
        <w:rPr/>
      </w:r>
    </w:p>
    <w:p>
      <w:pPr>
        <w:pStyle w:val="Normal"/>
        <w:rPr/>
      </w:pPr>
      <w:r>
        <w:rPr>
          <w:b/>
          <w:bCs/>
        </w:rPr>
        <w:t>Out of scope:</w:t>
      </w:r>
      <w:r>
        <w:rPr/>
        <w:t xml:space="preserve"> • Detailed configuration of interchange fees, pricing, scheme fees, merchant service charges or cost models for Jaywan or international schemes (not provided in inputs).</w:t>
        <w:br/>
        <w:t>• Detailed technical specifications of ISO message formats, field mapping, network parameters or switch-level configuration for PowerCard, AEP or international schemes.</w:t>
        <w:br/>
        <w:t>• Implementation details for POS transactions, POS tokenised transactions, e-commerce, in-app, wallet (Samsung, Apple, Google Pay) or other digital channels, except where they are referenced in context but not defined.</w:t>
        <w:br/>
        <w:t>• Detailed processing of reversals, refunds, chargebacks and dispute management workflows, beyond the high-level mention in the context (no detailed steps provided).</w:t>
        <w:br/>
        <w:t>• Detailed reconciliation and settlement processes, GL-level configuration or accounting entries, as only existence of GL details and requests for reconciliation documentation are mentioned, not the actual rules.</w:t>
        <w:br/>
        <w:t>• Customer onboarding, KYC, account opening, card issuance life cycle, card personalisation and card life-cycle management beyond what is necessary to state that a valid Jaywan co-badged debit card exists.</w:t>
        <w:br/>
        <w:t>• Bilateral agreements with India and other countries, and cross-border scheme-level arrangements, beyond acknowledging that Jaywan usability outside the UAE is being expanded.</w:t>
        <w:br/>
        <w:t>• Awareness campaign content, marketing materials or customer communication strategy about Jaywan features and benefits.</w:t>
        <w:br/>
        <w:t>• Non-ATM channels such as branch cash withdrawals, internet banking, mobile banking transfers or other payment instruments unrelated to Jaywan co-badged ATM transactions.</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Enablement of Jaywan Co-badged Debit Card ATM Cash Withdrawal Flow</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system shall support ATM cash withdrawal transactions using Jaywan co-badged debit cards issued by the Bank, in compliance with the CBUAE central government circular and AEP’s Jaywan domestic card scheme readiness.</w:t>
              <w:br/>
              <w:t>• The ATM, Core Banking System and PowerCard shall together support the complete transaction flow from card insertion to authorisation decision and completion response as per the BA process instructions.</w:t>
              <w:br/>
              <w:t>• The solution shall ensure that the Jaywan co-badged cardholder experience for ATM withdrawals is secure, seamless and comparable to existing international scheme cards while honouring the domestic scheme routing requirement.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ATM withdrawal flows are primarily designed for cards on international schemes (e.g. Visa, MasterCard) without mandatory Jaywan co-badging as per the new mandate.</w:t>
              <w:br/>
              <w:t>• Existing process documentation focuses on current SMS (ATM, POS) and Visa DMS for e-commerce and tokenisation, and does not fully document Jaywan co-badged ATM transaction handling.</w:t>
              <w:br/>
              <w:t>• Domestic card scheme Jaywan is ready at infrastructure level as per Al Etihad Payments communication, but its detailed integration for co-badged ATM withdrawals at the Bank is not yet documented in the current process.</w:t>
              <w:br/>
              <w:t>• Existing routing and decisioning logic may not differentiate Jaywan domestic routing for co-badged cards as required by the new circular.</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ATM shall accept Jaywan co-badged debit cards and initiate a withdrawal transaction when the customer enters a valid PIN and amount, in line with the BA process instructions.</w:t>
              <w:br/>
              <w:t>• The transaction shall be sent from ATM to Core Banking System for initial processing and then to PowerCard for scheme identification and routing.</w:t>
              <w:br/>
              <w:t>• PowerCard shall identify whether the transaction is domestic or international and route the transaction accordingly to the appropriate scheme (Jaywan domestic or co-badge international scheme).</w:t>
              <w:br/>
              <w:t>• The system shall process approval or decline responses and communicate the outcome back to ATM to complete cash dispensing or decline messaging as applicable.</w:t>
              <w:br/>
              <w:t>• The end-to-end flow shall operate in a manner that meets the secure and seamless payment experience objective stated for Jaywan, within the ATM channel context.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The Bank shall have obtained and implemented CBUAE and AEP approvals and connectivity necessary to process Jaywan domestic transactions for co-badged cards.</w:t>
              <w:br/>
              <w:t>• The Bank shall have issued Jaywan co-badged debit cards in accordance with the central government circular and CBUAE mandate reference 5480 2024 as referenced in the inputs.</w:t>
              <w:br/>
              <w:t>• The ATM, Core Banking System and PowerCard shall be integrated with stable network connectivity and basic ATM withdrawal functionality already operational for existing schemes.</w:t>
              <w:br/>
              <w:t>• AEP and international schemes shall have defined routing and authorisation behaviour for co-badged cards that can be configured within the Bank’s systems, where details are to be obtained directly from AEP and scheme documentation (not provided here).</w:t>
              <w:br/>
              <w:t>• Required internal stakeholders (Business, IT, Card Operations, ATM Operations, Reconciliation, Finance) shall be aligned through discovery sessions as referenced in the meeting schedule for Jaywan mono and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The ATM shall successfully process at least one test ATM cash withdrawal transaction using a valid Jaywan co-badged debit card through the end-to-end flow: card insertion, PIN, amount entry, Core Banking, PowerCard routing and authorisation response.</w:t>
              <w:br/>
              <w:t>• For successful test cases, cash shall be dispensed, receipt shall be printed, SMS shall be triggered and EOD posting shall be completed for the transaction.</w:t>
              <w:br/>
              <w:t>• For negative test cases (e.g. insufficient funds, invalid PIN as per bank’s policy), the system shall decline the transaction and apply the decline flow without posting to the customer account.</w:t>
              <w:br/>
              <w:t>• Audit logs or transaction logs shall evidence that the transaction was routed based on domestic/international determination to the appropriate scheme.</w:t>
              <w:br/>
              <w:t>• Business and IT stakeholders shall sign off that the implemented behaviour matches the BA process instructions for both approved and rejected scenarios.</w:t>
              <w:br/>
              <w:t>• No deviations from regulatory or CBUAE/AEP guidance identified during UAT shall remain unresolved at go-live.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network connectivity between ATM and Core Banking System is unavailable, the transaction shall follow the Bank’s existing offline or out-of-service procedures (not fully specified in inputs and thus not detailed here).</w:t>
              <w:br/>
              <w:t>• If connectivity between Core Banking System and PowerCard is unavailable, the transaction shall be declined at system level and treated as a rejected transaction (no cash dispensed, no posting), with appropriate SMS decline messaging where technically feasible.</w:t>
              <w:br/>
              <w:t>• If Jaywan scheme or international scheme network is unavailable for routing, the system shall decline the transaction based on scheme unavailability and handle it as a rejected transaction at ATM level.</w:t>
              <w:br/>
              <w:t>• If the card is not recognised as a valid Jaywan co-badged debit card by the Bank’s systems, the transaction shall be declined as per existing invalid card handling rules.</w:t>
              <w:br/>
              <w:t>• If routing determination between domestic and international cannot be established by PowerCard for any reason, the transaction shall be declined and logged for investigation by Card Operations.</w:t>
              <w:br/>
              <w:t>• If regulatory or scheme-level rules change (e.g. introduction of additional routing options or bilateral agreements), the Bank shall treat such cases under change control with new requirements (not covered in the current document as they are not specified).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central government circular mandating launch of Jaywan co-badged cards supporting domestic and international transactions (reference number 5480 2024 as mentioned in input text).</w:t>
              <w:br/>
              <w:t>• Al Etihad Payments communication: “Jaywan” the UAE's First Domestic Card Scheme Introduced to Strengthen the UAE's Position as a Global Hub for Digital Payments.</w:t>
              <w:br/>
              <w:t>• Al Etihad Payments FAQ / circular: “Jaywan: UAE's new domestic card payment scheme; all your questions answered”.</w:t>
              <w:br/>
              <w:t>• Internal meeting minutes covering review of dual messaging system process steps, documentation of current SMS and Visa DMS and to-be CBUAE DMS.</w:t>
              <w:br/>
              <w:t>• Discovery sessions schedule for additional requirements for Jaywan mono-badged and Jaywan co-badged cards (meeting schedule document referenced in inputs).</w:t>
              <w:br/>
              <w:t>• CBUAE-provided original report referenced as shared by CBUAE-R, once available to the project team.</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Domestic and International Routing Logic for Jaywan Co-badged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system shall determine whether each Jaywan co-badged ATM withdrawal transaction is domestic or international and shall route it to the appropriate scheme in line with the regulatory mandate.</w:t>
              <w:br/>
              <w:t>• For domestic transactions, the system shall route to Jaywan domestic scheme through the configured infrastructure, and for international transactions, the system shall route to the respective co-badge international scheme.</w:t>
              <w:br/>
              <w:t>• The routing behaviour shall support the objective of reducing payment costs and strengthening financial sovereignty as stated in the AEP/CBUAE communications, within the scope of ATM withdrawals.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ATM card transaction routing primarily uses scheme-based logic for international schemes (e.g. Visa, MasterCard) without explicit Jaywan domestic scheme routing for co-badged cards as per the new circular.</w:t>
              <w:br/>
              <w:t>• The current documented process references Visa DMS for e-commerce and tokenisation but does not provide detailed routing behaviour for Jaywan domestic transactions.</w:t>
              <w:br/>
              <w:t>• Mono-badge and co-badge Jaywan options are referenced in AEP communications, but existing Bank routing configuration is not documented in the provided inputs.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system (primarily PowerCard, together with Core Banking and ATM) shall identify whether the Jaywan co-badged ATM withdrawal is domestic or international based on available transaction attributes (e.g. geography or other criteria as defined by scheme documentation, not specified here).</w:t>
              <w:br/>
              <w:t>• For transactions identified as domestic, the system shall route the authorisation request via the Jaywan domestic card scheme as part of the Bank’s integration with AEP.</w:t>
              <w:br/>
              <w:t>• For transactions identified as international, the system shall route the authorisation request via the international co-badge scheme associated with the card (e.g. Visa or MasterCard), in alignment with the CBUAE circular requirement that cards must support both domestic and international transactions.</w:t>
              <w:br/>
              <w:t>• The routing outcome (domestic Jaywan or international co-badge) shall be traceable in transaction logs and reports.</w:t>
              <w:br/>
              <w:t>• Routing behaviour shall be transparent to the customer at ATM level, with the same user experience regardless of underlying scheme selection.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CBUAE and AEP shall have provided scheme-level guidance and network connectivity for Jaywan domestic routing for co-badged cards, which the Bank shall configure in PowerCard.</w:t>
              <w:br/>
              <w:t>• International schemes (Visa/MasterCard) shall have confirmed co-badge configuration parameters and routing rules for Jaywan co-badged cards.</w:t>
              <w:br/>
              <w:t>• The Bank shall have obtained and configured BIN ranges, product codes or other necessary identifiers for Jaywan co-badged cards in the relevant systems.</w:t>
              <w:br/>
              <w:t>• Core Banking and PowerCard interfaces shall support passing all necessary data elements required to determine domestic vs international classification for routing.</w:t>
              <w:br/>
              <w:t>• Internal governance shall validate that routing decisions are compliant with CBUAE circulars and AEP instructions (details not provided in inputs and to be obtained directly from those bodies).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For a test set of domestic ATM withdrawal transactions using Jaywan co-badged debit cards, routing logs shall confirm that authorisation requests were processed via Jaywan domestic scheme.</w:t>
              <w:br/>
              <w:t>• For a test set of international ATM withdrawal transactions using Jaywan co-badged debit cards, routing logs shall confirm that authorisation requests were processed via the correct international co-badge scheme.</w:t>
              <w:br/>
              <w:t>• No domestic ATM withdrawal using Jaywan co-badged debit cards shall be routed to an international scheme where Jaywan scheme is available, as per regulatory/scheme rules (subject to rules provided by CBUAE/AEP).</w:t>
              <w:br/>
              <w:t>• The system shall handle routing failures (e.g. scheme network unavailable) gracefully with clear decline responses captured in logs.</w:t>
              <w:br/>
              <w:t>• Business stakeholders shall sign off that routing behaviour is consistent with the CBUAE circular statement that cards must support both domestic and international transactions, to the extent specified in provided information.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system cannot confidently classify a transaction as domestic or international due to missing or inconsistent data, the transaction shall be declined and logged for further investigation by Card Operations.</w:t>
              <w:br/>
              <w:t>• If Jaywan domestic scheme connectivity is unavailable, domestic transactions shall be declined according to scheme and regulatory guidance (not specified here) and treated as rejected transactions at ATM level.</w:t>
              <w:br/>
              <w:t>• If the international co-badge scheme connectivity is unavailable for international transactions, the system shall decline these transactions and treat them as rejected transactions at ATM level.</w:t>
              <w:br/>
              <w:t>• If configuration changes occur (e.g. introduction of new countries or regions for Jaywan acceptance), routing rules shall be updated under change control and validated through dedicated testing cycles.</w:t>
              <w:br/>
              <w:t>• If the co-badged card is used outside the UAE and Jaywan is not accepted, routing shall follow international scheme rules as defined by those networks (not described in the inputs and therefore not detailed here).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(central government circular citing mandate number 5480 2024) regarding mandatory Jaywan co-badged cards supporting domestic and international transactions.</w:t>
              <w:br/>
              <w:t>• Al Etihad Payments communications regarding Jaywan mono-badge and co-badge options and readiness of financial infrastructure to activate Jaywan locally and globally.</w:t>
              <w:br/>
              <w:t>• Internal configuration documentation for PowerCard and Core Banking routing tables (once produced within the project).</w:t>
              <w:br/>
              <w:t>• Meeting minutes referencing adoption of Visa process for Jaywan mono-badged and co-badged cards, and discussion on demand and routing.</w:t>
              <w:br/>
              <w:t>• Any AEP technical or operational routing guidelines for Jaywan domestic transactions, once formally provided to the Bank.</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ATM Approved Transaction Handling for Jaywan Co-badged Debit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system shall handle approved ATM withdrawal transactions for Jaywan co-badged debit cards in line with the BA process instructions, ensuring that cash is dispensed, the card is returned, a receipt is printed and SMS alerts and EOD postings are correctly performed.</w:t>
              <w:br/>
              <w:t>• The approved transaction flow shall provide a consistent and secure customer experience and shall ensure accurate financial posting to the customer’s account.</w:t>
              <w:br/>
              <w:t>• The solution shall ensure that all steps in the approved flow are executed in the correct sequence with appropriate failure handling at each step.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For existing international scheme cards, ATM withdrawal approval generally results in cash dispensing, card return, receipt printing, SMS notification and posting to customer account; however, Jaywan co-badged specific rules are not documented in the provided inputs.</w:t>
              <w:br/>
              <w:t>• The current documentation references process flows for current SMS, Visa DMS and to-be CBUAE DMS, but the detailed EOD and SMS behaviours for Jaywan co-badged ATM withdrawals are not yet formally documented.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Upon receiving an approval response from the appropriate scheme via PowerCard and Core Banking, the ATM shall dispense the requested cash amount to the customer.</w:t>
              <w:br/>
              <w:t>• The ATM shall return the Jaywan co-badged debit card to the customer following successful cash dispensing.</w:t>
              <w:br/>
              <w:t>• The ATM shall print a transaction receipt including at minimum basic transaction information (e.g. date, time, amount) in line with existing ATM practices (exact format not provided in inputs).</w:t>
              <w:br/>
              <w:t>• The system shall trigger an SMS alert containing transaction details to the customer’s registered mobile number for each approved Jaywan co-badged ATM withdrawal, consistent with the current SMS service behaviour referenced in the inputs.</w:t>
              <w:br/>
              <w:t>• The customer’s account shall be updated with the transaction details as part of EOD processing, ensuring that the withdrawal amount is debited from the account and visible in account history.</w:t>
              <w:br/>
              <w:t>• All approved transactions shall be logged for audit, reconciliation and reporting purposes in line with CBUAE and internal policies.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The Bank shall have a functioning ATM infrastructure already capable of dispensing cash, returning cards and printing receipts.</w:t>
              <w:br/>
              <w:t>• The SMS alerting service for ATM transactions shall be operational and integrated with Core Banking and/or PowerCard according to existing implementations.</w:t>
              <w:br/>
              <w:t>• The Core Banking System shall support EOD batch processing that posts ATM withdrawal transactions to customer accounts.</w:t>
              <w:br/>
              <w:t>• Jaywan co-badged card products shall be configured in the Bank’s systems such that approved transactions can be recognised and processed by existing ATM, SMS and EOD posting mechanisms.</w:t>
              <w:br/>
              <w:t>• Customer mobile numbers shall be available and maintained with appropriate consent for transaction alerts in accordance with Bank policy and regulations (not detailed in inputs).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In test scenarios where the scheme and Bank approve the transaction, the ATM shall dispense the exact amount requested and return the card without error for Jaywan co-badged debit cards.</w:t>
              <w:br/>
              <w:t>• A physical or on-screen confirmation via receipt shall be produced for each approved test transaction.</w:t>
              <w:br/>
              <w:t>• An SMS alert shall be received on the customer’s registered mobile number for each approved test transaction, containing transaction details as per existing ATM SMS templates.</w:t>
              <w:br/>
              <w:t>• After completion of EOD processing, the customer’s account shall show the correct debit for the ATM withdrawal and corresponding transaction history entry.</w:t>
              <w:br/>
              <w:t>• Transaction and audit logs shall evidence that all steps (approval, cash dispense, card return, receipt, SMS, EOD posting) were performed successfully for approved test cases.</w:t>
              <w:br/>
              <w:t>• No double-debits or missing postings shall be observed in the test scenarios for Jaywan co-badged cards compared to control cases.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cash dispense fails after approval but before completion, the Bank shall handle the scenario under its existing partial-dispense and reconciliation procedures (not described in inputs and therefore not detailed), ensuring that EOD postings are corrected where necessary.</w:t>
              <w:br/>
              <w:t>• If SMS service is temporarily unavailable, the transaction shall still proceed, and SMS may not be sent; the absence of SMS shall not prevent posting and completion of the transaction, and the issue shall be logged for Operations.</w:t>
              <w:br/>
              <w:t>• If receipt printing fails due to printer issues, the ATM shall complete the transaction without receipt and display an on-screen notification where supported, with appropriate logging.</w:t>
              <w:br/>
              <w:t>• If EOD batch processing fails or is delayed, approved transactions shall remain in a pending posting state and shall be processed when EOD is successfully re-run as per existing Bank procedures.</w:t>
              <w:br/>
              <w:t>• If there is a mismatch between approved transactions and postings detected during reconciliation, Card Operations and Finance shall follow existing reconciliation discrepancy procedures, referencing the requested reconciliation documentation once received from the relevant teams.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Internal ATM operations manuals detailing cash dispense, card return and receipt print behaviour for existing cards.</w:t>
              <w:br/>
              <w:t>• Current SMS (ATM, POS) process flow documentation referenced in the meeting notes.</w:t>
              <w:br/>
              <w:t>• Core Banking EOD processing and posting procedures for ATM withdrawals.</w:t>
              <w:br/>
              <w:t>• CBUAE and AEP guidance on transaction integrity and customer experience for Jaywan where available.</w:t>
              <w:br/>
              <w:t>• Reconciliation documentation requested by F and any original reports shared by CBUAE-R, once fully provided.</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ATM Rejected Transaction Handling for Jaywan Co-badged Debit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system shall handle rejected ATM withdrawal transactions for Jaywan co-badged debit cards in accordance with the BA process instructions, ensuring no cash is dispensed, no posting is made to the customer’s account and a clear decline message is communicated.</w:t>
              <w:br/>
              <w:t>• The rejected transaction flow shall include card return, SMS decline notification and proper logging for control and reconciliation.</w:t>
              <w:br/>
              <w:t>• The solution shall align with existing decline-handling practices while recognising Jaywan co-badged card specifics.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For existing cards, rejected ATM transactions generally result in no cash dispense, card return, on-screen decline messages and in many cases SMS decline alerts, but specific behaviour for Jaywan co-badged cards is not yet defined in the current documentation provided.</w:t>
              <w:br/>
              <w:t>• The current Visa and CBUAE DMS documentation under development, as referenced in the meeting notes, does not explicitly describe Jaywan-specific ATM decline 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When the authorisation decision from Core Banking/PowerCard indicates rejection (e.g. insufficient funds or other decline reasons, not detailed in inputs), the ATM shall not dispense any cash to the customer.</w:t>
              <w:br/>
              <w:t>• The ATM shall return the Jaywan co-badged debit card to the customer after processing the decline.</w:t>
              <w:br/>
              <w:t>• The ATM shall display a suitable decline message to the customer consistent with existing ATM behaviour; the exact text is to follow Bank standards (not provided in inputs).</w:t>
              <w:br/>
              <w:t>• The system shall send an SMS to the customer’s registered mobile number indicating that the transaction has been declined, where SMS service is available.</w:t>
              <w:br/>
              <w:t>• No financial entry shall be posted to the customer’s account for the rejected transaction; the account balance shall remain unchanged.</w:t>
              <w:br/>
              <w:t>• The transaction shall be stored in system logs with status indicating decline and appropriate reason codes for future analysis and reconciliation.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Decline codes and handling rules for Jaywan and co-badge schemes shall be defined and configured in PowerCard and Core Banking in line with scheme rules (details not provided in the inputs).</w:t>
              <w:br/>
              <w:t>• The ATM shall be configured to display standard decline messages upon receiving a rejection from upstream systems.</w:t>
              <w:br/>
              <w:t>• The SMS decline notification capability shall be enabled and integrated with the relevant systems.</w:t>
              <w:br/>
              <w:t>• Internal operations and reconciliation processes shall be able to distinguish between approved and declined transactions using logs and reports.</w:t>
              <w:br/>
              <w:t>• The Bank shall have defined retention and access policies for transaction logs used for declined transaction analysis.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In test decline scenarios (e.g. deliberately configured insufficient funds or test decline responses from schemes), the ATM shall not dispense cash and shall return the card to the customer.</w:t>
              <w:br/>
              <w:t>• A decline message shall be displayed on-screen as per existing Bank ATM standards.</w:t>
              <w:br/>
              <w:t>• No debit entry shall appear in the customer’s account after EOD processing for declined test transactions.</w:t>
              <w:br/>
              <w:t>• An SMS decline alert shall be sent for each declined test transaction if SMS service is operational.</w:t>
              <w:br/>
              <w:t>• Transaction logs shall clearly show decline status and reason codes for Jaywan co-badged card transactions.</w:t>
              <w:br/>
              <w:t>• Stakeholders shall confirm that decline behaviour for Jaywan co-badged cards is consistent with the BA process instructions and with regulatory expectations for accurate posting.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SMS service is unavailable, the system shall still process the decline without sending SMS, and the failure to send SMS shall be logged for follow-up.</w:t>
              <w:br/>
              <w:t>• If the ATM cannot return the card due to hardware issues, the card capture procedures defined by the Bank shall apply, and Card Operations shall follow standard card retrieval or replacement processes (not specified in inputs).</w:t>
              <w:br/>
              <w:t>• If there is any discrepancy where a decline is incorrectly posted as a debit, reconciliation teams shall investigate and correct the entry according to existing adjustment processes.</w:t>
              <w:br/>
              <w:t>• If the decline is due to scheme or network unavailability, the ATM may display specific network-related messages in line with current practice (details not provided in inputs).</w:t>
              <w:br/>
              <w:t>• If the authorisation response is not received within a defined time-out (timing not specified in inputs), the ATM shall treat the transaction as declined and follow the rejected transaction handling while logging the time-out condition.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Existing ATM decline handling procedures and on-screen messaging standards within the Bank.</w:t>
              <w:br/>
              <w:t>• Current SMS (ATM, POS) process documentation for decline notifications.</w:t>
              <w:br/>
              <w:t>• Internal reconciliation procedures and discrepancy management guidelines requested from Finance and related teams.</w:t>
              <w:br/>
              <w:t>• CBUAE and AEP requirements related to accurate posting and customer communication for declined transactions, when available.</w:t>
              <w:br/>
              <w:t>• Internal meeting minutes referencing updates on reversals, refunds and chargebacks, once fully documented.</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Reporting and Reconciliation Requirements for Jaywan Co-badged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generate and maintain reports for Jaywan co-badged ATM withdrawal transactions to support operational monitoring, reconciliation and regulatory compliance.</w:t>
              <w:br/>
              <w:t>• The reporting shall differentiate between domestic (Jaywan) and international (co-badge scheme) ATM transactions where possible, based on available data.</w:t>
              <w:br/>
              <w:t>• Reconciliation processes shall incorporate Jaywan transaction data in coordination with the original report from CBUAE and documentation requested by Finance and other stakeholders.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The current state includes general reporting and reconciliation for existing card schemes, but detailed Jaywan-specific reports and reconciliation rules are not described in the provided content.</w:t>
              <w:br/>
              <w:t>• Meeting notes indicate that queries were clarified with business and that an original report from CBUAE-R was shared, as well as requests from stakeholders (e.g. F) for reconciliation documentation, but the actual content of those reports is not included in the inputs.</w:t>
              <w:br/>
              <w:t>• GL details have been confirmed as ready by Finance for relevant processes, but Jaywan-specific mapping for ATM withdrawals is not detailed.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Bank’s reporting framework shall capture Jaywan co-badged ATM withdrawal transactions with sufficient detail to distinguish them from other card scheme transactions, where such distinction is supported by system data.</w:t>
              <w:br/>
              <w:t>• Reports shall support segmentation of transactions by domestic (Jaywan) and international (co-badge) routing based on routing outcomes recorded in PowerCard or Core Banking.</w:t>
              <w:br/>
              <w:t>• Operational teams (Card Operations, ATM Operations, Reconciliation, Finance) shall use these reports to monitor transaction volumes, approval/decline ratios and any exceptions for Jaywan co-badged ATM withdrawals.</w:t>
              <w:br/>
              <w:t>• Reconciliation processes shall include Jaywan co-badged ATM transactions, ensuring that authorised, posted and settled amounts reconcile to scheme and CBUAE/AEP statements where applicable.</w:t>
              <w:br/>
              <w:t>• The Bank shall align its reporting structure with original CBUAE reports provided and incorporate any mandatory regulatory fields specified therein, subject to information received from CBUAE (not included here).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Transaction logs and data elements needed to identify Jaywan co-badged ATM transactions and routing outcomes shall be available in Core Banking and PowerCard.</w:t>
              <w:br/>
              <w:t>• CBUAE-R original report and any AEP reporting templates shall be accessible to the project team to define new report layouts.</w:t>
              <w:br/>
              <w:t>• GL details and chart of accounts as confirmed by Finance shall be available for mapping Jaywan-related ATM transactions, even though specific GL numbers are not provided in the inputs.</w:t>
              <w:br/>
              <w:t>• Reporting tools or data warehouses currently used by the Bank shall be able to ingest and process new data attributes related to Jaywan.</w:t>
              <w:br/>
              <w:t>• Stakeholders shall define report recipients, frequency and formats in follow-up workshops, as these details are not present in the provided content.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At least one internal test report shall list Jaywan co-badged ATM transactions separately or with flags indicating scheme and routing (domestic/international) status.</w:t>
              <w:br/>
              <w:t>• Reconciliation test cycles shall confirm that transaction amounts for Jaywan co-badged ATM withdrawals reconcile between Core Banking, PowerCard and any available CBUAE/AEP or scheme statements.</w:t>
              <w:br/>
              <w:t>• Finance and Reconciliation teams shall confirm that GL postings related to Jaywan ATM withdrawals are accurately represented in trial balances and financial reports.</w:t>
              <w:br/>
              <w:t>• Any mandatory reporting elements referenced in the original CBUAE report (once available) shall be included in the Bank’s reporting outputs.</w:t>
              <w:br/>
              <w:t>• Business and Compliance stakeholders shall sign off that reporting is sufficient to support oversight of Jaywan co-badged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certain Jaywan-specific fields are not yet available in source systems, interim reports may use existing fields or manual enrichment while system enhancements are planned.</w:t>
              <w:br/>
              <w:t>• If CBUAE or AEP later revise reporting requirements, the Bank shall treat such changes as a separate change request and adjust reporting accordingly.</w:t>
              <w:br/>
              <w:t>• If reconciliation reveals discrepancies between internal records and external scheme/CBUAE statements, exception handling and investigation shall follow existing reconciliation policies.</w:t>
              <w:br/>
              <w:t>• If the Bank’s standard reporting platform cannot support specific Jaywan metrics initially, temporary tactical reports (e.g. extracts) may be produced until strategic integration is completed.</w:t>
              <w:br/>
              <w:t>• If tokenised or wallet-based Jaywan transactions are added later (Samsung Wallet, Apple Pay, Google Pay), their reporting will be handled under a separate requirement set, as those details are not provided in the current inputs.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CBUAE-R original report referenced as shared in the minutes (exact title not provided in inputs).</w:t>
              <w:br/>
              <w:t>• Internal Finance confirmation of GL details for relevant processes.</w:t>
              <w:br/>
              <w:t>• Requests for reconciliation documentation mentioned by F in the meeting notes.</w:t>
              <w:br/>
              <w:t>• AEP and CBUAE reporting guidelines for Jaywan, once formally provided to the Bank.</w:t>
              <w:br/>
              <w:t>• Internal card operations and reconciliation policies for ATM transactions currently in force.</w:t>
            </w:r>
          </w:p>
        </w:tc>
      </w:tr>
    </w:tbl>
    <w:p>
      <w:pPr>
        <w:pStyle w:val="Normal"/>
        <w:rPr/>
      </w:pPr>
      <w:r>
        <w:rPr/>
      </w:r>
    </w:p>
    <w:p>
      <w:pPr>
        <w:pStyle w:val="Normal"/>
        <w:rPr>
          <w:b/>
          <w:bCs/>
        </w:rPr>
      </w:pPr>
      <w:r>
        <w:rPr>
          <w:b/>
          <w:bCs/>
        </w:rPr>
        <w:t>Requirement Traceability Matrix</w:t>
      </w:r>
    </w:p>
    <w:tbl>
      <w:tblPr>
        <w:tblW w:w="9417" w:type="dxa"/>
        <w:jc w:val="left"/>
        <w:tblInd w:w="55" w:type="dxa"/>
        <w:tblLayout w:type="fixed"/>
        <w:tblCellMar>
          <w:top w:w="55" w:type="dxa"/>
          <w:left w:w="55" w:type="dxa"/>
          <w:bottom w:w="55" w:type="dxa"/>
          <w:right w:w="55" w:type="dxa"/>
        </w:tblCellMar>
      </w:tblPr>
      <w:tblGrid>
        <w:gridCol w:w="1872"/>
        <w:gridCol w:w="1872"/>
        <w:gridCol w:w="1872"/>
        <w:gridCol w:w="2351"/>
        <w:gridCol w:w="1450"/>
      </w:tblGrid>
      <w:tr>
        <w:trPr/>
        <w:tc>
          <w:tcPr>
            <w:tcW w:w="1872" w:type="dxa"/>
            <w:tcBorders>
              <w:top w:val="single" w:sz="8" w:space="0" w:color="000000"/>
              <w:left w:val="single" w:sz="8" w:space="0" w:color="000000"/>
              <w:bottom w:val="single" w:sz="8" w:space="0" w:color="000000"/>
            </w:tcBorders>
          </w:tcPr>
          <w:p>
            <w:pPr>
              <w:pStyle w:val="Normal"/>
              <w:spacing w:before="0" w:after="160"/>
              <w:rPr/>
            </w:pPr>
            <w:r>
              <w:rPr/>
              <w:t>REQ ID</w:t>
            </w:r>
          </w:p>
        </w:tc>
        <w:tc>
          <w:tcPr>
            <w:tcW w:w="1872" w:type="dxa"/>
            <w:tcBorders>
              <w:top w:val="single" w:sz="8" w:space="0" w:color="000000"/>
              <w:left w:val="single" w:sz="8" w:space="0" w:color="000000"/>
              <w:bottom w:val="single" w:sz="8" w:space="0" w:color="000000"/>
            </w:tcBorders>
          </w:tcPr>
          <w:p>
            <w:pPr>
              <w:pStyle w:val="Normal"/>
              <w:spacing w:before="0" w:after="160"/>
              <w:rPr/>
            </w:pPr>
            <w:r>
              <w:rPr/>
              <w:t>Description</w:t>
            </w:r>
          </w:p>
        </w:tc>
        <w:tc>
          <w:tcPr>
            <w:tcW w:w="1872" w:type="dxa"/>
            <w:tcBorders>
              <w:top w:val="single" w:sz="8" w:space="0" w:color="000000"/>
              <w:left w:val="single" w:sz="8" w:space="0" w:color="000000"/>
              <w:bottom w:val="single" w:sz="8" w:space="0" w:color="000000"/>
            </w:tcBorders>
          </w:tcPr>
          <w:p>
            <w:pPr>
              <w:pStyle w:val="Normal"/>
              <w:spacing w:before="0" w:after="160"/>
              <w:rPr/>
            </w:pPr>
            <w:r>
              <w:rPr/>
              <w:t>Source Channel</w:t>
            </w:r>
          </w:p>
        </w:tc>
        <w:tc>
          <w:tcPr>
            <w:tcW w:w="2351" w:type="dxa"/>
            <w:tcBorders>
              <w:top w:val="single" w:sz="8" w:space="0" w:color="000000"/>
              <w:left w:val="single" w:sz="8" w:space="0" w:color="000000"/>
              <w:bottom w:val="single" w:sz="8" w:space="0" w:color="000000"/>
            </w:tcBorders>
          </w:tcPr>
          <w:p>
            <w:pPr>
              <w:pStyle w:val="Normal"/>
              <w:spacing w:before="0" w:after="160"/>
              <w:rPr/>
            </w:pPr>
            <w:r>
              <w:rPr/>
              <w:t>Impacted System</w:t>
            </w:r>
          </w:p>
        </w:tc>
        <w:tc>
          <w:tcPr>
            <w:tcW w:w="1450"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Outcome</w:t>
            </w:r>
          </w:p>
        </w:tc>
      </w:tr>
      <w:tr>
        <w:trPr/>
        <w:tc>
          <w:tcPr>
            <w:tcW w:w="1872" w:type="dxa"/>
            <w:tcBorders>
              <w:left w:val="single" w:sz="8" w:space="0" w:color="000000"/>
              <w:bottom w:val="single" w:sz="8" w:space="0" w:color="000000"/>
            </w:tcBorders>
          </w:tcPr>
          <w:p>
            <w:r>
              <w:t>BR-001</w:t>
            </w:r>
          </w:p>
        </w:tc>
        <w:tc>
          <w:tcPr>
            <w:tcW w:w="1872" w:type="dxa"/>
            <w:tcBorders>
              <w:left w:val="single" w:sz="8" w:space="0" w:color="000000"/>
              <w:bottom w:val="single" w:sz="8" w:space="0" w:color="000000"/>
            </w:tcBorders>
          </w:tcPr>
          <w:p>
            <w:r>
              <w:t>• Enable end-to-end ATM withdrawal processing for Jaywan co-badged debit cards.</w:t>
            </w:r>
          </w:p>
        </w:tc>
        <w:tc>
          <w:tcPr>
            <w:tcW w:w="1872" w:type="dxa"/>
            <w:tcBorders>
              <w:left w:val="single" w:sz="8" w:space="0" w:color="000000"/>
              <w:bottom w:val="single" w:sz="8" w:space="0" w:color="000000"/>
            </w:tcBorders>
          </w:tcPr>
          <w:p>
            <w:r>
              <w:t>• CBUAE central government circular and AEP Jaywan scheme communications</w:t>
            </w:r>
          </w:p>
        </w:tc>
        <w:tc>
          <w:tcPr>
            <w:tcW w:w="2351" w:type="dxa"/>
            <w:tcBorders>
              <w:left w:val="single" w:sz="8" w:space="0" w:color="000000"/>
              <w:bottom w:val="single" w:sz="8" w:space="0" w:color="000000"/>
            </w:tcBorders>
          </w:tcPr>
          <w:p>
            <w:r>
              <w:t>• ATM Network; Core Banking System; PowerCard (Card/Switch System)</w:t>
            </w:r>
          </w:p>
        </w:tc>
        <w:tc>
          <w:tcPr>
            <w:tcW w:w="1450" w:type="dxa"/>
            <w:tcBorders>
              <w:left w:val="single" w:sz="8" w:space="0" w:color="000000"/>
              <w:bottom w:val="single" w:sz="8" w:space="0" w:color="000000"/>
              <w:right w:val="single" w:sz="8" w:space="0" w:color="000000"/>
            </w:tcBorders>
          </w:tcPr>
          <w:p>
            <w:r>
              <w:t>• Customers can perform ATM cash withdrawals using Jaywan co-badged debit cards end-to-end.</w:t>
            </w:r>
          </w:p>
        </w:tc>
      </w:tr>
      <w:tr>
        <w:tc>
          <w:tcPr>
            <w:tcW w:type="dxa" w:w="1872"/>
          </w:tcPr>
          <w:p>
            <w:r>
              <w:t>BR-002</w:t>
            </w:r>
          </w:p>
        </w:tc>
        <w:tc>
          <w:tcPr>
            <w:tcW w:type="dxa" w:w="1872"/>
          </w:tcPr>
          <w:p>
            <w:r>
              <w:t>• Implement domestic versus international routing for Jaywan co-badged ATM transactions.</w:t>
            </w:r>
          </w:p>
        </w:tc>
        <w:tc>
          <w:tcPr>
            <w:tcW w:type="dxa" w:w="1872"/>
          </w:tcPr>
          <w:p>
            <w:r>
              <w:t>• Regulatory Mandate (CBUAE circular 5480 2024 as referenced) and AEP guidance</w:t>
            </w:r>
          </w:p>
        </w:tc>
        <w:tc>
          <w:tcPr>
            <w:tcW w:type="dxa" w:w="2351"/>
          </w:tcPr>
          <w:p>
            <w:r>
              <w:t>• PowerCard; Core Banking System; ATM Network</w:t>
            </w:r>
          </w:p>
        </w:tc>
        <w:tc>
          <w:tcPr>
            <w:tcW w:type="dxa" w:w="1450"/>
          </w:tcPr>
          <w:p>
            <w:r>
              <w:t>• ATM transactions are routed to Jaywan for domestic and to co-badge schemes for international use.</w:t>
            </w:r>
          </w:p>
        </w:tc>
      </w:tr>
      <w:tr>
        <w:tc>
          <w:tcPr>
            <w:tcW w:type="dxa" w:w="1872"/>
          </w:tcPr>
          <w:p>
            <w:r>
              <w:t>BR-003</w:t>
            </w:r>
          </w:p>
        </w:tc>
        <w:tc>
          <w:tcPr>
            <w:tcW w:type="dxa" w:w="1872"/>
          </w:tcPr>
          <w:p>
            <w:r>
              <w:t>• Define approved transaction handling for Jaywan co-badged ATM withdrawals.</w:t>
            </w:r>
          </w:p>
        </w:tc>
        <w:tc>
          <w:tcPr>
            <w:tcW w:type="dxa" w:w="1872"/>
          </w:tcPr>
          <w:p>
            <w:r>
              <w:t>• Business and IT discussions; BA process instructions</w:t>
            </w:r>
          </w:p>
        </w:tc>
        <w:tc>
          <w:tcPr>
            <w:tcW w:type="dxa" w:w="2351"/>
          </w:tcPr>
          <w:p>
            <w:r>
              <w:t>• ATM Network; Core Banking System; PowerCard; SMS Gateway</w:t>
            </w:r>
          </w:p>
        </w:tc>
        <w:tc>
          <w:tcPr>
            <w:tcW w:type="dxa" w:w="1450"/>
          </w:tcPr>
          <w:p>
            <w:r>
              <w:t>• Approved withdrawals result in cash dispense, SMS alert and EOD account posting.</w:t>
            </w:r>
          </w:p>
        </w:tc>
      </w:tr>
      <w:tr>
        <w:tc>
          <w:tcPr>
            <w:tcW w:type="dxa" w:w="1872"/>
          </w:tcPr>
          <w:p>
            <w:r>
              <w:t>BR-004</w:t>
            </w:r>
          </w:p>
        </w:tc>
        <w:tc>
          <w:tcPr>
            <w:tcW w:type="dxa" w:w="1872"/>
          </w:tcPr>
          <w:p>
            <w:r>
              <w:t>• Define rejected transaction handling for Jaywan co-badged ATM withdrawals.</w:t>
            </w:r>
          </w:p>
        </w:tc>
        <w:tc>
          <w:tcPr>
            <w:tcW w:type="dxa" w:w="1872"/>
          </w:tcPr>
          <w:p>
            <w:r>
              <w:t>• Business and IT discussions; BA process instructions</w:t>
            </w:r>
          </w:p>
        </w:tc>
        <w:tc>
          <w:tcPr>
            <w:tcW w:type="dxa" w:w="2351"/>
          </w:tcPr>
          <w:p>
            <w:r>
              <w:t>• ATM Network; Core Banking System; PowerCard; SMS Gateway</w:t>
            </w:r>
          </w:p>
        </w:tc>
        <w:tc>
          <w:tcPr>
            <w:tcW w:type="dxa" w:w="1450"/>
          </w:tcPr>
          <w:p>
            <w:r>
              <w:t>• Declined withdrawals do not post to accounts and send appropriate decline notifications.</w:t>
            </w:r>
          </w:p>
        </w:tc>
      </w:tr>
      <w:tr>
        <w:tc>
          <w:tcPr>
            <w:tcW w:type="dxa" w:w="1872"/>
          </w:tcPr>
          <w:p>
            <w:r>
              <w:t>BR-005</w:t>
            </w:r>
          </w:p>
        </w:tc>
        <w:tc>
          <w:tcPr>
            <w:tcW w:type="dxa" w:w="1872"/>
          </w:tcPr>
          <w:p>
            <w:r>
              <w:t>• Establish reporting and reconciliation for Jaywan co-badged ATM transactions.</w:t>
            </w:r>
          </w:p>
        </w:tc>
        <w:tc>
          <w:tcPr>
            <w:tcW w:type="dxa" w:w="1872"/>
          </w:tcPr>
          <w:p>
            <w:r>
              <w:t>• CBUAE-R original report; internal Finance and reconciliation requests</w:t>
            </w:r>
          </w:p>
        </w:tc>
        <w:tc>
          <w:tcPr>
            <w:tcW w:type="dxa" w:w="2351"/>
          </w:tcPr>
          <w:p>
            <w:r>
              <w:t>• Core Banking System; PowerCard; Reporting/BI Systems; Finance GL Systems</w:t>
            </w:r>
          </w:p>
        </w:tc>
        <w:tc>
          <w:tcPr>
            <w:tcW w:type="dxa" w:w="1450"/>
          </w:tcPr>
          <w:p>
            <w:r>
              <w:t>• Bank can monitor, reconcile and report on Jaywan co-badged ATM transaction activity.</w:t>
            </w:r>
          </w:p>
        </w:tc>
      </w:tr>
    </w:tbl>
    <w:p>
      <w:pPr>
        <w:pStyle w:val="Normal"/>
        <w:rPr>
          <w:b/>
          <w:bCs/>
        </w:rPr>
      </w:pPr>
      <w:r>
        <w:rPr>
          <w:b/>
          <w:bCs/>
        </w:rPr>
      </w:r>
    </w:p>
    <w:p>
      <w:pPr>
        <w:pStyle w:val="Normal"/>
        <w:rPr/>
      </w:pPr>
      <w:r>
        <w:rPr/>
      </w:r>
    </w:p>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 The number of Jaywan co-badged ATM cardholders and active users is not specified in the provided content and shall be defined by the Bank based on internal projections.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 Peak ATM transaction volume for Jaywan co-badged cards is not specified in the provided content and shall be aligned with Bank capacity planning and CBUAE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 Monthly transaction volume estimates for Jaywan co-badged ATM withdrawals are not provided and shall be determined by the Bank using internal forecasts and adoption plans.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 Target system availability for ATM and card processing for Jaywan co-badged transactions is not specified; the Bank shall align availability targets with existing ATM service SLAs and CBUAE guidelines.</w:t>
            </w:r>
          </w:p>
        </w:tc>
      </w:tr>
    </w:tbl>
    <w:p>
      <w:pPr>
        <w:pStyle w:val="Normal"/>
        <w:rPr/>
      </w:pPr>
      <w:r>
        <w:rPr/>
      </w:r>
    </w:p>
    <w:p>
      <w:pPr>
        <w:pStyle w:val="Normal"/>
        <w:rPr/>
      </w:pPr>
      <w:r>
        <w:rPr>
          <w:b/>
          <w:bCs/>
        </w:rPr>
        <w:t>Impact on Operational process:</w:t>
      </w:r>
      <w:r>
        <w:rPr/>
        <w:t xml:space="preserve"> • Card Operations shall update operational procedures to include Jaywan co-badged ATM withdrawal flows, including approval, decline and exception handling in line with new scheme routing.</w:t>
        <w:br/>
        <w:t>• ATM Operations shall ensure ATM configurations (card acceptance tables, messaging, receipts) recognise Jaywan co-badged debit cards and support the defined behaviours for approvals and declines.</w:t>
        <w:br/>
        <w:t>• Reconciliation teams shall incorporate Jaywan co-badged ATM transactions into daily and periodic reconciliations against Core Banking, PowerCard, GL and any CBUAE/AEP or scheme statements.</w:t>
        <w:br/>
        <w:t>• Finance shall leverage the confirmed GL details to ensure that Jaywan-related ATM postings are correctly mapped and reflected in financial statements.</w:t>
        <w:br/>
        <w:t>• Customer Service and Call Centre teams shall be trained to handle customer queries and complaints related to Jaywan co-badged ATM withdrawals, including routing queries and dispute triage.</w:t>
        <w:br/>
        <w:t>• Compliance and Risk teams shall update their monitoring frameworks to reflect Jaywan co-badged ATM transaction patterns and ensure adherence to CBUAE and AEP requirements.</w:t>
        <w:br/>
        <w:t>• Documentation owners shall maintain updated process flows for current SMS, current Visa DMS and to-be CBUAE DMS, ensuring that Jaywan co-badged ATM flows are properly integrated where appropriate.</w:t>
      </w:r>
    </w:p>
    <w:p>
      <w:pPr>
        <w:pStyle w:val="Normal"/>
        <w:rPr/>
      </w:pPr>
      <w:r>
        <w:rPr/>
      </w:r>
    </w:p>
    <w:p>
      <w:pPr>
        <w:pStyle w:val="Normal"/>
        <w:rPr/>
      </w:pPr>
      <w:r>
        <w:rPr/>
      </w:r>
    </w:p>
    <w:p>
      <w:pPr>
        <w:pStyle w:val="Normal"/>
        <w:rPr/>
      </w:pPr>
      <w:r>
        <w:rPr>
          <w:b/>
          <w:bCs/>
        </w:rPr>
        <w:t>Regulatory impact:</w:t>
      </w:r>
      <w:r>
        <w:rPr/>
        <w:t xml:space="preserve"> • The project shall comply with the central government of UAE circular and CBUAE mandate reference number 5480 2024 as mentioned in the input, which requires that banks issuing MasterCard or Visa cards must issue co-badged cards supporting both domestic and international transactions.</w:t>
        <w:br/>
        <w:t>• The Bank shall align Jaywan co-badged ATM routing behaviour with CBUAE policy objectives of strengthening financial sovereignty, reducing transaction costs and enhancing digital payment adoption, as articulated in Al Etihad Payments and CBUAE communications about Jaywan.</w:t>
        <w:br/>
        <w:t>• The Bank shall ensure that reporting and reconciliation for Jaywan co-badged ATM transactions meet any CBUAE reporting standards, using the original report provided by CBUAE-R as a reference.</w:t>
        <w:br/>
        <w:t>• The Bank shall adhere to CBUAE guidance on data protection, customer communication and transparency related to card transactions, including SMS notifications and receipt information, as part of standard regulatory compliance (specific texts not provided in inputs).</w:t>
        <w:br/>
        <w:t>• The Bank shall consider CBUAE classification requirements (e.g. Public classification referenced in the inputs) when handling and sharing Jaywan-related documentation and data where applicable.</w:t>
        <w:br/>
        <w:t>• Any bilateral agreements involving Jaywan usage outside the UAE, such as those referenced with India by mid-2025, may introduce further regulatory obligations, which are not detailed in the provided content and thus are not elaborated here.</w:t>
      </w:r>
    </w:p>
    <w:p>
      <w:pPr>
        <w:pStyle w:val="Normal"/>
        <w:rPr/>
      </w:pPr>
      <w:r>
        <w:rPr/>
      </w:r>
    </w:p>
    <w:p>
      <w:pPr>
        <w:pStyle w:val="Normal"/>
        <w:rPr/>
      </w:pPr>
      <w:r>
        <w:rPr/>
      </w:r>
    </w:p>
    <w:p>
      <w:pPr>
        <w:pStyle w:val="Normal"/>
        <w:rPr/>
      </w:pPr>
      <w:r>
        <w:rPr>
          <w:b/>
          <w:bCs/>
        </w:rPr>
        <w:t>Reports requirement:</w:t>
      </w:r>
      <w:r>
        <w:rPr/>
        <w:t xml:space="preserve"> • The Bank shall produce internal reports listing Jaywan co-badged ATM withdrawal transactions, including key attributes such as transaction date, time, amount, approval/decline status and scheme/routing classification, subject to data availability.</w:t>
        <w:br/>
        <w:t>• Reports shall support operational teams (Card Operations, ATM Operations, Reconciliation, Finance) in monitoring transaction performance and exception cases for Jaywan co-badged ATM withdrawals.</w:t>
        <w:br/>
        <w:t>• The Bank shall align its internal reporting formats and data fields with the original CBUAE report referenced as shared by CBUAE-R, once the detailed structure is reviewed by the project team.</w:t>
        <w:br/>
        <w:t>• Reconciliation reports shall include comparisons between Core Banking, PowerCard, GL records and any available external scheme or CBUAE/AEP statements for Jaywan-related ATM transactions.</w:t>
        <w:br/>
        <w:t>• Frequency and distribution of reports (e.g. daily operations reports, monthly regulatory summaries) are not specified in the provided content and shall be agreed by stakeholders in subsequent workshops.</w:t>
        <w:br/>
        <w:t>• Any additional reports needed for demand analysis, as referenced under “Discussion on demand”, shall be defined in detail during discovery sessions and are not fully specified in the current inputs.</w:t>
      </w:r>
    </w:p>
    <w:p>
      <w:pPr>
        <w:pStyle w:val="Normal"/>
        <w:rPr/>
      </w:pPr>
      <w:r>
        <w:rPr/>
      </w:r>
    </w:p>
    <w:p>
      <w:pPr>
        <w:pStyle w:val="Normal"/>
        <w:rPr/>
      </w:pPr>
      <w:r>
        <w:rPr/>
      </w:r>
    </w:p>
    <w:p>
      <w:pPr>
        <w:pStyle w:val="Normal"/>
        <w:rPr/>
      </w:pPr>
      <w:r>
        <w:rPr>
          <w:b/>
          <w:bCs/>
        </w:rPr>
        <w:t>Access requirement:</w:t>
      </w:r>
      <w:r>
        <w:rPr/>
        <w:t xml:space="preserve"> • Access to Jaywan co-badged ATM transaction data and reports shall be restricted to authorised users in line with the Bank’s role-based access control model (specific roles and profiles are not provided in the inputs).</w:t>
        <w:br/>
        <w:t>• Card Operations, ATM Operations, Reconciliation, Finance, Compliance and IT Support teams shall have appropriate access levels to view or administer Jaywan-related data as required for their functions.</w:t>
        <w:br/>
        <w:t>• Access to CBUAE and AEP reports and any supporting documentation shall be controlled according to CBUAE classification (e.g. Public) and internal information security policies.</w:t>
        <w:br/>
        <w:t>• System configuration screens related to Jaywan routing, BIN tables and product parameters in PowerCard and Core Banking shall be accessible only to authorised administrators under change management controls.</w:t>
        <w:br/>
        <w:t>• Audit logging shall record access to sensitive Jaywan transaction data and configuration, although detailed audit requirements are not provided in the inputs.</w:t>
        <w:br/>
        <w:t>• External parties such as AEP and CBUAE shall only have access to information through agreed reporting or data-sharing channels, as defined in regulatory or scheme-level agreements not included in the current content.</w:t>
      </w:r>
    </w:p>
    <w:p>
      <w:pPr>
        <w:pStyle w:val="Normal"/>
        <w:rPr/>
      </w:pPr>
      <w:r>
        <w:rPr/>
      </w:r>
    </w:p>
    <w:p>
      <w:pPr>
        <w:pStyle w:val="Normal"/>
        <w:rPr/>
      </w:pPr>
      <w:r>
        <w:rPr/>
      </w:r>
    </w:p>
    <w:p>
      <w:pPr>
        <w:pStyle w:val="Normal"/>
        <w:rPr/>
      </w:pPr>
      <w:r>
        <w:rPr>
          <w:b/>
          <w:bCs/>
        </w:rPr>
        <w:t>Security requirement:</w:t>
      </w:r>
      <w:r>
        <w:rPr/>
        <w:t xml:space="preserve"> • The Bank shall treat Jaywan co-badged ATM transactions with the same level of security controls as existing card schemes, including PIN validation and secure message transmission between ATM, Core Banking and PowerCard.</w:t>
        <w:br/>
        <w:t>• Data related to Jaywan co-badged cards and their ATM transactions shall be protected in line with the Bank’s information security policies and CBUAE requirements, including confidentiality, integrity and availability controls.</w:t>
        <w:br/>
        <w:t>• The Bank shall ensure that integration with external schemes (Jaywan domestic via AEP and international schemes) uses secure communication channels; however, specific encryption standards are not provided in the inputs and shall be defined by technical and security teams.</w:t>
        <w:br/>
        <w:t>• Access to configuration elements governing Jaywan routing and card parameters shall be restricted, with changes subject to formal change management and appropriate approvals.</w:t>
        <w:br/>
        <w:t>• Logs containing card and transaction information shall be stored securely and retained in line with the Bank’s data retention policy and regulatory obligations (detailed durations not specified in the inputs).</w:t>
        <w:br/>
        <w:t>• The Bank shall ensure that any mobile wallet integrations (Samsung Wallet, Google Pay, Apple Pay) with Jaywan cards, referenced in the context for future phases, comply with scheme and CBUAE security guidelines, although these are not detailed in the current content.</w:t>
      </w:r>
    </w:p>
    <w:p>
      <w:pPr>
        <w:pStyle w:val="Normal"/>
        <w:rPr/>
      </w:pPr>
      <w:r>
        <w:rPr/>
      </w:r>
    </w:p>
    <w:p>
      <w:pPr>
        <w:pStyle w:val="Normal"/>
        <w:rPr/>
      </w:pPr>
      <w:r>
        <w:rPr/>
      </w:r>
    </w:p>
    <w:p>
      <w:pPr>
        <w:pStyle w:val="Normal"/>
        <w:rPr/>
      </w:pPr>
      <w:r>
        <w:rPr>
          <w:b/>
          <w:bCs/>
        </w:rPr>
        <w:t>Data requirement:</w:t>
      </w:r>
      <w:r>
        <w:rPr/>
        <w:t xml:space="preserve"> • The Bank shall capture all standard ATM transaction data for Jaywan co-badged cards, including card identifiers, transaction amount, date/time, approval/decline status and routing outcome (domestic Jaywan or international co-badge), to the extent supported by systems.</w:t>
        <w:br/>
        <w:t>• Data fields specific to Jaywan scheme transactions required for regulatory or AEP reporting shall be incorporated once defined in the original CBUAE report and AEP documentation, which are referenced but not included in the inputs.</w:t>
        <w:br/>
        <w:t>• Data quality controls shall ensure that Jaywan-related transaction records are complete and accurate to support posting, reconciliation and reporting; however, specific data quality metrics are not provided in the inputs.</w:t>
        <w:br/>
        <w:t>• Data retention periods for Jaywan transaction data shall align with the Bank’s existing card transaction retention policies and CBUAE requirements (specific durations not provided here).</w:t>
        <w:br/>
        <w:t>• Master data for card products, BIN ranges and routing tables related to Jaywan co-badged cards shall be maintained consistently across Core Banking, PowerCard and any reporting systems.</w:t>
        <w:br/>
        <w:t>• Any future expansion of Jaywan usage outside the UAE (e.g. via bilateral agreements with India) shall be supported by appropriate data attributes and reference data to distinguish cross-border usage, though detailed attributes are not defined in the current content.</w:t>
      </w:r>
    </w:p>
    <w:p>
      <w:pPr>
        <w:pStyle w:val="Normal"/>
        <w:rPr/>
      </w:pPr>
      <w:r>
        <w:rPr/>
      </w:r>
    </w:p>
    <w:p>
      <w:pPr>
        <w:pStyle w:val="Normal"/>
        <w:rPr/>
      </w:pPr>
      <w:r>
        <w:rPr/>
      </w:r>
    </w:p>
    <w:p>
      <w:pPr>
        <w:pStyle w:val="Normal"/>
        <w:rPr/>
      </w:pPr>
      <w:r>
        <w:rPr>
          <w:b/>
          <w:bCs/>
        </w:rPr>
        <w:t>Training requirement:</w:t>
      </w:r>
      <w:r>
        <w:rPr/>
        <w:t xml:space="preserve"> • Card Operations, ATM Operations and Reconciliation teams shall receive training on new Jaywan co-badged ATM withdrawal processes, including routing behaviour, approved and rejected flows, and exception handling.</w:t>
        <w:br/>
        <w:t>• Customer Service staff shall be trained to address customer queries related to Jaywan co-badged cards, including understanding that the card supports both domestic and international transactions as per the circular.</w:t>
        <w:br/>
        <w:t>• IT and Support teams shall be trained on configuration aspects in Core Banking and PowerCard related to Jaywan routing, logging and troubleshooting.</w:t>
        <w:br/>
        <w:t>• Finance and GL teams shall be briefed on the impact of Jaywan co-badged ATM withdrawals on reporting and financial statements, referencing the GL details confirmed by Finance.</w:t>
        <w:br/>
        <w:t>• Compliance and Risk teams shall be updated on regulatory aspects of Jaywan and any CBUAE/AEP reporting or monitoring changes.</w:t>
        <w:br/>
        <w:t xml:space="preserve">• Training content specifics, delivery methods and schedules are not provided in the inputs and shall be defined during project planning. </w:t>
      </w:r>
    </w:p>
    <w:p>
      <w:pPr>
        <w:pStyle w:val="Normal"/>
        <w:rPr/>
      </w:pPr>
      <w:r>
        <w:rPr/>
      </w:r>
    </w:p>
    <w:p>
      <w:pPr>
        <w:pStyle w:val="Normal"/>
        <w:rPr/>
      </w:pPr>
      <w:r>
        <w:rPr>
          <w:b/>
          <w:bCs/>
        </w:rPr>
        <w:t>Open Questions:</w:t>
      </w:r>
      <w:r>
        <w:rPr/>
        <w:t xml:space="preserve"> • What are the exact technical and business rules issued by CBUAE and AEP for distinguishing domestic versus international transactions for Jaywan co-badged cards at ATM level (e.g. based on geography, MCC, terminal country), which are not described in the provided content?</w:t>
        <w:br/>
        <w:t>• What are the precise data fields, layout and mandatory elements in the original CBUAE-R report referenced as shared in the minutes, and how should they be mapped to the Bank’s internal data model?</w:t>
        <w:br/>
        <w:t>• What are the detailed reconciliation rules and documentation requested by Finance (F) related to Jaywan transactions, including matching logic between internal systems and external statements?</w:t>
        <w:br/>
        <w:t>• What are the final approved SMS templates (content, language) for Jaywan co-badged ATM approvals and declines, and do they need to explicitly mention Jaywan?</w:t>
        <w:br/>
        <w:t>• Are there any CBUAE-mandated service level targets or caps on ATM transaction processing times for Jaywan co-badged cards, which are not mentioned in the current inputs?</w:t>
        <w:br/>
        <w:t>• How will reversals, refunds and chargebacks for Jaywan ATM transactions be handled in detail, as only high-level references to these topics exist in the meeting notes without defined processes?</w:t>
        <w:br/>
        <w:t>• Are there any specific CBUAE or AEP constraints on cross-border ATM usage of Jaywan co-badged cards beyond the general mention of bilateral agreements with India and other countries, which are not elaborated?</w:t>
        <w:br/>
        <w:t>• What are the final schedule and scope decisions from the discovery sessions on additional requirements for Jaywan mono-badged and co-badged cards, including any impact beyond ATM withdrawals?</w:t>
      </w:r>
    </w:p>
    <w:p>
      <w:pPr>
        <w:pStyle w:val="Normal"/>
        <w:rPr/>
      </w:pPr>
      <w:r>
        <w:rPr/>
      </w:r>
    </w:p>
    <w:p>
      <w:pPr>
        <w:pStyle w:val="Normal"/>
        <w:rPr/>
      </w:pPr>
      <w:r>
        <w:rPr>
          <w:b/>
          <w:bCs/>
        </w:rPr>
        <w:t>Contradictions (if any):</w:t>
      </w:r>
      <w:r>
        <w:rPr/>
        <w:t xml:space="preserve"> • The inputs provided reference multiple high-level documents and meeting notes but do not present explicit contradictions in the extracted text; however, the absence of full source documents limits a thorough contradiction analysis.</w:t>
        <w:br/>
        <w:t>• The phrase “The central government of UAE has issued a circular that all licence Financial Institutions must launch the Jaywan cobage cards” in the text titled “Objective and High-level Overview” may differ in wording and specifics from the official CBUAE circular with mandate reference number 5480 2024, but the original circular text is not provided, so any contradiction cannot be confirmed.</w:t>
        <w:br/>
        <w:t>• The AEP communication titled “Jaywan: UAE's new domestic card payment scheme; all your questions answered” and the document “Jaywan” the UAE's First Domestic Card Scheme Introduced to Strengthen the UAE's Position as a Global Hub for Digital Payments” both refer to local and global readiness and usage (including GCC, bilateral agreements with India and other countries), while the project scope described in the meeting minutes and objectives focuses only on ATM withdrawals; this is a scope difference rather than a direct contradiction.</w:t>
        <w:br/>
        <w:t>• The meeting notes referencing “VISA process clarification and how it can be adopted for JMB/JCB” suggest adopting Visa-like processes, while AEP Jaywan documentation positions Jaywan as a distinct domestic scheme; without the full Visa and Jaywan rulebooks it is not possible to determine if there are conflicting requirements.</w:t>
      </w:r>
    </w:p>
    <w:p>
      <w:pPr>
        <w:pStyle w:val="Normal"/>
        <w:rPr/>
      </w:pPr>
      <w:r>
        <w:rPr/>
      </w:r>
    </w:p>
    <w:p>
      <w:pPr>
        <w:pStyle w:val="Normal"/>
        <w:rPr>
          <w:b/>
          <w:bCs/>
        </w:rPr>
      </w:pPr>
      <w:r>
        <w:rPr>
          <w:b/>
          <w:bCs/>
        </w:rPr>
      </w:r>
    </w:p>
    <w:p>
      <w:pPr>
        <w:pStyle w:val="Normal"/>
        <w:rPr/>
      </w:pPr>
      <w:r>
        <w:rPr>
          <w:b/>
          <w:bCs/>
        </w:rPr>
        <w:t>Process Diagram:</w:t>
      </w:r>
      <w:r>
        <w:rPr/>
        <w:t xml:space="preserve"> {process_diagram}</w:t>
      </w:r>
    </w:p>
    <w:p>
      <w:pPr>
        <w:pStyle w:val="Normal"/>
        <w:rPr>
          <w:rFonts w:ascii="Consolas;Courier New;monospace" w:hAnsi="Consolas;Courier New;monospace"/>
          <w:b w:val="false"/>
          <w:color w:val="CE9178"/>
          <w:sz w:val="24"/>
          <w:szCs w:val="24"/>
          <w:shd w:fill="1F1F1F" w:val="clear"/>
        </w:rPr>
      </w:pPr>
      <w:r>
        <w:rPr>
          <w:rFonts w:ascii="Consolas;Courier New;monospace" w:hAnsi="Consolas;Courier New;monospace"/>
          <w:b w:val="false"/>
          <w:color w:val="CE9178"/>
          <w:sz w:val="24"/>
          <w:szCs w:val="24"/>
          <w:shd w:fill="1F1F1F" w:val="clear"/>
        </w:rPr>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nsolas">
    <w:altName w:val="Courier New"/>
    <w:charset w:val="00"/>
    <w:family w:val="roman"/>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739</TotalTime>
  <Application>LibreOffice/25.2.7.2$Windows_X86_64 LibreOffice_project/5cbfd1ab6520636bb5f7b99185aa69bd7456825d</Application>
  <AppVersion>15.0000</AppVersion>
  <Pages>4</Pages>
  <Words>144</Words>
  <Characters>1360</Characters>
  <CharactersWithSpaces>1428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2026-02-02T10:36:59Z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