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sz w:val="28"/>
          <w:szCs w:val="28"/>
        </w:rPr>
      </w:pPr>
      <w:r>
        <w:rPr>
          <w:b/>
          <w:bCs/>
          <w:sz w:val="28"/>
          <w:szCs w:val="28"/>
        </w:rPr>
        <w:t>First Islamic Bank</w:t>
      </w:r>
    </w:p>
    <w:p>
      <w:pPr>
        <w:pStyle w:val="Normal"/>
        <w:rPr/>
      </w:pPr>
      <w:r>
        <w:rPr/>
      </w:r>
    </w:p>
    <w:p>
      <w:pPr>
        <w:pStyle w:val="Normal"/>
        <w:jc w:val="center"/>
        <w:rPr>
          <w:b/>
          <w:bCs/>
          <w:sz w:val="28"/>
          <w:szCs w:val="28"/>
        </w:rPr>
      </w:pPr>
      <w:r>
        <w:rPr>
          <w:b/>
          <w:bCs/>
          <w:sz w:val="28"/>
          <w:szCs w:val="28"/>
        </w:rPr>
        <w:t>Business Requirements Specification</w:t>
      </w:r>
    </w:p>
    <w:p>
      <w:pPr>
        <w:pStyle w:val="Normal"/>
        <w:jc w:val="center"/>
        <w:rPr/>
      </w:pPr>
      <w:r>
        <w:rPr/>
      </w:r>
    </w:p>
    <w:p>
      <w:pPr>
        <w:pStyle w:val="Normal"/>
        <w:rPr/>
      </w:pPr>
      <w:r>
        <w:rPr>
          <w:b/>
          <w:bCs/>
        </w:rPr>
        <w:t>Title:</w:t>
      </w:r>
      <w:r>
        <w:rPr/>
        <w:t xml:space="preserve"> • Jaywan Domestic Card Scheme – ATM Cash Withdrawal using Jaywan Co‑badged Debit Cards</w:t>
      </w:r>
    </w:p>
    <w:p>
      <w:pPr>
        <w:pStyle w:val="Normal"/>
        <w:rPr/>
      </w:pPr>
      <w:r>
        <w:rPr>
          <w:b/>
          <w:bCs/>
        </w:rPr>
        <w:t>ID:</w:t>
      </w:r>
      <w:r>
        <w:rPr/>
        <w:t xml:space="preserve"> • BRD-JAYWAN-ATM-COB-001</w:t>
      </w:r>
    </w:p>
    <w:p>
      <w:pPr>
        <w:pStyle w:val="Normal"/>
        <w:rPr/>
      </w:pPr>
      <w:r>
        <w:rPr>
          <w:b/>
          <w:bCs/>
        </w:rPr>
        <w:t>Program:</w:t>
      </w:r>
      <w:r>
        <w:rPr/>
        <w:t xml:space="preserve"> • CBUAE Jaywan Domestic Card Scheme Enablement</w:t>
      </w:r>
    </w:p>
    <w:p>
      <w:pPr>
        <w:pStyle w:val="Normal"/>
        <w:rPr/>
      </w:pPr>
      <w:r>
        <w:rPr>
          <w:b/>
          <w:bCs/>
        </w:rPr>
        <w:t>Type:</w:t>
      </w:r>
      <w:r>
        <w:rPr/>
        <w:t xml:space="preserve"> • Business Requirements Specification (BRS)</w:t>
      </w:r>
    </w:p>
    <w:p>
      <w:pPr>
        <w:pStyle w:val="Normal"/>
        <w:rPr/>
      </w:pPr>
      <w:r>
        <w:rPr/>
      </w:r>
    </w:p>
    <w:p>
      <w:pPr>
        <w:pStyle w:val="Normal"/>
        <w:rPr>
          <w:b/>
          <w:bCs/>
        </w:rPr>
      </w:pPr>
      <w:r>
        <w:rPr>
          <w:b/>
          <w:bCs/>
        </w:rPr>
        <w:t>Table Of Content</w:t>
      </w:r>
    </w:p>
    <w:tbl>
      <w:tblPr>
        <w:tblW w:w="9240" w:type="dxa"/>
        <w:jc w:val="left"/>
        <w:tblInd w:w="115" w:type="dxa"/>
        <w:tblLayout w:type="fixed"/>
        <w:tblCellMar>
          <w:top w:w="55" w:type="dxa"/>
          <w:left w:w="55" w:type="dxa"/>
          <w:bottom w:w="55" w:type="dxa"/>
          <w:right w:w="55" w:type="dxa"/>
        </w:tblCellMar>
      </w:tblPr>
      <w:tblGrid>
        <w:gridCol w:w="4620"/>
        <w:gridCol w:w="4619"/>
      </w:tblGrid>
      <w:tr>
        <w:trPr/>
        <w:tc>
          <w:tcPr>
            <w:tcW w:w="4620" w:type="dxa"/>
            <w:tcBorders>
              <w:top w:val="single" w:sz="8" w:space="0" w:color="000000"/>
              <w:left w:val="single" w:sz="8" w:space="0" w:color="000000"/>
              <w:bottom w:val="single" w:sz="8" w:space="0" w:color="000000"/>
            </w:tcBorders>
          </w:tcPr>
          <w:p>
            <w:pPr>
              <w:pStyle w:val="Normal"/>
              <w:spacing w:before="0" w:after="160"/>
              <w:rPr/>
            </w:pPr>
            <w:r>
              <w:rPr/>
              <w:t>Serial Number</w:t>
            </w:r>
          </w:p>
        </w:tc>
        <w:tc>
          <w:tcPr>
            <w:tcW w:w="4619"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Description</w:t>
            </w:r>
          </w:p>
        </w:tc>
      </w:tr>
      <w:tr>
        <w:tc>
          <w:tcPr>
            <w:tcW w:type="dxa" w:w="4620"/>
          </w:tcPr>
          <w:p>
            <w:r>
              <w:t>1</w:t>
            </w:r>
          </w:p>
        </w:tc>
        <w:tc>
          <w:tcPr>
            <w:tcW w:type="dxa" w:w="4619"/>
          </w:tcPr>
          <w:p>
            <w:r>
              <w:t>Document Sign off</w:t>
            </w:r>
          </w:p>
        </w:tc>
      </w:tr>
      <w:tr>
        <w:tc>
          <w:tcPr>
            <w:tcW w:type="dxa" w:w="4620"/>
          </w:tcPr>
          <w:p>
            <w:r>
              <w:t>2</w:t>
            </w:r>
          </w:p>
        </w:tc>
        <w:tc>
          <w:tcPr>
            <w:tcW w:type="dxa" w:w="4619"/>
          </w:tcPr>
          <w:p>
            <w:r>
              <w:t>Document History</w:t>
            </w:r>
          </w:p>
        </w:tc>
      </w:tr>
      <w:tr>
        <w:tc>
          <w:tcPr>
            <w:tcW w:type="dxa" w:w="4620"/>
          </w:tcPr>
          <w:p>
            <w:r>
              <w:t>3</w:t>
            </w:r>
          </w:p>
        </w:tc>
        <w:tc>
          <w:tcPr>
            <w:tcW w:type="dxa" w:w="4619"/>
          </w:tcPr>
          <w:p>
            <w:r>
              <w:t>Overview</w:t>
            </w:r>
          </w:p>
        </w:tc>
      </w:tr>
      <w:tr>
        <w:tc>
          <w:tcPr>
            <w:tcW w:type="dxa" w:w="4620"/>
          </w:tcPr>
          <w:p>
            <w:r>
              <w:t>4</w:t>
            </w:r>
          </w:p>
        </w:tc>
        <w:tc>
          <w:tcPr>
            <w:tcW w:type="dxa" w:w="4619"/>
          </w:tcPr>
          <w:p>
            <w:r>
              <w:t>Current constraints</w:t>
            </w:r>
          </w:p>
        </w:tc>
      </w:tr>
      <w:tr>
        <w:tc>
          <w:tcPr>
            <w:tcW w:type="dxa" w:w="4620"/>
          </w:tcPr>
          <w:p>
            <w:r>
              <w:t>5</w:t>
            </w:r>
          </w:p>
        </w:tc>
        <w:tc>
          <w:tcPr>
            <w:tcW w:type="dxa" w:w="4619"/>
          </w:tcPr>
          <w:p>
            <w:r>
              <w:t>Objective</w:t>
            </w:r>
          </w:p>
        </w:tc>
      </w:tr>
      <w:tr>
        <w:tc>
          <w:tcPr>
            <w:tcW w:type="dxa" w:w="4620"/>
          </w:tcPr>
          <w:p>
            <w:r>
              <w:t>6</w:t>
            </w:r>
          </w:p>
        </w:tc>
        <w:tc>
          <w:tcPr>
            <w:tcW w:type="dxa" w:w="4619"/>
          </w:tcPr>
          <w:p>
            <w:r>
              <w:t>In scope</w:t>
            </w:r>
          </w:p>
        </w:tc>
      </w:tr>
      <w:tr>
        <w:tc>
          <w:tcPr>
            <w:tcW w:type="dxa" w:w="4620"/>
          </w:tcPr>
          <w:p>
            <w:r>
              <w:t>7</w:t>
            </w:r>
          </w:p>
        </w:tc>
        <w:tc>
          <w:tcPr>
            <w:tcW w:type="dxa" w:w="4619"/>
          </w:tcPr>
          <w:p>
            <w:r>
              <w:t>Out of scope</w:t>
            </w:r>
          </w:p>
        </w:tc>
      </w:tr>
      <w:tr>
        <w:tc>
          <w:tcPr>
            <w:tcW w:type="dxa" w:w="4620"/>
          </w:tcPr>
          <w:p>
            <w:r>
              <w:t>8</w:t>
            </w:r>
          </w:p>
        </w:tc>
        <w:tc>
          <w:tcPr>
            <w:tcW w:type="dxa" w:w="4619"/>
          </w:tcPr>
          <w:p>
            <w:r>
              <w:t>Description</w:t>
            </w:r>
          </w:p>
        </w:tc>
      </w:tr>
      <w:tr>
        <w:tc>
          <w:tcPr>
            <w:tcW w:type="dxa" w:w="4620"/>
          </w:tcPr>
          <w:p>
            <w:r>
              <w:t>9</w:t>
            </w:r>
          </w:p>
        </w:tc>
        <w:tc>
          <w:tcPr>
            <w:tcW w:type="dxa" w:w="4619"/>
          </w:tcPr>
          <w:p>
            <w:r>
              <w:t>Business Requirements</w:t>
            </w:r>
          </w:p>
        </w:tc>
      </w:tr>
      <w:tr>
        <w:tc>
          <w:tcPr>
            <w:tcW w:type="dxa" w:w="4620"/>
          </w:tcPr>
          <w:p>
            <w:r>
              <w:t>10</w:t>
            </w:r>
          </w:p>
        </w:tc>
        <w:tc>
          <w:tcPr>
            <w:tcW w:type="dxa" w:w="4619"/>
          </w:tcPr>
          <w:p>
            <w:r>
              <w:t>Requirement Traceability Matrix</w:t>
            </w:r>
          </w:p>
        </w:tc>
      </w:tr>
      <w:tr>
        <w:tc>
          <w:tcPr>
            <w:tcW w:type="dxa" w:w="4620"/>
          </w:tcPr>
          <w:p>
            <w:r>
              <w:t>11</w:t>
            </w:r>
          </w:p>
        </w:tc>
        <w:tc>
          <w:tcPr>
            <w:tcW w:type="dxa" w:w="4619"/>
          </w:tcPr>
          <w:p>
            <w:r>
              <w:t>Non-Functional Requirements</w:t>
            </w:r>
          </w:p>
        </w:tc>
      </w:tr>
      <w:tr>
        <w:tc>
          <w:tcPr>
            <w:tcW w:type="dxa" w:w="4620"/>
          </w:tcPr>
          <w:p>
            <w:r>
              <w:t>12</w:t>
            </w:r>
          </w:p>
        </w:tc>
        <w:tc>
          <w:tcPr>
            <w:tcW w:type="dxa" w:w="4619"/>
          </w:tcPr>
          <w:p>
            <w:r>
              <w:t>Impact on Operational Process</w:t>
            </w:r>
          </w:p>
        </w:tc>
      </w:tr>
      <w:tr>
        <w:tc>
          <w:tcPr>
            <w:tcW w:type="dxa" w:w="4620"/>
          </w:tcPr>
          <w:p>
            <w:r>
              <w:t>13</w:t>
            </w:r>
          </w:p>
        </w:tc>
        <w:tc>
          <w:tcPr>
            <w:tcW w:type="dxa" w:w="4619"/>
          </w:tcPr>
          <w:p>
            <w:r>
              <w:t>Regulatory Impact</w:t>
            </w:r>
          </w:p>
        </w:tc>
      </w:tr>
      <w:tr>
        <w:tc>
          <w:tcPr>
            <w:tcW w:type="dxa" w:w="4620"/>
          </w:tcPr>
          <w:p>
            <w:r>
              <w:t>14</w:t>
            </w:r>
          </w:p>
        </w:tc>
        <w:tc>
          <w:tcPr>
            <w:tcW w:type="dxa" w:w="4619"/>
          </w:tcPr>
          <w:p>
            <w:r>
              <w:t>Reports Requirement</w:t>
            </w:r>
          </w:p>
        </w:tc>
      </w:tr>
      <w:tr>
        <w:tc>
          <w:tcPr>
            <w:tcW w:type="dxa" w:w="4620"/>
          </w:tcPr>
          <w:p>
            <w:r>
              <w:t>15</w:t>
            </w:r>
          </w:p>
        </w:tc>
        <w:tc>
          <w:tcPr>
            <w:tcW w:type="dxa" w:w="4619"/>
          </w:tcPr>
          <w:p>
            <w:r>
              <w:t>Access Requirement</w:t>
            </w:r>
          </w:p>
        </w:tc>
      </w:tr>
      <w:tr>
        <w:tc>
          <w:tcPr>
            <w:tcW w:type="dxa" w:w="4620"/>
          </w:tcPr>
          <w:p>
            <w:r>
              <w:t>16</w:t>
            </w:r>
          </w:p>
        </w:tc>
        <w:tc>
          <w:tcPr>
            <w:tcW w:type="dxa" w:w="4619"/>
          </w:tcPr>
          <w:p>
            <w:r>
              <w:t>Security Requirement</w:t>
            </w:r>
          </w:p>
        </w:tc>
      </w:tr>
      <w:tr>
        <w:tc>
          <w:tcPr>
            <w:tcW w:type="dxa" w:w="4620"/>
          </w:tcPr>
          <w:p>
            <w:r>
              <w:t>17</w:t>
            </w:r>
          </w:p>
        </w:tc>
        <w:tc>
          <w:tcPr>
            <w:tcW w:type="dxa" w:w="4619"/>
          </w:tcPr>
          <w:p>
            <w:r>
              <w:t>Data Requirement</w:t>
            </w:r>
          </w:p>
        </w:tc>
      </w:tr>
      <w:tr>
        <w:tc>
          <w:tcPr>
            <w:tcW w:type="dxa" w:w="4620"/>
          </w:tcPr>
          <w:p>
            <w:r>
              <w:t>18</w:t>
            </w:r>
          </w:p>
        </w:tc>
        <w:tc>
          <w:tcPr>
            <w:tcW w:type="dxa" w:w="4619"/>
          </w:tcPr>
          <w:p>
            <w:r>
              <w:t>Training Requirement</w:t>
            </w:r>
          </w:p>
        </w:tc>
      </w:tr>
    </w:tbl>
    <w:p>
      <w:pPr>
        <w:pStyle w:val="Normal"/>
        <w:rPr>
          <w:b/>
          <w:bCs/>
        </w:rPr>
      </w:pPr>
      <w:r>
        <w:rPr>
          <w:b/>
          <w:bCs/>
        </w:rPr>
      </w:r>
    </w:p>
    <w:p>
      <w:pPr>
        <w:pStyle w:val="Normal"/>
        <w:rPr>
          <w:b/>
          <w:bCs/>
        </w:rPr>
      </w:pPr>
      <w:r>
        <w:rPr>
          <w:b/>
          <w:bCs/>
        </w:rPr>
      </w:r>
    </w:p>
    <w:p>
      <w:pPr>
        <w:pStyle w:val="Normal"/>
        <w:rPr>
          <w:b/>
          <w:bCs/>
        </w:rPr>
      </w:pPr>
      <w:r>
        <w:rPr>
          <w:b/>
          <w:bCs/>
        </w:rPr>
        <w:t>Document Sign off</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157"/>
        <w:gridCol w:w="2157"/>
        <w:gridCol w:w="2158"/>
        <w:gridCol w:w="2157"/>
      </w:tblGrid>
      <w:tr>
        <w:trPr/>
        <w:tc>
          <w:tcPr>
            <w:tcW w:w="2157"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Name</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Department</w:t>
            </w:r>
          </w:p>
        </w:tc>
        <w:tc>
          <w:tcPr>
            <w:tcW w:w="2158"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Remarks</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Approval date</w:t>
            </w:r>
          </w:p>
        </w:tc>
      </w:tr>
      <w:tr>
        <w:trPr/>
        <w:tc>
          <w:tcPr>
            <w:tcW w:w="2157"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2158"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rPr/>
            </w:r>
          </w:p>
        </w:tc>
      </w:tr>
    </w:tbl>
    <w:p>
      <w:pPr>
        <w:pStyle w:val="Normal"/>
        <w:rPr/>
      </w:pPr>
      <w:r>
        <w:rPr/>
      </w:r>
    </w:p>
    <w:p>
      <w:pPr>
        <w:pStyle w:val="Normal"/>
        <w:rPr>
          <w:b/>
          <w:bCs/>
        </w:rPr>
      </w:pPr>
      <w:r>
        <w:rPr>
          <w:b/>
          <w:bCs/>
        </w:rPr>
        <w:t>Document History</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234"/>
        <w:gridCol w:w="3269"/>
        <w:gridCol w:w="3127"/>
      </w:tblGrid>
      <w:tr>
        <w:trPr/>
        <w:tc>
          <w:tcPr>
            <w:tcW w:w="2234"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Version</w:t>
            </w:r>
          </w:p>
        </w:tc>
        <w:tc>
          <w:tcPr>
            <w:tcW w:w="3269"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Remarks</w:t>
            </w:r>
          </w:p>
        </w:tc>
        <w:tc>
          <w:tcPr>
            <w:tcW w:w="312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Date</w:t>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1.0</w:t>
            </w:r>
          </w:p>
        </w:tc>
        <w:tc>
          <w:tcPr>
            <w:tcW w:w="3269" w:type="dxa"/>
            <w:tcBorders>
              <w:bottom w:val="single" w:sz="8" w:space="0" w:color="000000"/>
              <w:right w:val="single" w:sz="8" w:space="0" w:color="000000"/>
            </w:tcBorders>
          </w:tcPr>
          <w:p>
            <w:pPr>
              <w:pStyle w:val="Normal"/>
              <w:widowControl/>
              <w:bidi w:val="0"/>
              <w:spacing w:lineRule="auto" w:line="278" w:before="0" w:after="160"/>
              <w:jc w:val="left"/>
              <w:rPr/>
            </w:pPr>
            <w:r>
              <w:rPr/>
              <w:t>Initial Draft</w:t>
            </w:r>
          </w:p>
        </w:tc>
        <w:tc>
          <w:tcPr>
            <w:tcW w:w="3127" w:type="dxa"/>
            <w:tcBorders>
              <w:bottom w:val="single" w:sz="8" w:space="0" w:color="000000"/>
              <w:right w:val="single" w:sz="8" w:space="0" w:color="000000"/>
            </w:tcBorders>
          </w:tcPr>
          <w:p>
            <w:pPr>
              <w:pStyle w:val="Normal"/>
              <w:widowControl/>
              <w:bidi w:val="0"/>
              <w:spacing w:lineRule="auto" w:line="278" w:before="0" w:after="160"/>
              <w:jc w:val="left"/>
              <w:rPr/>
            </w:pPr>
            <w:r>
              <w:rPr/>
              <w:t>- 02-Feb-2026</w:t>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r>
          </w:p>
        </w:tc>
        <w:tc>
          <w:tcPr>
            <w:tcW w:w="3269"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3127" w:type="dxa"/>
            <w:tcBorders>
              <w:bottom w:val="single" w:sz="8" w:space="0" w:color="000000"/>
              <w:right w:val="single" w:sz="8" w:space="0" w:color="000000"/>
            </w:tcBorders>
          </w:tcPr>
          <w:p>
            <w:pPr>
              <w:pStyle w:val="Normal"/>
              <w:widowControl/>
              <w:bidi w:val="0"/>
              <w:spacing w:lineRule="auto" w:line="278" w:before="0" w:after="160"/>
              <w:jc w:val="left"/>
              <w:rPr/>
            </w:pPr>
            <w:r>
              <w:rPr/>
            </w:r>
          </w:p>
        </w:tc>
      </w:tr>
    </w:tbl>
    <w:p>
      <w:pPr>
        <w:pStyle w:val="Normal"/>
        <w:rPr/>
      </w:pPr>
      <w:r>
        <w:rPr/>
      </w:r>
    </w:p>
    <w:p>
      <w:pPr>
        <w:pStyle w:val="Normal"/>
        <w:rPr/>
      </w:pPr>
      <w:r>
        <w:rPr/>
      </w:r>
    </w:p>
    <w:p>
      <w:pPr>
        <w:pStyle w:val="Normal"/>
        <w:rPr/>
      </w:pPr>
      <w:r>
        <w:rPr>
          <w:b/>
          <w:bCs/>
        </w:rPr>
        <w:t>Overview:</w:t>
      </w:r>
      <w:r>
        <w:rPr/>
        <w:t xml:space="preserve"> • The document shall define business requirements for enabling ATM cash withdrawal transactions using Jaywan co‑badged debit cards in line with CBUAE and Al Etihad Payments (AEP) directives for the domestic card scheme. • The document shall focus on end‑to‑end processing from cardholder initiation at ATM through Core Banking and PowerCARD to scheme routing for domestic and international transactions. • The document shall ensure alignment with CBUAE circular mandating co‑badged card issuance and with AEP Jaywan scheme readiness for domestic usage, GCC usage, and co‑badged international usage. • The document shall cover functional flows for successful and declined ATM withdrawal transactions, including customer notifications and end‑of‑day (EOD) posting requirements.</w:t>
      </w:r>
    </w:p>
    <w:p>
      <w:pPr>
        <w:pStyle w:val="Normal"/>
        <w:rPr/>
      </w:pPr>
      <w:r>
        <w:rPr/>
      </w:r>
    </w:p>
    <w:p>
      <w:pPr>
        <w:pStyle w:val="Normal"/>
        <w:rPr/>
      </w:pPr>
      <w:r>
        <w:rPr>
          <w:b/>
          <w:bCs/>
        </w:rPr>
        <w:t>Current constraints:</w:t>
      </w:r>
      <w:r>
        <w:rPr/>
        <w:t xml:space="preserve"> • Current ATM withdrawal transactions are primarily processed over international schemes (e.g. Visa, Mastercard) without full alignment to Jaywan domestic routing mandates. • Current routing logic may not differentiate Jaywan domestic transactions versus international transactions for co‑badged cards as required by CBUAE and AEP. • Current processes for domestic DMS (CBUAE DMS) and reconciliation for Jaywan transactions are in progress and not fully documented or finalized. • Current reporting requirements specific to Jaywan mono‑badge and co‑badged cards for CBUAE/AEP regulatory reporting are not fully defined in the provided inputs. • Current integration readiness with digital wallets (Samsung Wallet, Google Pay, Apple Pay) for Jaywan cards is referenced but detailed ATM‑specific behaviour is not provided in the inputs.</w:t>
      </w:r>
    </w:p>
    <w:p>
      <w:pPr>
        <w:pStyle w:val="Normal"/>
        <w:rPr/>
      </w:pPr>
      <w:r>
        <w:rPr/>
      </w:r>
    </w:p>
    <w:p>
      <w:pPr>
        <w:pStyle w:val="Normal"/>
        <w:rPr/>
      </w:pPr>
      <w:r>
        <w:rPr>
          <w:b/>
          <w:bCs/>
        </w:rPr>
        <w:t>Objective:</w:t>
      </w:r>
      <w:r>
        <w:rPr/>
        <w:t xml:space="preserve"> • The solution shall enable compliant ATM cash withdrawal processing for Jaywan co‑badged debit cards, covering domestic and international routing in line with CBUAE circular reference 5480/2024 as referenced in the inputs. • The solution shall support the CBUAE and AEP objective to reduce payment costs, enhance financial sovereignty, and provide secure and seamless domestic card payments. • The solution shall ensure that cardholder experience at ATM for Jaywan co‑badged cards is consistent, secure, and clearly communicated for both approvals and declines. • The solution shall ensure that all Jaywan ATM transactions are processed and recorded in Core Banking and PowerCARD, with appropriate SMS alerts, EOD postings, and reconciliation support. • The solution shall provide a basis for subsequent detailed functional design, system changes, operational procedures, and testing for Jaywan ATM transactions.</w:t>
      </w:r>
    </w:p>
    <w:p>
      <w:pPr>
        <w:pStyle w:val="Normal"/>
        <w:rPr/>
      </w:pPr>
      <w:r>
        <w:rPr/>
      </w:r>
    </w:p>
    <w:p>
      <w:pPr>
        <w:pStyle w:val="Normal"/>
        <w:rPr/>
      </w:pPr>
      <w:r>
        <w:rPr>
          <w:b/>
          <w:bCs/>
        </w:rPr>
        <w:t>In scope:</w:t>
      </w:r>
      <w:r>
        <w:rPr/>
        <w:t xml:space="preserve"> • ATM cash withdrawal transactions initiated using Jaywan co‑badged debit cards issued by licensed financial institutions in the UAE. • Transaction flow from ATM to Core Banking and onward to PowerCARD for authorization and scheme routing. • Identification and routing of the transaction as domestic (Jaywan) or international (co‑badged partner scheme such as Visa or Mastercard) based on configuration and CBUAE/AEP rules. • Handling of approved transactions including cash dispensation, card return, receipt printing, SMS alerting, and EOD posting in the customer account. • Handling of declined transactions including card return, on‑screen decline messaging, SMS decline alerts, and absence of financial posting in the customer account. • High‑level alignment with CBUAE DMS (to‑be for e‑commerce and tokenisation) where relevant for Jaywan scheme principles, noting that detailed DMS specifications for ATM are not provided in the inputs. • Capture of business requirements for reporting, access, security, data, training, and regulatory compliance related to the described ATM withdrawal scenario. • Traceability mapping between business requirements, regulatory mandate, and impacted systems such as ATM Switch, Core Banking, and PowerCARD.</w:t>
      </w:r>
    </w:p>
    <w:p>
      <w:pPr>
        <w:pStyle w:val="Normal"/>
        <w:rPr/>
      </w:pPr>
      <w:r>
        <w:rPr/>
      </w:r>
    </w:p>
    <w:p>
      <w:pPr>
        <w:pStyle w:val="Normal"/>
        <w:rPr/>
      </w:pPr>
      <w:r>
        <w:rPr>
          <w:b/>
          <w:bCs/>
        </w:rPr>
        <w:t>Out of scope:</w:t>
      </w:r>
      <w:r>
        <w:rPr/>
        <w:t xml:space="preserve"> • Detailed technical design, message formats, ISO message fields, or host interface specifications. • Detailed configuration rules for scheme bin tables, routing tables, and interchange fee structures. • Non‑ATM channels such as POS, e‑commerce, and tokenised transactions, except where referenced at high level in background context. • Issuance lifecycle of Jaywan mono‑badge or co‑badged cards (e.g. KYC, card production, embossing, card personalisation). • Dispute management, chargebacks, and representments processes beyond high‑level acknowledgment that they exist. • Detailed reconciliation processes and file formats between bank, AEP, and international schemes as the inputs only mention that documentation has been requested. • Implementation details for Samsung Wallet, Google Pay, and Apple Pay enablement for Jaywan cards. • Any assumptions on fee structures, pricing, or customer charges not explicitly mentioned in the provided inputs.</w:t>
      </w:r>
    </w:p>
    <w:p>
      <w:pPr>
        <w:pStyle w:val="Normal"/>
        <w:rPr/>
      </w:pPr>
      <w:r>
        <w:rPr/>
      </w:r>
    </w:p>
    <w:p>
      <w:pPr>
        <w:pStyle w:val="Normal"/>
        <w:rPr/>
      </w:pPr>
      <w:r>
        <w:rPr/>
      </w:r>
    </w:p>
    <w:p>
      <w:pPr>
        <w:pStyle w:val="Normal"/>
        <w:rPr>
          <w:b/>
          <w:bCs/>
        </w:rPr>
      </w:pPr>
      <w:r>
        <w:rPr>
          <w:b/>
          <w:bCs/>
        </w:rPr>
        <w:t>Business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BR-ATM-COB-001</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 Identification of Jaywan Co‑badged Debit Card at ATM</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ATM solution shall identify a Jaywan co‑badged debit card at the time of card insertion in order to enable correct scheme routing in line with CBUAE and AEP Jaywan domestic scheme rules.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ATM and switch currently identify cards primarily based on existing scheme BIN ranges (e.g. Visa, Mastercard) and do not explicitly recognise Jaywan BIN ranges as part of a co‑badged configuration according to the limited information in the inputs. • Existing flows are described for Visa Dual Message System (VISA DMS) and CBUAE DMS (to‑be) but no specific as‑is is provided for Jaywan co‑badged cards in the uploaded content.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ATM and upstream switch shall recognise Jaywan co‑badged debit cards using configured BIN ranges and product parameters aligned with AEP Jaywan scheme specifications. • ATM and switch shall tag the transaction as eligible for domestic Jaywan routing when the transaction is originated in the UAE and meets Jaywan domestic usage rules as per AEP documentation (not provided in detail in inputs). • ATM and switch shall support co‑badged recognition whereby the same physical card carries both Jaywan and an international scheme (e.g. Visa or Mastercard) and shall expose this to Core Banking and PowerCARD for routing decisions.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Jaywan BIN ranges and product definitions shall be provided by AEP and configured in card management and switch systems. • Co‑badged product setup (Jaywan + international scheme) shall be completed in PowerCARD and related card issuing systems. • CBUAE and AEP scheme rules for domestic versus international usage shall be made available to the bank for parameterisation.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Test cards tagged as Jaywan co‑badged shall be correctly identified at ATM during test cases and shall follow Jaywan routing rules when transactions are domestic. • Transactions initiated with non‑Jaywan cards shall not be incorrectly tagged as Jaywan. • All production BINs configured for Jaywan co‑badged products shall be successfully recognised in at least 95% of monitored live transactions during initial rollout period, subject to data availability. • No transaction with Jaywan BIN shall be misrouted solely because the card was not recognised as Jaywan co‑badged during user acceptance testing (UAT).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a card cannot be identified as Jaywan or as a valid co‑badged product due to configuration issues, the transaction shall be declined with a generic technical decline response and without any posting in the customer account. • If card BIN is identified as Jaywan mono‑badge (not co‑badged) in future phases, separate mono‑badge routing rules shall apply; these are out of scope for the current requirement but shall not be blocked by co‑badged configuration.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CBUAE Circular on Jaywan Domestic Card Scheme mandate (centre Bank mandate reference number 5480 2024 as cited in the inputs). • Al Etihad Payments communication “Jaywan the UAE's First Domestic Card Scheme Introduced to Strengthen the UAE's Position as a Global Hub for Digital Payments”. • Internal card product configuration documents for Jaywan co‑badged cards (not provided in the inputs).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BR-ATM-COB-002</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 ATM Cash Withdrawal Flow for Jaywan Co‑badged Debit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system shall support end‑to‑end ATM cash withdrawal processing for Jaywan co‑badged debit cards including PIN entry, amount capture, authorisation via Core Banking and PowerCARD, and scheme routing.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Existing ATM withdrawal flows are in place for international scheme debit and credit cards routed through Visa/Mastercard as referenced by mention of Visa DMS and current SMS (ATM, POS) flows in the minutes. • No explicit as‑is flow is documented in the uploaded content for Jaywan co‑badged ATM withdrawals originating in the UAE.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The ATM shall prompt the customer to insert the Jaywan co‑badged debit card, enter PIN, and enter the withdrawal amount in line with existing ATM UX standards. • The ATM shall send the transaction to Core Banking through the bank’s switch. • Core Banking shall forward the transaction to PowerCARD for card verification, risk checks, and scheme routing decision. • PowerCARD shall determine whether the transaction is domestic (to be routed via Jaywan scheme) or international (to be routed via the co‑badged international scheme) based on geographic and scheme rules. • Upon successful authorisation, ATM shall dispense cash, return the card, print or display a receipt, and trigger downstream events for SMS alerting and EOD posting.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Connectivity between ATM switch, Core Banking, and PowerCARD shall be established and tested for Jaywan transaction types. • Cardholder PIN management for Jaywan co‑badged cards shall be implemented and aligned with existing PIN security standards. • PowerCARD shall be configured to process Jaywan transaction types and to interface with AEP or relevant domestic switches for Jaywan authorisations, as applicable. • Appropriate ATM software changes, if any, shall be deployed for any Jaywan‑specific messaging or branding if mandated by AEP.</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End‑to‑end test scenarios for ATM withdrawal with Jaywan co‑badged cards shall complete successfully for domestic transactions with correct cash dispensation and account debiting. • Response times for authorisation shall remain within existing service levels for ATM withdrawals as defined by bank standards (exact thresholds not provided in inputs). • Customers shall receive confirmation receipts and SMS alerts (where subscribed) for successful withdrawals with accurate transaction details. • No duplicate postings shall occur in Core Banking for any single successful Jaywan ATM withdrawal transaction during UAT.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Core Banking is unavailable, the transaction shall be declined as per bank standard offline rules and no cash shall be dispensed. • If PowerCARD is unavailable, the transaction shall be declined with a scheme or host‑unavailable response and no customer account posting shall occur. • If ATM loses connectivity after authorisation but before cash dispensation, existing bank procedures for partial dispense or no‑dispense scenarios shall apply; specific rules are not detailed in the inputs and hence shall be handled under existing ATM incident processes.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Internal ATM and switch integration design documents for Visa DMS and CBUAE DMS (to be) – only referenced generically in the inputs. • CBUAE and AEP Jaywan scheme technical specifications for ATM withdrawals (not included in the provided text). • Bank internal ATM operations manuals and customer communication standards.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BR-ATM-COB-003</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 Domestic versus International Routing for Jaywan Co‑badged ATM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system shall route Jaywan co‑badged ATM withdrawal transactions either to the domestic Jaywan scheme or to the international co‑badged scheme based on domestic versus international classification.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Current dual messaging and routing is described in minutes for Visa DMS (Visa e‑commerce and tokenisation transactions) and CBUAE DMS (to‑be), but there is no detailed description in the inputs for domestic versus international routing of ATM transactions for Jaywan co‑badged cards. • InternationalATM transactions are likely routed via Visa or Mastercard networks under existing configuration, while domestic routing is not explicitly aligned to Jaywan scheme as per the input texts.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PowerCARD shall classify each Jaywan co‑badged ATM withdrawal as domestic or international based on transaction origination country and scheme rules as provided by AEP and international schemes. • For domestic transactions within the UAE that meet Jaywan usage criteria, PowerCARD shall route the transaction to the Jaywan domestic scheme or relevant domestic switch connection. • For international transactions outside the UAE or those that do not meet Jaywan eligibility criteria, PowerCARD shall route the transaction through the appropriate international scheme (e.g. Visa or Mastercard) according to the co‑badged configuration. • Routing decisions shall comply with CBUAE circular requiring that cards must support both domestic and international transactions using co‑badged configuration.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Domestic/international classification parameters and routing tables shall be defined by the bank in accordance with CBUAE and AEP guidelines. • Interfaces between PowerCARD and Jaywan domestic scheme infrastructure (via AEP) shall be available and certified. • Interfaces between PowerCARD and international schemes shall remain operational and updated for co‑badged configuration.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Test cases executed for domestic Jaywan ATM withdrawals shall show routing to the Jaywan scheme with correct authorisation and settlement references. • Test cases executed for international ATM withdrawals using the same Jaywan co‑badged card shall route via the international scheme as expected. • No domestic ATM transaction shall be incorrectly routed via the international scheme where Jaywan routing is mandated by configuration, during UAT. • Routing logs generated by PowerCARD shall evidence correct selection of Jaywan or international scheme for each test case and shall be reviewable by business and audit teams.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Jaywan domestic scheme connectivity is unavailable at the time of transaction, the bank shall apply pre‑defined fall‑back rules (e.g. decline domestic transaction or temporarily route via international scheme) subject to CBUAE and AEP approval; these detailed rules are not provided in the inputs and shall be confirmed with AEP. • If both Jaywan and international scheme connectivity are unavailable, the transaction shall be declined and the customer shall be notified via on‑screen and, where applicable, SMS decline message without any account posting.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CBUAE Circular mandating co‑badged cards and domestic routing (centre Bank mandate reference number 5480 2024 as cited). • Al Etihad Payments documentation on Jaywan domestic usage and GCC usage (referenced in context but not fully detailed). • Scheme routing configuration guidelines from PowerCARD vendor (not provided in the inputs).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BR-ATM-COB-004</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 Handling of Approved Jaywan Co‑badged ATM Withdrawal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system shall ensure consistent handling of approved Jaywan co‑badged ATM withdrawal transactions including cash dispensation, card return, receipt issuance, SMS alerts, and EOD posting to the customer account.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Existing ATM processing for approved international scheme withdrawals includes cash dispensation, card return, receipt printing, SMS alerts (where available), and account posting, as implied by reference to current SMS (ATM, POS) in the meeting minutes. • No specific as‑is behaviour has been documented in the inputs for approved Jaywan co‑badged ATM withdrawals.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Upon receipt of an approval from Core Banking/PowerCARD for a Jaywan co‑badged ATM withdrawal, the ATM shall dispense the approved cash amount. • The ATM shall return the physical card to the customer at the end of the transaction. • The ATM shall print or display an on‑screen receipt with key transaction details such as date, time, amount, masked card number, and partial approval code, consistent with bank standards. • The system shall trigger an SMS alert for the approved transaction using existing SMS infrastructure, containing at minimum the amount, channel (ATM), and masked card identifier, in line with bank policy. • The transaction shall be posted to the customer account during EOD processing with appropriate value date and accounting entries, following GL mapping already confirmed with Finance as per the minutes. • Transaction details shall be available for downstream reporting and reconciliation processes as per CBUAE and internal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SMS alerting service shall be integrated with transaction posting or authorisation events for ATM transactions. • GL account details for Jaywan transactions shall be finalised and configured, as indicated in the inputs that GL details are ready based on confirmation from Finance. • EOD batch processes in Core Banking and PowerCARD shall include Jaywan transaction types. • ATM software shall support printing or display of receipts for Jaywan transactions as for other schemes.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For each successful Jaywan co‑badged ATM withdrawal in UAT, cash shall be dispensed and customer account shall be debited with the correct amount. • Receipts produced shall contain accurate transaction details matching the data in Core Banking and PowerCARD. • SMS alerts (where customer is subscribed) shall be generated within defined SLA after transaction authorisation, with correct and consistent information. • EOD posting shall show all authorised Jaywan ATM withdrawals reflected in the customer ledger and associated GL accounts without duplication or omission during reconciliation checks.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SMS infrastructure is temporarily unavailable, the transaction shall still complete, and SMS alerts may be sent later or not sent in line with bank incident procedures; this shall not impact account posting. • If receipt printer is out of service, the ATM shall display an appropriate on‑screen confirmation message and, if supported, offer an e‑receipt option where available; such behaviour is dependent on existing ATM capabilities and not fully detailed in the inputs.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Internal SMS service design for ATM/POS as mentioned in documented process flow for current SMS (ATM, POS). • Finance confirmation on GL details referenced in meeting notes. • CBUAE and AEP guidelines on customer transparency and transaction information (not detailed in the provided texts).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BR-ATM-COB-005</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 Handling of Declined Jaywan Co‑badged ATM Withdrawal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system shall handle declined Jaywan co‑badged ATM withdrawal transactions ensuring no cash dispensation, no account posting, card return, and appropriate decline messaging including SMS notifications.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For existing schemes, declined ATM transactions typically result in no cash dispensation, card return, and on‑screen error message; specific details are not provided in the inputs. • Current documentation mentions updates on reversals, refunds, and chargebacks but does not provide detailed as‑is behaviour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When an ATM withdrawal using a Jaywan co‑badged debit card is declined by Core Banking or PowerCARD (for reasons such as insufficient funds, invalid PIN, or system error), the ATM shall not dispense any cash. • The ATM shall return the card to the customer. • The ATM shall display an appropriate decline message on screen, aligned with existing decline codes and customer‑friendly messages. • The system shall trigger an SMS decline message (where the service is subscribed) to the customer containing key information such as attempted amount and channel, indicating that the transaction was declined. • No financial entry shall be posted to the customer account for declined transactions. • Any reversal logic for technical failures after posting shall follow existing bank procedures; detailed rules are not provided in the inputs and hence not altered by this requirement.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Decline reason codes and on‑screen messages shall be mapped for Jaywan transactions in line with existing ATM standards. • SMS infrastructure shall support decline notification message templates for ATM transactions. • Core Banking and PowerCARD shall ensure that declined transactions are not posted to the customer account except in scenarios requiring subsequent reversal as per existing rules.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During UAT, all declined test cases for Jaywan co‑badged ATM withdrawals shall show no cash dispensation and no account posting in Core Banking. • ATM shall return the card for all declined Jaywan transactions under test conditions. • Where customers are subscribed to SMS alerts, decline messages shall be generated accurately reflecting the correct transaction status. • Audit logs shall evidence that no financial postings were made for declined transactions and that any technical reversals follow existing reconciliation processes.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In rare technical scenarios where Core Banking posts an entry but ATM does not dispense cash, existing reversal and dispute processes shall apply; these processes are mentioned in the inputs as being discussed (reversals, refunds, chargebacks) but are not fully detailed and hence not changed by this requirement. • Where SMS is not subscribed for a customer, no decline SMS shall be sent, and the only communication shall be the on‑screen message.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Internal procedures for reversals, refunds, and chargebacks as referenced in meeting updates. • CBUAE consumer protection and transparency guidelines (not detailed in the provided texts). • Bank ATM operations manual for handling declined transactions.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BR-ATM-COB-006</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 Regulatory Compliance with CBUAE Jaywan Mandate for Co‑badged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solution shall ensure that ATM withdrawal processing for Jaywan co‑badged debit cards complies with the CBUAE circular requiring licensed financial institutions to issue co‑badged cards that support both domestic (Jaywan) and international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Current card issuance is based on existing international schemes (Visa/Mastercard) without explicit Jaywan co‑badged support as indicated by the need to adopt Visa processes for JMB/JCB and Jaywan, as referenced in the meeting agenda. • The CBUAE circular has mandated co‑badged cards, but implementation is in progress and not yet fully reflected in current operations according to the provided context.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The bank shall process ATM withdrawals for Jaywan co‑badged debit cards such that domestic transactions are routed via Jaywan scheme in line with domestic card policy, while international transactions are handled through the associated international scheme. • The bank shall adhere to all relevant CBUAE and AEP rules relating to Jaywan usage, including domestic transaction routing and cost‑efficiency objectives referenced in the public communications. • The bank shall ensure that any future CBUAE guidance on Jaywan ATM limits, fees, or usage rules is reflected in configuration and operating procedures; specific details are not provided in the inputs and shall therefore be captured in subsequent change requests.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Receipt and internal distribution of CBUAE circular and AEP technical and operational guidelines for Jaywan, including reference number 5480 2024 as cited. • Completion of required certification or onboarding steps with AEP for participation in the Jaywan scheme for ATM transactions. • Internal compliance and legal review of Jaywan implementation approach, including domestic routing strategy.</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Compliance function shall confirm that ATM processing behaviour for Jaywan co‑badged cards aligns with the CBUAE circular requirements based on documented evidence and testing. • Internal or external audit reviews shall not raise non‑compliance findings related to domestic routing of Jaywan ATM transactions within an agreed initial monitoring period, subject to actual audit outcomes. • All regulatory reporting requirements for Jaywan ATM transactions (where defined) shall be supported by the underlying data captured in systems.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CBUAE or AEP issue updated guidance that changes routing or processing rules, the bank shall initiate a change request and update system configurations accordingly; these future changes are outside the current scope but shall be anticipated. • If the bank receives an exemption or phased implementation allowance from CBUAE (not mentioned in the inputs), requirements may be re‑prioritised; such scenarios cannot be assumed based on current information.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CBUAE circular on Jaywan co‑badged card mandate including reference number 5480 2024 as cited in the inputs. • Public communication “Jaywan: UAE's new domestic card payment scheme; all your questions answered” as referenced. • AEP communications on readiness of the financial infrastructure to activate Jaywan locally and globally.</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BR-ATM-COB-007</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 Reporting and Reconciliation Data Capture for Jaywan ATM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system shall capture and make available sufficient data for reporting and reconciliation of Jaywan co‑badged ATM withdrawal transactions in alignment with CBUAE, AEP, and internal finance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Existing reporting for ATM and POS is in place, and queries on reports have been clarified with business, with a note that the original report from CBUAE has been shared according to the inputs. • Documentation on reconciliation has been requested but detailed as‑is reconciliation processes specific to Jaywan are not provided in the uploaded content.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Core Banking and PowerCARD shall record all Jaywan ATM transactions (approved and declined) with key data elements required for operational monitoring, regulatory reporting, and reconciliation (e.g. card BIN, scheme indicator, domestic/international flag, ATM ID, date/time, amount, response code). • The system shall differentiate Jaywan domestic ATM transactions from other schemes in its reporting structures to enable separate analysis and cost monitoring. • Data captured shall support downstream preparation of reports required by CBUAE or AEP, including any formats received from CBUAE as referenced in the inputs, while acknowledging that detailed formats are not provided in the uploaded content. • Data shall support reconciliation between Core Banking, PowerCARD, and scheme settlement files for Jaywan transactions, consistent with documentation to be obtained on reconciliation.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Receipt of CBUAE and AEP sample report templates or minimum data fields for Jaywan reporting, such as the original report referenced in the inputs. • Finalisation of reconciliation design documentation as requested by stakeholders. • Configuration of data fields and flags within Core Banking, PowerCARD, and data warehouse or reporting platforms to support Jaywan identification.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Standard test reports shall demonstrate that Jaywan ATM transactions can be filtered and summarised separately from non‑Jaywan transactions during UAT. • Reconciliation test cycles shall confirm that transaction counts and amounts match between Core Banking, PowerCARD, and any available scheme settlement files for Jaywan for the test period. • Regulatory and internal finance stakeholders shall sign off that all mandatory data elements for Jaywan reporting and reconciliation are available and accurate based on sample extracts.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some CBUAE/AEP report formats are not yet final at the time of implementation, the bank shall implement interim internal reports using the available data and then adapt once final formats are received. • Where some legacy ATM devices or systems cannot capture additional Jaywan flags without significant change, interim mapping via ATM ID or BIN may be used as an approximation until full upgrade is feasible, subject to risk assessment; such constraints are not described in the inputs and would require further analysis.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Original CBUAE report shared with business as mentioned in the inputs. • Finance and reconciliation documentation requested in the minutes. • Internal MIS/reporting standards for card transactions.</w:t>
            </w:r>
          </w:p>
        </w:tc>
      </w:tr>
    </w:tbl>
    <w:p>
      <w:pPr>
        <w:pStyle w:val="Normal"/>
        <w:rPr/>
      </w:pPr>
      <w:r>
        <w:rPr/>
      </w:r>
    </w:p>
    <w:p>
      <w:pPr>
        <w:pStyle w:val="Normal"/>
        <w:rPr>
          <w:b/>
          <w:bCs/>
        </w:rPr>
      </w:pPr>
      <w:r>
        <w:rPr>
          <w:b/>
          <w:bCs/>
        </w:rPr>
        <w:t>Requirement Traceability Matrix</w:t>
      </w:r>
    </w:p>
    <w:tbl>
      <w:tblPr>
        <w:tblW w:w="9417" w:type="dxa"/>
        <w:jc w:val="left"/>
        <w:tblInd w:w="55" w:type="dxa"/>
        <w:tblLayout w:type="fixed"/>
        <w:tblCellMar>
          <w:top w:w="55" w:type="dxa"/>
          <w:left w:w="55" w:type="dxa"/>
          <w:bottom w:w="55" w:type="dxa"/>
          <w:right w:w="55" w:type="dxa"/>
        </w:tblCellMar>
      </w:tblPr>
      <w:tblGrid>
        <w:gridCol w:w="1872"/>
        <w:gridCol w:w="1872"/>
        <w:gridCol w:w="1872"/>
        <w:gridCol w:w="2351"/>
        <w:gridCol w:w="1450"/>
      </w:tblGrid>
      <w:tr>
        <w:trPr/>
        <w:tc>
          <w:tcPr>
            <w:tcW w:w="1872" w:type="dxa"/>
            <w:tcBorders>
              <w:top w:val="single" w:sz="8" w:space="0" w:color="000000"/>
              <w:left w:val="single" w:sz="8" w:space="0" w:color="000000"/>
              <w:bottom w:val="single" w:sz="8" w:space="0" w:color="000000"/>
            </w:tcBorders>
          </w:tcPr>
          <w:p>
            <w:pPr>
              <w:pStyle w:val="Normal"/>
              <w:spacing w:before="0" w:after="160"/>
              <w:rPr/>
            </w:pPr>
            <w:r>
              <w:rPr/>
              <w:t>REQ ID</w:t>
            </w:r>
          </w:p>
        </w:tc>
        <w:tc>
          <w:tcPr>
            <w:tcW w:w="1872" w:type="dxa"/>
            <w:tcBorders>
              <w:top w:val="single" w:sz="8" w:space="0" w:color="000000"/>
              <w:left w:val="single" w:sz="8" w:space="0" w:color="000000"/>
              <w:bottom w:val="single" w:sz="8" w:space="0" w:color="000000"/>
            </w:tcBorders>
          </w:tcPr>
          <w:p>
            <w:pPr>
              <w:pStyle w:val="Normal"/>
              <w:spacing w:before="0" w:after="160"/>
              <w:rPr/>
            </w:pPr>
            <w:r>
              <w:rPr/>
              <w:t>Description</w:t>
            </w:r>
          </w:p>
        </w:tc>
        <w:tc>
          <w:tcPr>
            <w:tcW w:w="1872" w:type="dxa"/>
            <w:tcBorders>
              <w:top w:val="single" w:sz="8" w:space="0" w:color="000000"/>
              <w:left w:val="single" w:sz="8" w:space="0" w:color="000000"/>
              <w:bottom w:val="single" w:sz="8" w:space="0" w:color="000000"/>
            </w:tcBorders>
          </w:tcPr>
          <w:p>
            <w:pPr>
              <w:pStyle w:val="Normal"/>
              <w:spacing w:before="0" w:after="160"/>
              <w:rPr/>
            </w:pPr>
            <w:r>
              <w:rPr/>
              <w:t>Source Channel</w:t>
            </w:r>
          </w:p>
        </w:tc>
        <w:tc>
          <w:tcPr>
            <w:tcW w:w="2351" w:type="dxa"/>
            <w:tcBorders>
              <w:top w:val="single" w:sz="8" w:space="0" w:color="000000"/>
              <w:left w:val="single" w:sz="8" w:space="0" w:color="000000"/>
              <w:bottom w:val="single" w:sz="8" w:space="0" w:color="000000"/>
            </w:tcBorders>
          </w:tcPr>
          <w:p>
            <w:pPr>
              <w:pStyle w:val="Normal"/>
              <w:spacing w:before="0" w:after="160"/>
              <w:rPr/>
            </w:pPr>
            <w:r>
              <w:rPr/>
              <w:t>Impacted System</w:t>
            </w:r>
          </w:p>
        </w:tc>
        <w:tc>
          <w:tcPr>
            <w:tcW w:w="1450"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Outcome</w:t>
            </w:r>
          </w:p>
        </w:tc>
      </w:tr>
      <w:tr>
        <w:trPr/>
        <w:tc>
          <w:tcPr>
            <w:tcW w:w="1872" w:type="dxa"/>
            <w:tcBorders>
              <w:left w:val="single" w:sz="8" w:space="0" w:color="000000"/>
              <w:bottom w:val="single" w:sz="8" w:space="0" w:color="000000"/>
            </w:tcBorders>
          </w:tcPr>
          <w:p>
            <w:r>
              <w:t>BR-ATM-COB-001</w:t>
            </w:r>
          </w:p>
        </w:tc>
        <w:tc>
          <w:tcPr>
            <w:tcW w:w="1872" w:type="dxa"/>
            <w:tcBorders>
              <w:left w:val="single" w:sz="8" w:space="0" w:color="000000"/>
              <w:bottom w:val="single" w:sz="8" w:space="0" w:color="000000"/>
            </w:tcBorders>
          </w:tcPr>
          <w:p>
            <w:r>
              <w:t>• Ensure that Jaywan co‑badged debit cards are correctly identified at ATM for subsequent routing.</w:t>
            </w:r>
          </w:p>
        </w:tc>
        <w:tc>
          <w:tcPr>
            <w:tcW w:w="1872" w:type="dxa"/>
            <w:tcBorders>
              <w:left w:val="single" w:sz="8" w:space="0" w:color="000000"/>
              <w:bottom w:val="single" w:sz="8" w:space="0" w:color="000000"/>
            </w:tcBorders>
          </w:tcPr>
          <w:p>
            <w:r>
              <w:t>• ATM Channel, CBUAE/AEP Jaywan Scheme Mandate</w:t>
            </w:r>
          </w:p>
        </w:tc>
        <w:tc>
          <w:tcPr>
            <w:tcW w:w="2351" w:type="dxa"/>
            <w:tcBorders>
              <w:left w:val="single" w:sz="8" w:space="0" w:color="000000"/>
              <w:bottom w:val="single" w:sz="8" w:space="0" w:color="000000"/>
            </w:tcBorders>
          </w:tcPr>
          <w:p>
            <w:r>
              <w:t>• ATM Switch, Card Management System (PowerCARD), Core Banking</w:t>
            </w:r>
          </w:p>
        </w:tc>
        <w:tc>
          <w:tcPr>
            <w:tcW w:w="1450" w:type="dxa"/>
            <w:tcBorders>
              <w:left w:val="single" w:sz="8" w:space="0" w:color="000000"/>
              <w:bottom w:val="single" w:sz="8" w:space="0" w:color="000000"/>
              <w:right w:val="single" w:sz="8" w:space="0" w:color="000000"/>
            </w:tcBorders>
          </w:tcPr>
          <w:p>
            <w:r>
              <w:t>• Accurate identification of Jaywan co‑badged cards enables correct domestic versus international processing.</w:t>
            </w:r>
          </w:p>
        </w:tc>
      </w:tr>
      <w:tr>
        <w:tc>
          <w:tcPr>
            <w:tcW w:type="dxa" w:w="1872"/>
          </w:tcPr>
          <w:p>
            <w:r>
              <w:t>BR-ATM-COB-002</w:t>
            </w:r>
          </w:p>
        </w:tc>
        <w:tc>
          <w:tcPr>
            <w:tcW w:type="dxa" w:w="1872"/>
          </w:tcPr>
          <w:p>
            <w:r>
              <w:t>• Enable end‑to‑end ATM cash withdrawal processing for Jaywan co‑badged debit cards.</w:t>
            </w:r>
          </w:p>
        </w:tc>
        <w:tc>
          <w:tcPr>
            <w:tcW w:type="dxa" w:w="1872"/>
          </w:tcPr>
          <w:p>
            <w:r>
              <w:t>• ATM Channel, Internal Business Requirements</w:t>
            </w:r>
          </w:p>
        </w:tc>
        <w:tc>
          <w:tcPr>
            <w:tcW w:type="dxa" w:w="2351"/>
          </w:tcPr>
          <w:p>
            <w:r>
              <w:t>• ATM Network, ATM Switch, Core Banking, PowerCARD, SMS Gateway</w:t>
            </w:r>
          </w:p>
        </w:tc>
        <w:tc>
          <w:tcPr>
            <w:tcW w:type="dxa" w:w="1450"/>
          </w:tcPr>
          <w:p>
            <w:r>
              <w:t>• Customers can perform ATM withdrawals using Jaywan co‑badged cards with standard user experience.</w:t>
            </w:r>
          </w:p>
        </w:tc>
      </w:tr>
      <w:tr>
        <w:tc>
          <w:tcPr>
            <w:tcW w:type="dxa" w:w="1872"/>
          </w:tcPr>
          <w:p>
            <w:r>
              <w:t>BR-ATM-COB-003</w:t>
            </w:r>
          </w:p>
        </w:tc>
        <w:tc>
          <w:tcPr>
            <w:tcW w:type="dxa" w:w="1872"/>
          </w:tcPr>
          <w:p>
            <w:r>
              <w:t>• Implement domestic versus international routing logic for Jaywan co‑badged ATM transactions.</w:t>
            </w:r>
          </w:p>
        </w:tc>
        <w:tc>
          <w:tcPr>
            <w:tcW w:type="dxa" w:w="1872"/>
          </w:tcPr>
          <w:p>
            <w:r>
              <w:t>• Regulatory Mandate, Scheme Rules (CBUAE, AEP, International Schemes)</w:t>
            </w:r>
          </w:p>
        </w:tc>
        <w:tc>
          <w:tcPr>
            <w:tcW w:type="dxa" w:w="2351"/>
          </w:tcPr>
          <w:p>
            <w:r>
              <w:t>• PowerCARD, ATM Switch, Settlement and Reconciliation Systems</w:t>
            </w:r>
          </w:p>
        </w:tc>
        <w:tc>
          <w:tcPr>
            <w:tcW w:type="dxa" w:w="1450"/>
          </w:tcPr>
          <w:p>
            <w:r>
              <w:t>• Transactions are routed to Jaywan or international schemes in line with domestic and international rules.</w:t>
            </w:r>
          </w:p>
        </w:tc>
      </w:tr>
      <w:tr>
        <w:tc>
          <w:tcPr>
            <w:tcW w:type="dxa" w:w="1872"/>
          </w:tcPr>
          <w:p>
            <w:r>
              <w:t>BR-ATM-COB-004</w:t>
            </w:r>
          </w:p>
        </w:tc>
        <w:tc>
          <w:tcPr>
            <w:tcW w:type="dxa" w:w="1872"/>
          </w:tcPr>
          <w:p>
            <w:r>
              <w:t>• Define handling for approved Jaywan co‑badged ATM withdrawals including cash, SMS, and EOD posting.</w:t>
            </w:r>
          </w:p>
        </w:tc>
        <w:tc>
          <w:tcPr>
            <w:tcW w:type="dxa" w:w="1872"/>
          </w:tcPr>
          <w:p>
            <w:r>
              <w:t>• ATM Channel, Internal Operations Requirements</w:t>
            </w:r>
          </w:p>
        </w:tc>
        <w:tc>
          <w:tcPr>
            <w:tcW w:type="dxa" w:w="2351"/>
          </w:tcPr>
          <w:p>
            <w:r>
              <w:t>• ATM Network, Core Banking, PowerCARD, SMS Gateway, GL and Reporting Systems</w:t>
            </w:r>
          </w:p>
        </w:tc>
        <w:tc>
          <w:tcPr>
            <w:tcW w:type="dxa" w:w="1450"/>
          </w:tcPr>
          <w:p>
            <w:r>
              <w:t>• Approved withdrawals result in correct customer debits, notifications, and accounting entries.</w:t>
            </w:r>
          </w:p>
        </w:tc>
      </w:tr>
      <w:tr>
        <w:tc>
          <w:tcPr>
            <w:tcW w:type="dxa" w:w="1872"/>
          </w:tcPr>
          <w:p>
            <w:r>
              <w:t>BR-ATM-COB-005</w:t>
            </w:r>
          </w:p>
        </w:tc>
        <w:tc>
          <w:tcPr>
            <w:tcW w:type="dxa" w:w="1872"/>
          </w:tcPr>
          <w:p>
            <w:r>
              <w:t>• Define handling for declined Jaywan co‑badged ATM withdrawals without financial posting.</w:t>
            </w:r>
          </w:p>
        </w:tc>
        <w:tc>
          <w:tcPr>
            <w:tcW w:type="dxa" w:w="1872"/>
          </w:tcPr>
          <w:p>
            <w:r>
              <w:t>• ATM Channel, Risk and Operations Requirements</w:t>
            </w:r>
          </w:p>
        </w:tc>
        <w:tc>
          <w:tcPr>
            <w:tcW w:type="dxa" w:w="2351"/>
          </w:tcPr>
          <w:p>
            <w:r>
              <w:t>• ATM Network, Core Banking, PowerCARD, SMS Gateway</w:t>
            </w:r>
          </w:p>
        </w:tc>
        <w:tc>
          <w:tcPr>
            <w:tcW w:type="dxa" w:w="1450"/>
          </w:tcPr>
          <w:p>
            <w:r>
              <w:t>• Declined attempts do not impact customer balances while still informing the customer.</w:t>
            </w:r>
          </w:p>
        </w:tc>
      </w:tr>
      <w:tr>
        <w:tc>
          <w:tcPr>
            <w:tcW w:type="dxa" w:w="1872"/>
          </w:tcPr>
          <w:p>
            <w:r>
              <w:t>BR-ATM-COB-006</w:t>
            </w:r>
          </w:p>
        </w:tc>
        <w:tc>
          <w:tcPr>
            <w:tcW w:type="dxa" w:w="1872"/>
          </w:tcPr>
          <w:p>
            <w:r>
              <w:t>• Ensure Jaywan ATM processing complies with CBUAE co‑badged card mandate.</w:t>
            </w:r>
          </w:p>
        </w:tc>
        <w:tc>
          <w:tcPr>
            <w:tcW w:type="dxa" w:w="1872"/>
          </w:tcPr>
          <w:p>
            <w:r>
              <w:t>• CBUAE Circular, AEP Jaywan Scheme Documentation</w:t>
            </w:r>
          </w:p>
        </w:tc>
        <w:tc>
          <w:tcPr>
            <w:tcW w:type="dxa" w:w="2351"/>
          </w:tcPr>
          <w:p>
            <w:r>
              <w:t>• Core Banking, PowerCARD, Compliance and Reporting Systems</w:t>
            </w:r>
          </w:p>
        </w:tc>
        <w:tc>
          <w:tcPr>
            <w:tcW w:type="dxa" w:w="1450"/>
          </w:tcPr>
          <w:p>
            <w:r>
              <w:t>• Bank remains compliant with domestic card scheme regulations for co‑badged cards.</w:t>
            </w:r>
          </w:p>
        </w:tc>
      </w:tr>
      <w:tr>
        <w:tc>
          <w:tcPr>
            <w:tcW w:type="dxa" w:w="1872"/>
          </w:tcPr>
          <w:p>
            <w:r>
              <w:t>BR-ATM-COB-007</w:t>
            </w:r>
          </w:p>
        </w:tc>
        <w:tc>
          <w:tcPr>
            <w:tcW w:type="dxa" w:w="1872"/>
          </w:tcPr>
          <w:p>
            <w:r>
              <w:t>• Capture data needed for reporting and reconciliation of Jaywan ATM transactions.</w:t>
            </w:r>
          </w:p>
        </w:tc>
        <w:tc>
          <w:tcPr>
            <w:tcW w:type="dxa" w:w="1872"/>
          </w:tcPr>
          <w:p>
            <w:r>
              <w:t>• CBUAE Reporting Requirements, Internal Finance Requirements</w:t>
            </w:r>
          </w:p>
        </w:tc>
        <w:tc>
          <w:tcPr>
            <w:tcW w:type="dxa" w:w="2351"/>
          </w:tcPr>
          <w:p>
            <w:r>
              <w:t>• Core Banking, PowerCARD, Data Warehouse, Reporting and Reconciliation Tools</w:t>
            </w:r>
          </w:p>
        </w:tc>
        <w:tc>
          <w:tcPr>
            <w:tcW w:type="dxa" w:w="1450"/>
          </w:tcPr>
          <w:p>
            <w:r>
              <w:t>• Stakeholders can generate accurate reports and reconcile Jaywan ATM activity.</w:t>
            </w:r>
          </w:p>
        </w:tc>
      </w:tr>
    </w:tbl>
    <w:p>
      <w:pPr>
        <w:pStyle w:val="Normal"/>
        <w:rPr>
          <w:b/>
          <w:bCs/>
        </w:rPr>
      </w:pPr>
      <w:r>
        <w:rPr>
          <w:b/>
          <w:bCs/>
        </w:rPr>
      </w:r>
    </w:p>
    <w:p>
      <w:pPr>
        <w:pStyle w:val="Normal"/>
        <w:rPr/>
      </w:pPr>
      <w:r>
        <w:rPr/>
      </w:r>
    </w:p>
    <w:p>
      <w:pPr>
        <w:pStyle w:val="Normal"/>
        <w:rPr/>
      </w:pPr>
      <w:r>
        <w:rPr/>
      </w:r>
    </w:p>
    <w:p>
      <w:pPr>
        <w:pStyle w:val="Normal"/>
        <w:rPr>
          <w:b/>
          <w:bCs/>
        </w:rPr>
      </w:pPr>
      <w:r>
        <w:rPr>
          <w:b/>
          <w:bCs/>
        </w:rPr>
        <w:t>Non-functional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No. of users</w:t>
            </w:r>
          </w:p>
        </w:tc>
        <w:tc>
          <w:tcPr>
            <w:tcW w:w="4314" w:type="dxa"/>
            <w:tcBorders>
              <w:top w:val="single" w:sz="8" w:space="0" w:color="000000"/>
              <w:bottom w:val="single" w:sz="8" w:space="0" w:color="000000"/>
              <w:right w:val="single" w:sz="8" w:space="0" w:color="000000"/>
            </w:tcBorders>
          </w:tcPr>
          <w:p>
            <w:r>
              <w:t>• The system shall support all existing ATM cardholder customers who will migrate to or be issued Jaywan co‑badged debit cards; exact user counts are not provided in the inputs and shall be defined during sizing.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Peak Volume</w:t>
            </w:r>
          </w:p>
        </w:tc>
        <w:tc>
          <w:tcPr>
            <w:tcW w:w="4314" w:type="dxa"/>
            <w:tcBorders>
              <w:bottom w:val="single" w:sz="8" w:space="0" w:color="000000"/>
              <w:right w:val="single" w:sz="8" w:space="0" w:color="000000"/>
            </w:tcBorders>
          </w:tcPr>
          <w:p>
            <w:r>
              <w:t>• The system shall support peak ATM transaction volumes comparable to existing ATM load, with additional headroom for Jaywan adoption; specific TPS or volume metrics are not provided in the inputs and shall be confirmed with capacity planning.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Monthly Volume</w:t>
            </w:r>
          </w:p>
        </w:tc>
        <w:tc>
          <w:tcPr>
            <w:tcW w:w="4314" w:type="dxa"/>
            <w:tcBorders>
              <w:bottom w:val="single" w:sz="8" w:space="0" w:color="000000"/>
              <w:right w:val="single" w:sz="8" w:space="0" w:color="000000"/>
            </w:tcBorders>
          </w:tcPr>
          <w:p>
            <w:r>
              <w:t>• The system shall handle monthly Jaywan ATM transactions as a subset of total ATM volumes; quantitative targets are not included in the inputs and shall be determined during detailed design.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Availability</w:t>
            </w:r>
          </w:p>
        </w:tc>
        <w:tc>
          <w:tcPr>
            <w:tcW w:w="4314" w:type="dxa"/>
            <w:tcBorders>
              <w:bottom w:val="single" w:sz="8" w:space="0" w:color="000000"/>
              <w:right w:val="single" w:sz="8" w:space="0" w:color="000000"/>
            </w:tcBorders>
          </w:tcPr>
          <w:p>
            <w:r>
              <w:t>• The ATM, Core Banking, and PowerCARD services supporting Jaywan transactions shall adhere to existing bank availability SLAs for ATM services (e.g. high availability with minimal downtime); explicit percentages are not provided in the inputs and shall follow bank policy.</w:t>
            </w:r>
          </w:p>
        </w:tc>
      </w:tr>
    </w:tbl>
    <w:p>
      <w:pPr>
        <w:pStyle w:val="Normal"/>
        <w:rPr/>
      </w:pPr>
      <w:r>
        <w:rPr/>
      </w:r>
    </w:p>
    <w:p>
      <w:pPr>
        <w:pStyle w:val="Normal"/>
        <w:rPr/>
      </w:pPr>
      <w:r>
        <w:rPr>
          <w:b/>
          <w:bCs/>
        </w:rPr>
        <w:t>Impact on Operational process:</w:t>
      </w:r>
      <w:r>
        <w:rPr/>
        <w:t xml:space="preserve"> • Operations shall update ATM monitoring procedures to explicitly track Jaywan transaction performance and incident handling. • Reconciliation teams shall extend their daily processes to include Jaywan ATM transaction streams once reconciliation documentation is finalised. • Card Operations shall manage new card product configurations and lifecycle processes for Jaywan co‑badged debit cards, including any Jaywan‑specific exception handling. • Customer Service and Contact Centre shall be trained to handle queries and disputes related to Jaywan ATM withdrawals, including domestic versus international routing explanations. • Finance operations shall apply confirmed GL mappings for Jaywan transactions and integrate Jaywan volumes into existing financial close and reporting cycles. • Scheme management teams shall coordinate with AEP and international schemes for ongoing scheme compliance and updates related to Jaywan.</w:t>
      </w:r>
    </w:p>
    <w:p>
      <w:pPr>
        <w:pStyle w:val="Normal"/>
        <w:rPr/>
      </w:pPr>
      <w:r>
        <w:rPr/>
      </w:r>
    </w:p>
    <w:p>
      <w:pPr>
        <w:pStyle w:val="Normal"/>
        <w:rPr/>
      </w:pPr>
      <w:r>
        <w:rPr/>
      </w:r>
    </w:p>
    <w:p>
      <w:pPr>
        <w:pStyle w:val="Normal"/>
        <w:rPr/>
      </w:pPr>
      <w:r>
        <w:rPr>
          <w:b/>
          <w:bCs/>
        </w:rPr>
        <w:t>Regulatory impact:</w:t>
      </w:r>
      <w:r>
        <w:rPr/>
        <w:t xml:space="preserve"> • The project shall comply with the CBUAE circular mandating that licensed financial institutions issue co‑badged cards enabling both domestic and international transactions (reference number 5480 2024 as cited). • The project shall adhere to AEP Jaywan domestic scheme rules and any bilateral agreements mentioned in public communications (e.g. GCC usage, bilateral agreements with India by mid‑2025) where these affect ATM withdrawals, noting that detailed rules are not provided in the inputs. • The project shall comply with CBUAE consumer protection and transparency expectations for clear transaction information, although specific clauses are not detailed in the uploaded content. • The project shall ensure that any reporting obligations to CBUAE or AEP for Jaywan ATM activity can be met based on available data, leveraging the original report shared from CBUAE as referenced. • The project shall follow CBUAE guidance on security, data protection, and operational resilience for payment infrastructures, using existing bank frameworks where detailed Jaywan‑specific requirements are not provided in the inputs.</w:t>
      </w:r>
    </w:p>
    <w:p>
      <w:pPr>
        <w:pStyle w:val="Normal"/>
        <w:rPr/>
      </w:pPr>
      <w:r>
        <w:rPr/>
      </w:r>
    </w:p>
    <w:p>
      <w:pPr>
        <w:pStyle w:val="Normal"/>
        <w:rPr/>
      </w:pPr>
      <w:r>
        <w:rPr/>
      </w:r>
    </w:p>
    <w:p>
      <w:pPr>
        <w:pStyle w:val="Normal"/>
        <w:rPr/>
      </w:pPr>
      <w:r>
        <w:rPr>
          <w:b/>
          <w:bCs/>
        </w:rPr>
        <w:t>Reports requirement:</w:t>
      </w:r>
      <w:r>
        <w:rPr/>
        <w:t xml:space="preserve"> • The system shall enable generation of reports segregating Jaywan ATM transactions (domestic and, where relevant, international via co‑badged routing) from other card scheme transactions. • The system shall support reports that align with the original CBUAE report shared with business, although the exact format is not provided in the inputs; mapping of available data fields shall be performed during design. • The system shall provide daily operational reports for Jaywan ATM transactions for use by Operations, Card Centre, and Reconciliation teams, including volumes, values, approvals, and declines. • The system shall support monthly or periodic management information (MI) reports highlighting Jaywan adoption, transaction trends, and domestic versus international usage ratios. • The system shall make Jaywan transaction data available to enterprise reporting platforms or data warehouses to enable ad‑hoc analysis and regulatory submissions. • The system shall support audit trails and transaction‑level drill‑down for Jaywan ATM transactions to satisfy internal and external audit reviews.</w:t>
      </w:r>
    </w:p>
    <w:p>
      <w:pPr>
        <w:pStyle w:val="Normal"/>
        <w:rPr/>
      </w:pPr>
      <w:r>
        <w:rPr/>
      </w:r>
    </w:p>
    <w:p>
      <w:pPr>
        <w:pStyle w:val="Normal"/>
        <w:rPr/>
      </w:pPr>
      <w:r>
        <w:rPr/>
      </w:r>
    </w:p>
    <w:p>
      <w:pPr>
        <w:pStyle w:val="Normal"/>
        <w:rPr/>
      </w:pPr>
      <w:r>
        <w:rPr>
          <w:b/>
          <w:bCs/>
        </w:rPr>
        <w:t>Access requirement:</w:t>
      </w:r>
      <w:r>
        <w:rPr/>
        <w:t xml:space="preserve"> • Access to configure Jaywan BINs, routing tables, and card product parameters in PowerCARD and related systems shall be restricted to authorised Card Operations and IT users with appropriate maker‑checker controls. • Access to ATM transaction logs and Jaywan‑specific reporting shall be limited to authorised Operations, Risk, Compliance, Finance, and Audit personnel in line with bank role‑based access control policies. • Access to customer‑level Jaywan transaction details in Core Banking and reporting systems shall follow existing customer data access rules and require proper authentication and authorisation. • System interfaces between ATM, Core Banking, PowerCARD, and SMS gateway shall be secured and controlled, with access for support teams managed through established privileged access management processes. • Any use of Jaywan data in test environments shall follow existing data masking or anonymisation policies, as the inputs do not define Jaywan‑specific testing access rules.</w:t>
      </w:r>
    </w:p>
    <w:p>
      <w:pPr>
        <w:pStyle w:val="Normal"/>
        <w:rPr/>
      </w:pPr>
      <w:r>
        <w:rPr/>
      </w:r>
    </w:p>
    <w:p>
      <w:pPr>
        <w:pStyle w:val="Normal"/>
        <w:rPr/>
      </w:pPr>
      <w:r>
        <w:rPr/>
      </w:r>
    </w:p>
    <w:p>
      <w:pPr>
        <w:pStyle w:val="Normal"/>
        <w:rPr/>
      </w:pPr>
      <w:r>
        <w:rPr>
          <w:b/>
          <w:bCs/>
        </w:rPr>
        <w:t>Security requirement:</w:t>
      </w:r>
      <w:r>
        <w:rPr/>
        <w:t xml:space="preserve"> • The project shall follow existing bank security standards for ATM, Core Banking, and card management systems, including encryption in transit for all Jaywan ATM messages between ATM, switch, Core Banking, and PowerCARD. • PIN entry and processing for Jaywan co‑badged debit cards shall comply with existing PCI PIN security standards; the inputs do not provide Jaywan‑specific deviations. • Card numbers and sensitive data for Jaywan transactions shall be protected in storage and logs using masking or tokenisation according to bank policies. • Access to configuration and transaction data for Jaywan shall be logged and monitored, enabling detection of unauthorised activities. • Any integration with wallets (Samsung Wallet, Google Pay, Apple Pay) that will eventually support Jaywan shall adhere to bank and scheme security requirements; however, detailed wallet security specifics are not provided in the inputs and are out of scope for the current ATM‑focused requirements. • The bank shall ensure that Jaywan implementation does not weaken existing fraud controls for ATM transactions; if AEP or CBUAE prescribe specific fraud controls, these shall be incorporated in subsequent phases once documented.</w:t>
      </w:r>
    </w:p>
    <w:p>
      <w:pPr>
        <w:pStyle w:val="Normal"/>
        <w:rPr/>
      </w:pPr>
      <w:r>
        <w:rPr/>
      </w:r>
    </w:p>
    <w:p>
      <w:pPr>
        <w:pStyle w:val="Normal"/>
        <w:rPr/>
      </w:pPr>
      <w:r>
        <w:rPr/>
      </w:r>
    </w:p>
    <w:p>
      <w:pPr>
        <w:pStyle w:val="Normal"/>
        <w:rPr/>
      </w:pPr>
      <w:r>
        <w:rPr>
          <w:b/>
          <w:bCs/>
        </w:rPr>
        <w:t>Data requirement:</w:t>
      </w:r>
      <w:r>
        <w:rPr/>
        <w:t xml:space="preserve"> • The systems shall store Jaywan ATM transaction data in Core Banking, PowerCARD, and reporting repositories with fields sufficient for transaction history, dispute handling, and regulatory reporting; detailed data models are not provided in the inputs and shall be defined in design. • Data quality controls shall ensure accuracy and completeness of key Jaywan data attributes such as scheme indicator, domestic/international flag, card BIN, ATM ID, timestamps, amounts, and response codes. • Data retention for Jaywan ATM transactions shall follow existing bank retention policies for card transactions and CBUAE regulatory requirements; specific retention periods for Jaywan are not detailed in the uploaded content. • Jaywan transaction data shall be clearly distinguishable from other scheme data through flags or code values to support selective reporting and analytics. • Data governance responsibilities for Jaywan transaction data shall align with existing roles for card and payments data (e.g. data owners in Cards, Operations, and Finance). • Any sharing of Jaywan transaction data with external parties (e.g. AEP, schemes, regulators) shall comply with CBUAE data protection requirements and existing cross‑border data sharing controls, noting that detailed Jaywan cross‑border data rules are not provided in the inputs.</w:t>
      </w:r>
    </w:p>
    <w:p>
      <w:pPr>
        <w:pStyle w:val="Normal"/>
        <w:rPr/>
      </w:pPr>
      <w:r>
        <w:rPr/>
      </w:r>
    </w:p>
    <w:p>
      <w:pPr>
        <w:pStyle w:val="Normal"/>
        <w:rPr/>
      </w:pPr>
      <w:r>
        <w:rPr/>
      </w:r>
    </w:p>
    <w:p>
      <w:pPr>
        <w:pStyle w:val="Normal"/>
        <w:rPr/>
      </w:pPr>
      <w:r>
        <w:rPr>
          <w:b/>
          <w:bCs/>
        </w:rPr>
        <w:t>Training requirement:</w:t>
      </w:r>
      <w:r>
        <w:rPr/>
        <w:t xml:space="preserve"> • Operations staff (ATM monitoring, Card Operations, Reconciliation) shall be trained on Jaywan scheme basics, co‑badged card behaviour, and new or changed processes for ATM withdrawals. • Customer Service, Contact Centre, and Branch staff shall receive training materials explaining Jaywan co‑badged card usage at ATMs, including domestic versus international routing implications at a high level. • IT support teams shall be trained on configuration, monitoring, and troubleshooting of Jaywan ATM transactions across ATM, Core Banking, and PowerCARD systems. • Compliance and Risk teams shall be informed about the implemented controls for Jaywan ATM processing to support regulatory discussions and audits. • Training materials shall incorporate CBUAE and AEP public information on Jaywan where available, such as features and benefits mentioned in the awareness campaign planned by AEP, although detailed campaign content is not provided in the inputs. • Refresher training shall be scheduled around key milestones such as go‑live and issuance ramp‑up of Jaywan co‑badged cards. </w:t>
      </w:r>
    </w:p>
    <w:p>
      <w:pPr>
        <w:pStyle w:val="Normal"/>
        <w:rPr/>
      </w:pPr>
      <w:r>
        <w:rPr/>
      </w:r>
    </w:p>
    <w:p>
      <w:pPr>
        <w:pStyle w:val="Normal"/>
        <w:rPr/>
      </w:pPr>
      <w:r>
        <w:rPr>
          <w:b/>
          <w:bCs/>
        </w:rPr>
        <w:t>Open Questions:</w:t>
      </w:r>
      <w:r>
        <w:rPr/>
        <w:t xml:space="preserve"> • Detailed CBUAE and AEP technical specifications for Jaywan ATM withdrawals (message formats, limits, routing rules) are not provided in the inputs and shall be obtained. • Confirmation is required on whether any specific ATM UX or branding changes are mandated for Jaywan transactions at the terminal screen or receipt. • Clarification is required on precise regulatory reporting formats and frequency for Jaywan ATM activity beyond mention of an original CBUAE report. • Further details are needed on reconciliation processes and file formats for Jaywan transactions between bank, AEP, and international schemes, as documentation has been requested but is not included in the inputs. • Clarification is required on whether domestic fall‑back routing from Jaywan to international scheme is permitted by CBUAE/AEP in case of Jaywan connectivity failure for ATM withdrawals. • Confirmation is required on any Jaywan‑specific fraud monitoring or velocity controls that may differ from existing ATM controls. • Further information is needed on any differentiated fee or interchange structures for Jaywan ATM withdrawals and how these impact GL mappings and reporting.</w:t>
      </w:r>
    </w:p>
    <w:p>
      <w:pPr>
        <w:pStyle w:val="Normal"/>
        <w:rPr/>
      </w:pPr>
      <w:r>
        <w:rPr/>
      </w:r>
    </w:p>
    <w:p>
      <w:pPr>
        <w:pStyle w:val="Normal"/>
        <w:rPr/>
      </w:pPr>
      <w:r>
        <w:rPr>
          <w:b/>
          <w:bCs/>
        </w:rPr>
        <w:t>Contradictions (if any):</w:t>
      </w:r>
      <w:r>
        <w:rPr/>
        <w:t xml:space="preserve"> • The input extracts do not present explicit contradictions; however, information is partial. • Public communications from Al Etihad Payments titled “Jaywan the UAE's First Domestic Card Scheme Introduced to Strengthen the UAE's Position as a Global Hub for Digital Payments” refer to readiness of the financial infrastructure to activate Jaywan locally and globally, while the meeting minutes (e.g. “TCS Confidential” meeting overview and progress and queries details) imply that some documentation and processes (e.g. reconciliation, CBUAE DMS to‑be) are still being clarified, which indicates a gap between general readiness statements and bank‑specific implementation status rather than a direct contradiction. • The circular description “Jaywan: UAE's new domestic card payment scheme; all your questions answered” focuses on broad features and options (mono‑badge for local and GCC usage, co‑badge for local and international usage) while the minutes on Visa process clarification and adoption for JMB/JCB and Jaywan indicate that detailed adoption models are still under discussion; again this reflects implementation maturity rather than a clear textual contradiction. • No other concrete conflicting figures, dates, or rules can be identified from the provided text fragments without access to the full original documents.</w:t>
      </w:r>
    </w:p>
    <w:p>
      <w:pPr>
        <w:pStyle w:val="Normal"/>
        <w:rPr/>
      </w:pPr>
      <w:r>
        <w:rPr/>
      </w:r>
    </w:p>
    <w:p>
      <w:pPr>
        <w:pStyle w:val="Normal"/>
        <w:rPr>
          <w:b/>
          <w:bCs/>
        </w:rPr>
      </w:pPr>
      <w:r>
        <w:rPr>
          <w:b/>
          <w:bCs/>
        </w:rPr>
      </w:r>
    </w:p>
    <w:p>
      <w:pPr>
        <w:pStyle w:val="Normal"/>
        <w:rPr/>
      </w:pPr>
      <w:r>
        <w:rPr>
          <w:b/>
          <w:bCs/>
        </w:rPr>
        <w:t>Process Diagram:</w:t>
      </w:r>
      <w:r>
        <w:rPr/>
        <w:t xml:space="preserve"> {process_diagram}</w:t>
      </w:r>
    </w:p>
    <w:p>
      <w:pPr>
        <w:pStyle w:val="Normal"/>
        <w:rPr>
          <w:rFonts w:ascii="Consolas;Courier New;monospace" w:hAnsi="Consolas;Courier New;monospace"/>
          <w:b w:val="false"/>
          <w:color w:val="CE9178"/>
          <w:sz w:val="24"/>
          <w:szCs w:val="24"/>
          <w:shd w:fill="1F1F1F" w:val="clear"/>
        </w:rPr>
      </w:pPr>
      <w:r>
        <w:rPr>
          <w:rFonts w:ascii="Consolas;Courier New;monospace" w:hAnsi="Consolas;Courier New;monospace"/>
          <w:b w:val="false"/>
          <w:color w:val="CE9178"/>
          <w:sz w:val="24"/>
          <w:szCs w:val="24"/>
          <w:shd w:fill="1F1F1F" w:val="clear"/>
        </w:rPr>
      </w:r>
    </w:p>
    <w:p>
      <w:pPr>
        <w:pStyle w:val="Normal"/>
        <w:rPr/>
      </w:pPr>
      <w:r>
        <w:rPr/>
      </w:r>
    </w:p>
    <w:p>
      <w:pPr>
        <w:pStyle w:val="Normal"/>
        <w:rPr/>
      </w:pPr>
      <w:r>
        <w:rPr/>
      </w:r>
    </w:p>
    <w:p>
      <w:pPr>
        <w:pStyle w:val="Normal"/>
        <w:widowControl/>
        <w:bidi w:val="0"/>
        <w:spacing w:lineRule="auto" w:line="278"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 w:name="Consolas">
    <w:altName w:val="Courier New"/>
    <w:charset w:val="00"/>
    <w:family w:val="roman"/>
    <w:pitch w:val="variable"/>
  </w:font>
</w:fonts>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c147e"/>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c147e"/>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c147e"/>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c147e"/>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c147e"/>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c147e"/>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c147e"/>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c147e"/>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c147e"/>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c147e"/>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c147e"/>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c147e"/>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c147e"/>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c147e"/>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c147e"/>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c147e"/>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c147e"/>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c147e"/>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c147e"/>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c147e"/>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c147e"/>
    <w:rPr>
      <w:i/>
      <w:iCs/>
      <w:color w:themeColor="text1" w:themeTint="bf" w:val="404040"/>
    </w:rPr>
  </w:style>
  <w:style w:type="character" w:styleId="IntenseEmphasis">
    <w:name w:val="Intense Emphasis"/>
    <w:basedOn w:val="DefaultParagraphFont"/>
    <w:uiPriority w:val="21"/>
    <w:qFormat/>
    <w:rsid w:val="003c147e"/>
    <w:rPr>
      <w:i/>
      <w:iCs/>
      <w:color w:themeColor="accent1" w:themeShade="bf" w:val="0F4761"/>
    </w:rPr>
  </w:style>
  <w:style w:type="character" w:styleId="IntenseQuoteChar" w:customStyle="1">
    <w:name w:val="Intense Quote Char"/>
    <w:basedOn w:val="DefaultParagraphFont"/>
    <w:link w:val="IntenseQuote"/>
    <w:uiPriority w:val="30"/>
    <w:qFormat/>
    <w:rsid w:val="003c147e"/>
    <w:rPr>
      <w:i/>
      <w:iCs/>
      <w:color w:themeColor="accent1" w:themeShade="bf" w:val="0F4761"/>
    </w:rPr>
  </w:style>
  <w:style w:type="character" w:styleId="IntenseReference">
    <w:name w:val="Intense Reference"/>
    <w:basedOn w:val="DefaultParagraphFont"/>
    <w:uiPriority w:val="32"/>
    <w:qFormat/>
    <w:rsid w:val="003c147e"/>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3c147e"/>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c147e"/>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c147e"/>
    <w:pPr>
      <w:spacing w:before="160" w:after="160"/>
      <w:jc w:val="center"/>
    </w:pPr>
    <w:rPr>
      <w:i/>
      <w:iCs/>
      <w:color w:themeColor="text1" w:themeTint="bf" w:val="404040"/>
    </w:rPr>
  </w:style>
  <w:style w:type="paragraph" w:styleId="ListParagraph">
    <w:name w:val="List Paragraph"/>
    <w:basedOn w:val="Normal"/>
    <w:uiPriority w:val="34"/>
    <w:qFormat/>
    <w:rsid w:val="003c147e"/>
    <w:pPr>
      <w:spacing w:before="0" w:after="160"/>
      <w:ind w:left="720"/>
      <w:contextualSpacing/>
    </w:pPr>
    <w:rPr/>
  </w:style>
  <w:style w:type="paragraph" w:styleId="IntenseQuote">
    <w:name w:val="Intense Quote"/>
    <w:basedOn w:val="Normal"/>
    <w:next w:val="Normal"/>
    <w:link w:val="IntenseQuoteChar"/>
    <w:uiPriority w:val="30"/>
    <w:qFormat/>
    <w:rsid w:val="003c147e"/>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739</TotalTime>
  <Application>LibreOffice/25.2.7.2$Windows_X86_64 LibreOffice_project/5cbfd1ab6520636bb5f7b99185aa69bd7456825d</Application>
  <AppVersion>15.0000</AppVersion>
  <Pages>4</Pages>
  <Words>144</Words>
  <Characters>1360</Characters>
  <CharactersWithSpaces>1428</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2026-01-21T10:44:00Z</dcterms:created>
  <dc:creator>Md Anwar</dc:creator>
  <dc:description/>
  <dc:language>en-US</dc:language>
  <cp:lastModifiedBy/>
  <dcterms:modified xsi:type="dcterms:W3CDTF">2026-02-02T10:36:59Z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file>