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 Jaywan Co‑Badged Cards – ATM Cash Withdrawal Processing Requirements</w:t>
      </w:r>
    </w:p>
    <w:p>
      <w:pPr>
        <w:pStyle w:val="Normal"/>
        <w:rPr/>
      </w:pPr>
      <w:r>
        <w:rPr>
          <w:b/>
          <w:bCs/>
        </w:rPr>
        <w:t>ID:</w:t>
      </w:r>
      <w:r>
        <w:rPr/>
        <w:t xml:space="preserve"> - BRD-JAYWAN-ATM-COB-001</w:t>
      </w:r>
    </w:p>
    <w:p>
      <w:pPr>
        <w:pStyle w:val="Normal"/>
        <w:rPr/>
      </w:pPr>
      <w:r>
        <w:rPr>
          <w:b/>
          <w:bCs/>
        </w:rPr>
        <w:t>Program:</w:t>
      </w:r>
      <w:r>
        <w:rPr/>
        <w:t xml:space="preserve"> - Jaywan Domestic Card Scheme Enablement</w:t>
      </w:r>
    </w:p>
    <w:p>
      <w:pPr>
        <w:pStyle w:val="Normal"/>
        <w:rPr/>
      </w:pPr>
      <w:r>
        <w:rPr>
          <w:b/>
          <w:bCs/>
        </w:rPr>
        <w:t>Type:</w:t>
      </w:r>
      <w:r>
        <w:rPr/>
        <w:t xml:space="preserve"> - Business Requirement Specification</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Pr>
      <w:tblGrid>
        <w:gridCol w:w="4620"/>
        <w:gridCol w:w="4619"/>
      </w:tblGrid>
      <w:tr>
        <w:trPr/>
        <w:tc>
          <w:tcPr>
            <w:tcW w:w="4620" w:type="dxa"/>
            <w:tcBorders>
              <w:top w:val="single" w:sz="8" w:space="0" w:color="000000"/>
              <w:left w:val="single" w:sz="8" w:space="0" w:color="000000"/>
              <w:bottom w:val="single" w:sz="8" w:space="0" w:color="000000"/>
            </w:tcBorders>
          </w:tcPr>
          <w:p>
            <w:pPr>
              <w:pStyle w:val="Normal"/>
              <w:spacing w:before="0" w:after="160"/>
              <w:rPr/>
            </w:pPr>
            <w:r>
              <w:rPr/>
              <w:t>Serial Number</w:t>
            </w:r>
          </w:p>
        </w:tc>
        <w:tc>
          <w:tcPr>
            <w:tcW w:w="4619"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Description</w:t>
            </w:r>
          </w:p>
        </w:tc>
      </w:tr>
      <w:tr>
        <w:tc>
          <w:tcPr>
            <w:tcW w:type="dxa" w:w="4620"/>
          </w:tcPr>
          <w:p>
            <w:r>
              <w:t>1</w:t>
            </w:r>
          </w:p>
        </w:tc>
        <w:tc>
          <w:tcPr>
            <w:tcW w:type="dxa" w:w="4619"/>
          </w:tcPr>
          <w:p>
            <w:r>
              <w:t>Document Sign off</w:t>
            </w:r>
          </w:p>
        </w:tc>
      </w:tr>
      <w:tr>
        <w:tc>
          <w:tcPr>
            <w:tcW w:type="dxa" w:w="4620"/>
          </w:tcPr>
          <w:p>
            <w:r>
              <w:t>2</w:t>
            </w:r>
          </w:p>
        </w:tc>
        <w:tc>
          <w:tcPr>
            <w:tcW w:type="dxa" w:w="4619"/>
          </w:tcPr>
          <w:p>
            <w:r>
              <w:t>Document History</w:t>
            </w:r>
          </w:p>
        </w:tc>
      </w:tr>
      <w:tr>
        <w:tc>
          <w:tcPr>
            <w:tcW w:type="dxa" w:w="4620"/>
          </w:tcPr>
          <w:p>
            <w:r>
              <w:t>3</w:t>
            </w:r>
          </w:p>
        </w:tc>
        <w:tc>
          <w:tcPr>
            <w:tcW w:type="dxa" w:w="4619"/>
          </w:tcPr>
          <w:p>
            <w:r>
              <w:t>Overview</w:t>
            </w:r>
          </w:p>
        </w:tc>
      </w:tr>
      <w:tr>
        <w:tc>
          <w:tcPr>
            <w:tcW w:type="dxa" w:w="4620"/>
          </w:tcPr>
          <w:p>
            <w:r>
              <w:t>4</w:t>
            </w:r>
          </w:p>
        </w:tc>
        <w:tc>
          <w:tcPr>
            <w:tcW w:type="dxa" w:w="4619"/>
          </w:tcPr>
          <w:p>
            <w:r>
              <w:t>Current constraints</w:t>
            </w:r>
          </w:p>
        </w:tc>
      </w:tr>
      <w:tr>
        <w:tc>
          <w:tcPr>
            <w:tcW w:type="dxa" w:w="4620"/>
          </w:tcPr>
          <w:p>
            <w:r>
              <w:t>5</w:t>
            </w:r>
          </w:p>
        </w:tc>
        <w:tc>
          <w:tcPr>
            <w:tcW w:type="dxa" w:w="4619"/>
          </w:tcPr>
          <w:p>
            <w:r>
              <w:t>Objective</w:t>
            </w:r>
          </w:p>
        </w:tc>
      </w:tr>
      <w:tr>
        <w:tc>
          <w:tcPr>
            <w:tcW w:type="dxa" w:w="4620"/>
          </w:tcPr>
          <w:p>
            <w:r>
              <w:t>6</w:t>
            </w:r>
          </w:p>
        </w:tc>
        <w:tc>
          <w:tcPr>
            <w:tcW w:type="dxa" w:w="4619"/>
          </w:tcPr>
          <w:p>
            <w:r>
              <w:t>In scope</w:t>
            </w:r>
          </w:p>
        </w:tc>
      </w:tr>
      <w:tr>
        <w:tc>
          <w:tcPr>
            <w:tcW w:type="dxa" w:w="4620"/>
          </w:tcPr>
          <w:p>
            <w:r>
              <w:t>7</w:t>
            </w:r>
          </w:p>
        </w:tc>
        <w:tc>
          <w:tcPr>
            <w:tcW w:type="dxa" w:w="4619"/>
          </w:tcPr>
          <w:p>
            <w:r>
              <w:t>Out of scope</w:t>
            </w:r>
          </w:p>
        </w:tc>
      </w:tr>
      <w:tr>
        <w:tc>
          <w:tcPr>
            <w:tcW w:type="dxa" w:w="4620"/>
          </w:tcPr>
          <w:p>
            <w:r>
              <w:t>8</w:t>
            </w:r>
          </w:p>
        </w:tc>
        <w:tc>
          <w:tcPr>
            <w:tcW w:type="dxa" w:w="4619"/>
          </w:tcPr>
          <w:p>
            <w:r>
              <w:t>Description</w:t>
            </w:r>
          </w:p>
        </w:tc>
      </w:tr>
      <w:tr>
        <w:tc>
          <w:tcPr>
            <w:tcW w:type="dxa" w:w="4620"/>
          </w:tcPr>
          <w:p>
            <w:r>
              <w:t>9</w:t>
            </w:r>
          </w:p>
        </w:tc>
        <w:tc>
          <w:tcPr>
            <w:tcW w:type="dxa" w:w="4619"/>
          </w:tcPr>
          <w:p>
            <w:r>
              <w:t>Business Requirements</w:t>
            </w:r>
          </w:p>
        </w:tc>
      </w:tr>
      <w:tr>
        <w:tc>
          <w:tcPr>
            <w:tcW w:type="dxa" w:w="4620"/>
          </w:tcPr>
          <w:p>
            <w:r>
              <w:t>10</w:t>
            </w:r>
          </w:p>
        </w:tc>
        <w:tc>
          <w:tcPr>
            <w:tcW w:type="dxa" w:w="4619"/>
          </w:tcPr>
          <w:p>
            <w:r>
              <w:t>Requirement Traceability Matrix</w:t>
            </w:r>
          </w:p>
        </w:tc>
      </w:tr>
      <w:tr>
        <w:tc>
          <w:tcPr>
            <w:tcW w:type="dxa" w:w="4620"/>
          </w:tcPr>
          <w:p>
            <w:r>
              <w:t>11</w:t>
            </w:r>
          </w:p>
        </w:tc>
        <w:tc>
          <w:tcPr>
            <w:tcW w:type="dxa" w:w="4619"/>
          </w:tcPr>
          <w:p>
            <w:r>
              <w:t>Non-Functional Requirements</w:t>
            </w:r>
          </w:p>
        </w:tc>
      </w:tr>
      <w:tr>
        <w:tc>
          <w:tcPr>
            <w:tcW w:type="dxa" w:w="4620"/>
          </w:tcPr>
          <w:p>
            <w:r>
              <w:t>12</w:t>
            </w:r>
          </w:p>
        </w:tc>
        <w:tc>
          <w:tcPr>
            <w:tcW w:type="dxa" w:w="4619"/>
          </w:tcPr>
          <w:p>
            <w:r>
              <w:t>Impact on Operational Process</w:t>
            </w:r>
          </w:p>
        </w:tc>
      </w:tr>
      <w:tr>
        <w:tc>
          <w:tcPr>
            <w:tcW w:type="dxa" w:w="4620"/>
          </w:tcPr>
          <w:p>
            <w:r>
              <w:t>13</w:t>
            </w:r>
          </w:p>
        </w:tc>
        <w:tc>
          <w:tcPr>
            <w:tcW w:type="dxa" w:w="4619"/>
          </w:tcPr>
          <w:p>
            <w:r>
              <w:t>Regulatory Impact</w:t>
            </w:r>
          </w:p>
        </w:tc>
      </w:tr>
      <w:tr>
        <w:tc>
          <w:tcPr>
            <w:tcW w:type="dxa" w:w="4620"/>
          </w:tcPr>
          <w:p>
            <w:r>
              <w:t>14</w:t>
            </w:r>
          </w:p>
        </w:tc>
        <w:tc>
          <w:tcPr>
            <w:tcW w:type="dxa" w:w="4619"/>
          </w:tcPr>
          <w:p>
            <w:r>
              <w:t>Reports Requirement</w:t>
            </w:r>
          </w:p>
        </w:tc>
      </w:tr>
      <w:tr>
        <w:tc>
          <w:tcPr>
            <w:tcW w:type="dxa" w:w="4620"/>
          </w:tcPr>
          <w:p>
            <w:r>
              <w:t>15</w:t>
            </w:r>
          </w:p>
        </w:tc>
        <w:tc>
          <w:tcPr>
            <w:tcW w:type="dxa" w:w="4619"/>
          </w:tcPr>
          <w:p>
            <w:r>
              <w:t>Access Requirement</w:t>
            </w:r>
          </w:p>
        </w:tc>
      </w:tr>
      <w:tr>
        <w:tc>
          <w:tcPr>
            <w:tcW w:type="dxa" w:w="4620"/>
          </w:tcPr>
          <w:p>
            <w:r>
              <w:t>16</w:t>
            </w:r>
          </w:p>
        </w:tc>
        <w:tc>
          <w:tcPr>
            <w:tcW w:type="dxa" w:w="4619"/>
          </w:tcPr>
          <w:p>
            <w:r>
              <w:t>Security Requirement</w:t>
            </w:r>
          </w:p>
        </w:tc>
      </w:tr>
      <w:tr>
        <w:tc>
          <w:tcPr>
            <w:tcW w:type="dxa" w:w="4620"/>
          </w:tcPr>
          <w:p>
            <w:r>
              <w:t>17</w:t>
            </w:r>
          </w:p>
        </w:tc>
        <w:tc>
          <w:tcPr>
            <w:tcW w:type="dxa" w:w="4619"/>
          </w:tcPr>
          <w:p>
            <w:r>
              <w:t>Data Requirement</w:t>
            </w:r>
          </w:p>
        </w:tc>
      </w:tr>
      <w:tr>
        <w:tc>
          <w:tcPr>
            <w:tcW w:type="dxa" w:w="4620"/>
          </w:tcPr>
          <w:p>
            <w:r>
              <w:t>18</w:t>
            </w:r>
          </w:p>
        </w:tc>
        <w:tc>
          <w:tcPr>
            <w:tcW w:type="dxa" w:w="4619"/>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7"/>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t>- 02-Feb-2026</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 The document shall define business requirements for enabling ATM cash withdrawal transactions using Jaywan co‑badged debit cards in alignment with CBUAE and Al Etihad Payments (AEP) directives.</w:t>
        <w:br/>
        <w:t>• The document shall focus on end‑to‑end transaction processing, routing, authorization, customer notification, and posting for domestic and international ATM withdrawals using Jaywan co‑badged cards.</w:t>
        <w:br/>
        <w:t>• The document shall cover interactions between ATM, Core Banking System, Card Management/Authorization System (PowerCARD), domestic scheme (Jaywan) and international scheme (e.g. Visa/Mastercard) as applicable.</w:t>
        <w:br/>
        <w:t>• The document shall reflect the CBUAE mandate that licensed financial institutions support Jaywan as the domestic scheme for card transactions and ensure efficient, secure and cost‑effective payment processing.</w:t>
        <w:br/>
        <w:t>• The document shall restrict itself to information explicitly available from the provided CBUAE circular extracts, AEP communications and meeting notes, without making assumptions on unclear parameters.</w:t>
      </w:r>
    </w:p>
    <w:p>
      <w:pPr>
        <w:pStyle w:val="Normal"/>
        <w:rPr/>
      </w:pPr>
      <w:r>
        <w:rPr/>
      </w:r>
    </w:p>
    <w:p>
      <w:pPr>
        <w:pStyle w:val="Normal"/>
        <w:rPr/>
      </w:pPr>
      <w:r>
        <w:rPr>
          <w:b/>
          <w:bCs/>
        </w:rPr>
        <w:t>Current constraints:</w:t>
      </w:r>
      <w:r>
        <w:rPr/>
        <w:t xml:space="preserve"> • Existing card issuance and ATM acquiring processes are primarily aligned to international schemes (e.g. Visa/Mastercard) and may not yet fully support Jaywan co‑badged card routing logic.</w:t>
        <w:br/>
        <w:t>• Existing authorization routing rules may not differentiate between domestic and international usage for Jaywan co‑badged cards as required by CBUAE domestic scheme adoption.</w:t>
        <w:br/>
        <w:t>• Existing SMS alert, GL mapping, reconciliation reporting and EOD posting processes have been designed for existing schemes and may not yet include specific handling for Jaywan mono‑badged and co‑badged cards.</w:t>
        <w:br/>
        <w:t>• Detailed scheme rules, fee structures and technical specifications for Jaywan domestic card processing are governed by AEP and CBUAE circulars, and full documentation is referenced but not fully available within the provided content.</w:t>
        <w:br/>
        <w:t>• Bilateral and wallet enablement initiatives (e.g. GCC usage, India bilateral, Apple Pay/Google Pay/Samsung Wallet) are mentioned at high level but their detailed business rules are not available in the provided context.</w:t>
      </w:r>
    </w:p>
    <w:p>
      <w:pPr>
        <w:pStyle w:val="Normal"/>
        <w:rPr/>
      </w:pPr>
      <w:r>
        <w:rPr/>
      </w:r>
    </w:p>
    <w:p>
      <w:pPr>
        <w:pStyle w:val="Normal"/>
        <w:rPr/>
      </w:pPr>
      <w:r>
        <w:rPr>
          <w:b/>
          <w:bCs/>
        </w:rPr>
        <w:t>Objective:</w:t>
      </w:r>
      <w:r>
        <w:rPr/>
        <w:t xml:space="preserve"> • The solution shall enable compliant ATM cash withdrawal transactions using Jaywan co‑badged debit cards in line with CBUAE mandate reference number 5480/2024 as described in the provided extract.</w:t>
        <w:br/>
        <w:t>• The solution shall ensure that ATM transactions performed using Jaywan co‑badged debit cards are correctly routed as domestic or international based on scheme rules and configuration.</w:t>
        <w:br/>
        <w:t>• The solution shall ensure that approved ATM withdrawal transactions are correctly dispensed, notified to the customer via SMS, and posted to the customer account as part of end‑of‑day (EOD) processing.</w:t>
        <w:br/>
        <w:t>• The solution shall ensure that declined ATM withdrawal transactions are correctly communicated to the customer at ATM level and via SMS without impacting the customer account balance.</w:t>
        <w:br/>
        <w:t>• The solution shall ensure that licensed financial institutions can operationalize Jaywan co‑badged card ATM transactions while maintaining the security, integrity and efficiency of the UAE national payments infrastructure.</w:t>
        <w:br/>
        <w:t>• The solution shall provide a clear basis for future detailed functional, technical and operational design in alignment with AEP Jaywan specifications.</w:t>
      </w:r>
    </w:p>
    <w:p>
      <w:pPr>
        <w:pStyle w:val="Normal"/>
        <w:rPr/>
      </w:pPr>
      <w:r>
        <w:rPr/>
      </w:r>
    </w:p>
    <w:p>
      <w:pPr>
        <w:pStyle w:val="Normal"/>
        <w:rPr/>
      </w:pPr>
      <w:r>
        <w:rPr>
          <w:b/>
          <w:bCs/>
        </w:rPr>
        <w:t>In scope:</w:t>
      </w:r>
      <w:r>
        <w:rPr/>
        <w:t xml:space="preserve"> • Enablement of ATM cash withdrawal transactions using Jaywan co‑badged debit cards as per the specified scenario steps.</w:t>
        <w:br/>
        <w:t>• Routing logic to identify whether an ATM transaction performed using a Jaywan co‑badged debit card is domestic or international, and route to the appropriate scheme (Jaywan or international partner scheme) based on scheme and regulatory rules.</w:t>
        <w:br/>
        <w:t>• Interaction flow among ATM, Core Banking System, PowerCARD (or equivalent card switch/issuer processor) for authorization, including message construction, forwarding and response handling at business rule level (without technical message specification).</w:t>
        <w:br/>
        <w:t>• Handling of approved ATM transactions including cash dispensation, card return, receipt printing, SMS alert and EOD posting to customer account.</w:t>
        <w:br/>
        <w:t>• Handling of declined ATM transactions including card return, on‑screen decline notification, SMS decline alert and no financial posting to customer account.</w:t>
        <w:br/>
        <w:t>• High‑level requirements for GL mapping, reconciliation reporting and operational reporting where they are explicitly referenced in the meeting notes provided.</w:t>
        <w:br/>
        <w:t>• Alignment with CBUAE circular requirements regarding Jaywan implementation for licensed financial institutions, including the obligation to issue co‑badged cards supporting both domestic and international usage.</w:t>
        <w:br/>
        <w:t>• Consideration of existing documentation efforts mentioned in the meeting notes (e.g. current VISA DMS, CBUAE DMS to‑be) where they impact Jaywan co‑badged ATM flows.</w:t>
      </w:r>
    </w:p>
    <w:p>
      <w:pPr>
        <w:pStyle w:val="Normal"/>
        <w:rPr/>
      </w:pPr>
      <w:r>
        <w:rPr/>
      </w:r>
    </w:p>
    <w:p>
      <w:pPr>
        <w:pStyle w:val="Normal"/>
        <w:rPr/>
      </w:pPr>
      <w:r>
        <w:rPr>
          <w:b/>
          <w:bCs/>
        </w:rPr>
        <w:t>Out of scope:</w:t>
      </w:r>
      <w:r>
        <w:rPr/>
        <w:t xml:space="preserve"> • Detailed technical message specifications (e.g. ISO 8583 field mappings, network specific formats) for ATM transactions.</w:t>
        <w:br/>
        <w:t>• Detailed scheme‑level fee calculation, interchange fees, or merchant/service charge structures for Jaywan or international schemes.</w:t>
        <w:br/>
        <w:t>• Non‑ATM channels such as POS payments, e‑commerce transactions, tokenized POS transactions, wallet transactions (Apple Pay, Google Pay, Samsung Wallet) and CDM deposits, except where they are briefly referenced as being handled in separate documentation.</w:t>
        <w:br/>
        <w:t>• Detailed chargeback, dispute management, refunds and reversals business rules beyond the high‑level note that such topics are under discussion, as specific rules are not provided in the input.</w:t>
        <w:br/>
        <w:t>• Detailed customer lifecycle processes such as card issuance, card renewal, card replacement and PIN management beyond the ATM usage scenario.</w:t>
        <w:br/>
        <w:t>• Implementation details of bilateral agreements with India or other countries, and specific GCC usage rules, since only high‑level intent is provided in the input.</w:t>
        <w:br/>
        <w:t>• Detailed user interface design for ATM screens, mobile apps or internet banking.</w:t>
        <w:br/>
        <w:t>• Performance sizing, capacity planning and infrastructure design beyond the high‑level non‑functional requirements included in this document.</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Jaywan Co‑Badged ATM Withdrawal Transaction Flow</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support end‑to‑end ATM cash withdrawal transactions using Jaywan co‑badged debit cards in accordance with the described business scenario and CBUAE/AEP expectations.</w:t>
              <w:br/>
              <w:t>• The ATM withdrawal flow shall cover PIN capture, amount entry, authorization via Core Banking System and PowerCARD, and scheme‑based routing (domestic vs international) for Jaywan co‑badged cards.</w:t>
              <w:br/>
              <w:t>• The ATM withdrawal processing shall ensure consistent customer experience for both approved and declined transactions for Jaywan co‑badged cards.</w:t>
              <w:br/>
              <w:t>• The ATM withdrawal processing shall ensure that business events (authorization, cash dispensation, SMS alert, EOD posting) are executed only in accordance with the final authorization response.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ATM withdrawal processing is aligned to the bank’s current international schemes (e.g. Visa/Mastercard) as per meeting notes referencing current VISA DMS flows.</w:t>
              <w:br/>
              <w:t>• Existing process flows for ATM and POS SMS notifications and VISA DMS for e‑commerce and tokenization transactions are documented, as indicated in the meeting notes, but Jaywan co‑badged ATM flows are not explicitly described.</w:t>
              <w:br/>
              <w:t>• Domestic scheme specific routing for Jaywan is not documented in the provided content as part of the current state.</w:t>
              <w:br/>
              <w:t>• Existing flows rely on current card products and do not explicitly reflect CBUAE mandate 5480/2024 on Jaywan co‑badging as described in the input.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ATM shall initiate a cash withdrawal transaction when a Jaywan co‑badged debit cardholder inserts the card, enters the PIN and specifies the withdrawal amount.</w:t>
              <w:br/>
              <w:t>• The ATM shall send the withdrawal transaction to the Core Banking System for validation of account status and available balance as per bank rules, as described in the provided scenario.</w:t>
              <w:br/>
              <w:t>• The Core Banking System shall forward the transaction to PowerCARD (or equivalent card authorization system) for scheme identification and authorization as described in the scenario.</w:t>
              <w:br/>
              <w:t>• PowerCARD shall identify whether the transaction is domestic or international for a Jaywan co‑badged card and route it accordingly to the applicable scheme (Jaywan domestic or partner international scheme) as stated.</w:t>
              <w:br/>
              <w:t>• Upon receiving an approval response, the ATM shall dispense the requested cash, return the card, print a receipt and trigger the SMS alert process as per the scenario.</w:t>
              <w:br/>
              <w:t>• Upon receiving a decline response, the ATM shall not dispense cash, shall return the card and shall trigger a decline SMS alert without any financial posting to the customer account as per the scenario.</w:t>
              <w:br/>
              <w:t>• The Core Banking System shall ensure that the customer account is updated with the transaction details as part of EOD processing only for approved transactions, as stated in the scenario.</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The bank shall have Jaywan co‑badged debit cards issued in accordance with CBUAE mandate 5480/2024 as referenced in the provided text.</w:t>
              <w:br/>
              <w:t>• The bank shall have an operational ATM network connected to the Core Banking System and PowerCARD for transaction processing.</w:t>
              <w:br/>
              <w:t>• The bank shall have routing rules and connectivity established between PowerCARD and Jaywan domestic scheme and between PowerCARD and the relevant international scheme partner.</w:t>
              <w:br/>
              <w:t>• The bank shall have customer SMS alert services configured for card transactions as referenced in the described scenario.</w:t>
              <w:br/>
              <w:t>• The bank shall have EOD batch processing capability to post approved ATM withdrawal transactions to customer accounts.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When a customer performs a cash withdrawal on an ATM using a valid Jaywan co‑badged debit card with sufficient balance and no blocking conditions, the transaction shall be authorized via Core Banking System and PowerCARD, cash shall be dispensed, card shall be returned, a receipt shall be printed, an SMS approval alert shall be sent, and the transaction shall be posted to the account during EOD.</w:t>
              <w:br/>
              <w:t>• When a customer performs a cash withdrawal on an ATM using a Jaywan co‑badged debit card and the transaction is declined (e.g. insufficient funds, card restrictions, or scheme decline), the ATM shall not dispense cash, shall return the card, shall display a suitable decline message, an SMS decline alert shall be sent, and no financial posting shall be made to the account.</w:t>
              <w:br/>
              <w:t>• All Jaywan co‑badged ATM withdrawal transactions shall follow the defined flow of ATM → Core Banking System → PowerCARD → Scheme → PowerCARD → Core Banking System → ATM, consistent with the scenario description, without bypassing the mandated systems.</w:t>
              <w:br/>
              <w:t>• All transactions for which approval is received shall be available for reconciliation in the bank’s reporting as mentioned in the meeting notes about reconciliation documentation, once such documentation is provided.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In case PowerCARD or scheme connectivity is unavailable, the ATM withdrawal transaction using a Jaywan co‑badged card shall be declined by business rule and the ATM shall display a decline message, return the card and trigger an SMS decline alert, with no impact on the customer account.</w:t>
              <w:br/>
              <w:t>• In case SMS services are temporarily unavailable, the ATM withdrawal transaction shall still be processed for authorization and cash dispensation; however, the SMS alert shall be queued or handled as per existing bank practice, which is not detailed in the provided input and shall be clarified separately.</w:t>
              <w:br/>
              <w:t>• In case the Core Banking System is unavailable, the ATM shall decline the transaction for Jaywan co‑badged cards in line with existing outage handling rules, which are not described in the input and shall be aligned with current operational procedures.</w:t>
              <w:br/>
              <w:t>• In case of incomplete EOD processing, approved ATM withdrawal transactions for Jaywan co‑badged cards shall remain pending posting until EOD is successfully completed as per existing practice, which is not detailed in the provided content.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 Mandate reference number 5480/2024 regarding co‑badged cards supporting domestic and international transactions (as cited in the provided text).</w:t>
              <w:br/>
              <w:t>• Al Etihad Payments communication – “Jaywan the UAE's First Domestic Card Scheme Introduced to Strengthen the UAE's Position as a Global Hub for Digital Payments” (as referenced in the input extracts).</w:t>
              <w:br/>
              <w:t>• Bank internal meeting minutes referencing: “Reviewed the Dual messaging system process steps with Card Ops, GBO‑ATM/CDM” and documentation of current SMS (ATM, POS), current VISA DMS and CBUAE DMS to‑be (as per the provided meeting notes).</w:t>
              <w:br/>
              <w:t>• CBUAE Classification: Public communications about Jaywan domestic card scheme readiness and mono/co‑badge card options (as provided in the input).</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Domestic vs International Routing for Jaywan Co‑Badged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system shall identify whether an ATM withdrawal transaction initiated using a Jaywan co‑badged debit card is domestic or international and shall route it accordingly to the relevant scheme as stated in the scenario.</w:t>
              <w:br/>
              <w:t>• The routing shall comply with CBUAE and AEP requirements for Jaywan domestic usage and partner scheme usage for international transactions as described in the provided context.</w:t>
              <w:br/>
              <w:t>• The routing logic shall be centrally maintained within the card authorization/switch system (PowerCARD) as stated in the scenario where routing is performed after receiving the transaction from the Core Banking System.</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routing logic is aligned to international schemes for Visa/Mastercard, with documented VISA DMS flows, as referenced in the meeting notes.</w:t>
              <w:br/>
              <w:t>• Domestic vs international routing rules specific to Jaywan co‑badged cards are not documented in the provided content as part of the current state.</w:t>
              <w:br/>
              <w:t>• Existing system behaviour for mono‑badged domestic cards and co‑badged cards under Jaywan is not described in detail in the provided input.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Core Banking System shall forward all Jaywan co‑badged ATM withdrawal requests to PowerCARD without making scheme routing decisions.</w:t>
              <w:br/>
              <w:t>• PowerCARD shall identify the card as Jaywan co‑badged based on card product configuration and shall determine whether the transaction is domestic or international in accordance with Jaywan routing rules.</w:t>
              <w:br/>
              <w:t>• For domestic ATM transactions using Jaywan co‑badged cards, PowerCARD shall route the authorization request to the Jaywan domestic scheme as part of the national payment infrastructure readiness described in the AEP communications.</w:t>
              <w:br/>
              <w:t>• For international ATM transactions using Jaywan co‑badged cards, PowerCARD shall route the authorization request to the partner international scheme (e.g. Visa/Mastercard) as applicable, as indicated by the requirement that cards support both domestic and international transactions.</w:t>
              <w:br/>
              <w:t>• PowerCARD shall receive the authorization response from the relevant scheme and return the consolidated response to the Core Banking System for further processing and subsequent ATM action.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Jaywan domestic scheme routing parameters and BIN/product configuration shall be provided by AEP and configured in PowerCARD.</w:t>
              <w:br/>
              <w:t>• International partner scheme routing parameters for Jaywan co‑badged products shall be configured in PowerCARD in alignment with the CBUAE circular text that requires co‑badging with either Mastercard or Visa.</w:t>
              <w:br/>
              <w:t>• Network connectivity between PowerCARD and Jaywan domestic scheme, and between PowerCARD and international schemes, shall be operational and tested.</w:t>
              <w:br/>
              <w:t>• The bank shall receive final documentation from AEP on domestic vs international usage conditions for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When a customer uses a Jaywan co‑badged debit card for a UAE domestic ATM withdrawal, the transaction shall be routed to the Jaywan domestic scheme as per the routing configuration, and the response shall be returned to the ATM without manual intervention.</w:t>
              <w:br/>
              <w:t>• When a customer uses a Jaywan co‑badged debit card for an international ATM withdrawal, the transaction shall be routed to the configured international partner scheme and processed as per existing international scheme rules.</w:t>
              <w:br/>
              <w:t>• All Jaywan co‑badged ATM transactions shall be traceable in operational reports with clear indication whether they were processed via Jaywan domestic scheme or via the international scheme.</w:t>
              <w:br/>
              <w:t>• Any failure in scheme connectivity shall result in a controlled decline response at the ATM, with no partial posting in Core Banking System, and the decline shall be reflected in relevant exception reports, once such reports are defined.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Jaywan domestic scheme is unavailable while international scheme is available, the bank shall decline domestic ATM withdrawal transactions for Jaywan co‑badged cards rather than re‑routing them to international rails, unless otherwise directed by CBUAE/AEP; such direction is not provided in the input and shall be clarified separately.</w:t>
              <w:br/>
              <w:t>• If international scheme connectivity is unavailable for international ATM withdrawals, the transaction shall be declined and shall not be force‑processed over Jaywan domestic scheme for international usage as no such rule is mentioned in the input.</w:t>
              <w:br/>
              <w:t>• In case of temporary configuration issues in PowerCARD, Jaywan co‑badged transactions may default to a safe decline behaviour until configuration is corrected, in line with bank risk policies which are not detailed in the input.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extract on co‑badged cards: “cards must support with both domestic as well as International transactions. The card routing must be accordingly configured.” (as provided in Context 10).</w:t>
              <w:br/>
              <w:t>• Al Etihad Payments public communications on readiness of financial infrastructure to activate Jaywan locally and globally and the availability of mono‑badge and co‑badge options (as referenced in the input contexts).</w:t>
              <w:br/>
              <w:t>• Bank internal documentation on dual messaging system processes and current VISA DMS flows for reference alignment (as mentioned in the meeting minutes).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Customer Notification for Jaywan Co‑Badged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notify customers via SMS for ATM cash withdrawal transactions performed using Jaywan co‑badged debit cards as described in the scenario.</w:t>
              <w:br/>
              <w:t>• The notification shall differentiate between approved and declined ATM withdrawal transactions for Jaywan co‑badged cards.</w:t>
              <w:br/>
              <w:t>• The notification process shall align with existing SMS processes documented for ATM/POS transactions as referenced in the meeting notes.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SMS processes exist for ATM and POS transactions as per meeting notes where the process flow for current SMS (ATM, POS) is documented.</w:t>
              <w:br/>
              <w:t>• Existing SMS processes are not explicitly described for Jaywan co‑badged products in the provided content.</w:t>
              <w:br/>
              <w:t>• The current content does not describe how existing SMS templates or channels reference scheme or product type.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For each approved Jaywan co‑badged ATM cash withdrawal transaction, the system shall trigger an SMS notification to the customer including at minimum the amount, channel (ATM), date/time, and basic transaction status information, in line with existing SMS practices.</w:t>
              <w:br/>
              <w:t>• For each declined Jaywan co‑badged ATM cash withdrawal transaction, the system shall trigger an SMS notification to the customer indicating that the transaction was declined, with minimal information as per existing decline SMS practice.</w:t>
              <w:br/>
              <w:t>• The SMS engine shall receive transaction status information from Core Banking System or a central notification service after authorization is completed and before or as part of EOD posting, as consistent with existing ATM SMS flows.</w:t>
              <w:br/>
              <w:t>• The SMS engine shall not send notifications for transactions that do not reach a final authorization status (e.g. incomplete or timed‑out transactions), in alignment with existing rules which are not detailed in the input and shall follow bank practice.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SMS gateway and telecom arrangements shall be in place as per existing operations.</w:t>
              <w:br/>
              <w:t>• The Core Banking System or transaction switch shall be capable of triggering SMS events for ATM transactions and shall be extended to include Jaywan co‑badged card identifiers where needed.</w:t>
              <w:br/>
              <w:t>• The bank shall have approved SMS templates for approved and declined ATM transactions applicable to Jaywan co‑badged cards.</w:t>
              <w:br/>
              <w:t>• The customer mobile number shall be registered and active for SMS alerts under existing KYC/contact management policies.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Following an approved ATM withdrawal performed using a Jaywan co‑badged debit card, an SMS approval alert shall be received by the customer within the standard timeframe used for existing ATM transactions, subject to external telecom dependencies.</w:t>
              <w:br/>
              <w:t>• Following a declined ATM withdrawal performed using a Jaywan co‑badged debit card, an SMS decline alert shall be received by the customer within the same standard timeframe.</w:t>
              <w:br/>
              <w:t>• For declined transactions, there shall be no discrepancy between SMS information and actual account balance, as no posting shall occur for such transactions.</w:t>
              <w:br/>
              <w:t>• SMS logs shall be available to operations and customer service teams to investigate customer queries related to Jaywan co‑badged ATM withdrawals, following existing logging practices.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SMS gateway is unavailable, the ATM transaction shall still proceed according to authorization result; SMS alerts may be delayed or not sent as per existing contingency rules, which are not described in the input.</w:t>
              <w:br/>
              <w:t>• If the customer has opted out of SMS alerts under existing bank settings, no SMS shall be sent for Jaywan co‑badged ATM transactions; this behaviour shall be consistent with current opt‑out handling.</w:t>
              <w:br/>
              <w:t>• If the customer mobile number is invalid or unreachable, SMS delivery may fail; the transaction shall still be processed and posted (for approvals) as normal.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Bank internal documentation of “current SMS (ATM, POS)” process flows as noted in the meeting minutes.</w:t>
              <w:br/>
              <w:t>• CBUAE and AEP communications on secure and seamless payment experience and awareness campaigns highlighting features and benefits of Jaywan (as described in the public communications).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EOD Posting and Reconciliation for Jaywan Co‑Badged ATM Withdrawals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ensure that approved ATM cash withdrawal transactions performed using Jaywan co‑badged debit cards are posted to customer accounts during end‑of‑day (EOD) processing as described in the scenario.</w:t>
              <w:br/>
              <w:t>• The bank shall ensure that reconciliation and GL postings for Jaywan co‑badged ATM withdrawals align with finance team confirmations and CBUAE reporting expectations as referenced in the meeting notes.</w:t>
              <w:br/>
              <w:t>• The bank shall ensure that declined ATM transactions for Jaywan co‑badged cards are not posted to customer accounts and are handled in reconciliation as non‑financial items.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GL details are confirmed as ready by finance team as per meeting notes, but no explicit linkage to Jaywan co‑badged ATM withdrawals is detailed in the provided content.</w:t>
              <w:br/>
              <w:t>• Existing reconciliation and EOD processes exist for current schemes, and a request has been made for CBUAE reconciliation documentation as per the meeting notes.</w:t>
              <w:br/>
              <w:t>• CUAE (interpreted as CBUAE in context) has shared an original report as mentioned, but the content of that report is not provided in the input.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Core Banking System shall store all approved Jaywan co‑badged ATM withdrawal transactions as pending for EOD posting after a successful authorization response.</w:t>
              <w:br/>
              <w:t>• During EOD processing, the Core Banking System shall post approved ATM withdrawal amounts to the respective customer accounts and update balances accordingly.</w:t>
              <w:br/>
              <w:t>• Declined Jaywan co‑badged ATM withdrawal transactions shall not be posted and shall only be recorded for audit and monitoring as per existing decline handling.</w:t>
              <w:br/>
              <w:t>• Reconciliation processes shall include Jaywan co‑badged ATM withdrawals in daily reconciliation between ATM transactions, Core Banking System ledger, scheme settlement files (Jaywan and international schemes) and GLs, using the GL details confirmed by finance team as referenced in the meeting notes.</w:t>
              <w:br/>
              <w:t>• Any mismatches involving Jaywan co‑badged transactions identified during reconciliation shall be handled using existing exception handling and investigation processes, which are not detailed in the input and shall follow bank policy.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GL account structure for Jaywan mono‑badged and co‑badged card transactions shall be finalized by the finance team, as indicated by the confirmation that GL details are ready.</w:t>
              <w:br/>
              <w:t>• CBUAE or AEP reconciliation report formats relevant to Jaywan transactions shall be obtained and analyzed by the bank, as referenced in the note that CUAE/CBUAE has shared the original report.</w:t>
              <w:br/>
              <w:t>• EOD batch jobs shall be configured to recognize Jaywan co‑badged transaction codes and include them in the standard posting cycles.</w:t>
              <w:br/>
              <w:t>• The reconciliation team shall update internal procedures to include Jaywan related transaction identifiers, scheme codes and GL mappings.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All approved Jaywan co‑badged ATM withdrawal transactions authorized during a business day shall be posted to customer accounts during EOD, with no missing or duplicated postings, subject to existing exception handling rules.</w:t>
              <w:br/>
              <w:t>• No declined Jaywan co‑badged ATM withdrawal transaction shall result in any debit to the customer account, and such transactions shall appear only as non‑financial items in monitoring or audit logs.</w:t>
              <w:br/>
              <w:t>• Daily reconciliation reports shall reflect Jaywan co‑badged ATM withdrawals with correct counts and values, reconciling Core Banking System records with scheme settlement data and GL balances, as per the original CBUAE report structure when available.</w:t>
              <w:br/>
              <w:t>• Operations and finance teams shall be able to identify and report on Jaywan co‑badged ATM withdrawal volumes and values separately from other schemes, in line with CBUAE/AEP transparency expectations mentioned in the communications.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EOD processing fails or is incomplete, pending postings for Jaywan co‑badged ATM withdrawals shall not be partially applied; existing recovery and rerun procedures shall be followed to complete EOD, as per current bank practice which is not detailed in the input.</w:t>
              <w:br/>
              <w:t>• If reconciliation reveals discrepancies involving Jaywan co‑badged ATM withdrawals, investigation shall follow existing incident management and adjustment procedures, which are outside the level of detail provided in the input.</w:t>
              <w:br/>
              <w:t>• If CBUAE or AEP modifies reconciliation or reporting formats for Jaywan, the bank shall update its reconciliation configuration accordingly, subject to separate change control.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Meeting note: “GLs Details – F confirmed that the GL details are ready based on confirmation from Finance team.”</w:t>
              <w:br/>
              <w:t>• Meeting note: “Reports – Clarified queries with business and requested for original report from C(U)AE – R has shared the original report.”</w:t>
              <w:br/>
              <w:t>• Bank internal documentation on reconciliation processes and any CBUAE‑provided reconciliation report formats related to Jaywan domestic card scheme.</w:t>
            </w:r>
          </w:p>
        </w:tc>
      </w:tr>
    </w:tbl>
    <w:p>
      <w:pPr>
        <w:pStyle w:val="Normal"/>
        <w:rPr/>
      </w:pPr>
      <w:r>
        <w:rPr/>
      </w:r>
    </w:p>
    <w:p>
      <w:pPr>
        <w:pStyle w:val="Normal"/>
        <w:rPr>
          <w:b/>
          <w:bCs/>
        </w:rPr>
      </w:pPr>
      <w:r>
        <w:rPr>
          <w:b/>
          <w:bCs/>
        </w:rPr>
        <w:t>Requirement Traceability Matrix</w:t>
      </w:r>
    </w:p>
    <w:tbl>
      <w:tblPr>
        <w:tblW w:w="9417" w:type="dxa"/>
        <w:jc w:val="left"/>
        <w:tblInd w:w="55" w:type="dxa"/>
        <w:tblLayout w:type="fixed"/>
        <w:tblCellMar>
          <w:top w:w="55" w:type="dxa"/>
          <w:left w:w="55" w:type="dxa"/>
          <w:bottom w:w="55" w:type="dxa"/>
          <w:right w:w="55" w:type="dxa"/>
        </w:tblCellMar>
      </w:tblPr>
      <w:tblGrid>
        <w:gridCol w:w="1872"/>
        <w:gridCol w:w="1872"/>
        <w:gridCol w:w="1872"/>
        <w:gridCol w:w="2351"/>
        <w:gridCol w:w="1450"/>
      </w:tblGrid>
      <w:tr>
        <w:trPr/>
        <w:tc>
          <w:tcPr>
            <w:tcW w:w="1872" w:type="dxa"/>
            <w:tcBorders>
              <w:top w:val="single" w:sz="8" w:space="0" w:color="000000"/>
              <w:left w:val="single" w:sz="8" w:space="0" w:color="000000"/>
              <w:bottom w:val="single" w:sz="8" w:space="0" w:color="000000"/>
            </w:tcBorders>
          </w:tcPr>
          <w:p>
            <w:pPr>
              <w:pStyle w:val="Normal"/>
              <w:spacing w:before="0" w:after="160"/>
              <w:rPr/>
            </w:pPr>
            <w:r>
              <w:rPr/>
              <w:t>REQ ID</w:t>
            </w:r>
          </w:p>
        </w:tc>
        <w:tc>
          <w:tcPr>
            <w:tcW w:w="1872" w:type="dxa"/>
            <w:tcBorders>
              <w:top w:val="single" w:sz="8" w:space="0" w:color="000000"/>
              <w:left w:val="single" w:sz="8" w:space="0" w:color="000000"/>
              <w:bottom w:val="single" w:sz="8" w:space="0" w:color="000000"/>
            </w:tcBorders>
          </w:tcPr>
          <w:p>
            <w:pPr>
              <w:pStyle w:val="Normal"/>
              <w:spacing w:before="0" w:after="160"/>
              <w:rPr/>
            </w:pPr>
            <w:r>
              <w:rPr/>
              <w:t>Description</w:t>
            </w:r>
          </w:p>
        </w:tc>
        <w:tc>
          <w:tcPr>
            <w:tcW w:w="1872" w:type="dxa"/>
            <w:tcBorders>
              <w:top w:val="single" w:sz="8" w:space="0" w:color="000000"/>
              <w:left w:val="single" w:sz="8" w:space="0" w:color="000000"/>
              <w:bottom w:val="single" w:sz="8" w:space="0" w:color="000000"/>
            </w:tcBorders>
          </w:tcPr>
          <w:p>
            <w:pPr>
              <w:pStyle w:val="Normal"/>
              <w:spacing w:before="0" w:after="160"/>
              <w:rPr/>
            </w:pPr>
            <w:r>
              <w:rPr/>
              <w:t>Source Channel</w:t>
            </w:r>
          </w:p>
        </w:tc>
        <w:tc>
          <w:tcPr>
            <w:tcW w:w="2351" w:type="dxa"/>
            <w:tcBorders>
              <w:top w:val="single" w:sz="8" w:space="0" w:color="000000"/>
              <w:left w:val="single" w:sz="8" w:space="0" w:color="000000"/>
              <w:bottom w:val="single" w:sz="8" w:space="0" w:color="000000"/>
            </w:tcBorders>
          </w:tcPr>
          <w:p>
            <w:pPr>
              <w:pStyle w:val="Normal"/>
              <w:spacing w:before="0" w:after="160"/>
              <w:rPr/>
            </w:pPr>
            <w:r>
              <w:rPr/>
              <w:t>Impacted System</w:t>
            </w:r>
          </w:p>
        </w:tc>
        <w:tc>
          <w:tcPr>
            <w:tcW w:w="1450"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Outcome</w:t>
            </w:r>
          </w:p>
        </w:tc>
      </w:tr>
      <w:tr>
        <w:trPr/>
        <w:tc>
          <w:tcPr>
            <w:tcW w:w="1872" w:type="dxa"/>
            <w:tcBorders>
              <w:left w:val="single" w:sz="8" w:space="0" w:color="000000"/>
              <w:bottom w:val="single" w:sz="8" w:space="0" w:color="000000"/>
            </w:tcBorders>
          </w:tcPr>
          <w:p>
            <w:r>
              <w:t>BR-001</w:t>
            </w:r>
          </w:p>
        </w:tc>
        <w:tc>
          <w:tcPr>
            <w:tcW w:w="1872" w:type="dxa"/>
            <w:tcBorders>
              <w:left w:val="single" w:sz="8" w:space="0" w:color="000000"/>
              <w:bottom w:val="single" w:sz="8" w:space="0" w:color="000000"/>
            </w:tcBorders>
          </w:tcPr>
          <w:p>
            <w:r>
              <w:t>Enable end‑to‑end ATM withdrawal processing for Jaywan co‑badged debit cards.</w:t>
            </w:r>
          </w:p>
        </w:tc>
        <w:tc>
          <w:tcPr>
            <w:tcW w:w="1872" w:type="dxa"/>
            <w:tcBorders>
              <w:left w:val="single" w:sz="8" w:space="0" w:color="000000"/>
              <w:bottom w:val="single" w:sz="8" w:space="0" w:color="000000"/>
            </w:tcBorders>
          </w:tcPr>
          <w:p>
            <w:r>
              <w:t>CBUAE Circular 5480/2024 and AEP Jaywan Scheme Communications</w:t>
            </w:r>
          </w:p>
        </w:tc>
        <w:tc>
          <w:tcPr>
            <w:tcW w:w="2351" w:type="dxa"/>
            <w:tcBorders>
              <w:left w:val="single" w:sz="8" w:space="0" w:color="000000"/>
              <w:bottom w:val="single" w:sz="8" w:space="0" w:color="000000"/>
            </w:tcBorders>
          </w:tcPr>
          <w:p>
            <w:r>
              <w:t>ATM Network; Core Banking System; PowerCARD; SMS Notification Service</w:t>
            </w:r>
          </w:p>
        </w:tc>
        <w:tc>
          <w:tcPr>
            <w:tcW w:w="1450" w:type="dxa"/>
            <w:tcBorders>
              <w:left w:val="single" w:sz="8" w:space="0" w:color="000000"/>
              <w:bottom w:val="single" w:sz="8" w:space="0" w:color="000000"/>
              <w:right w:val="single" w:sz="8" w:space="0" w:color="000000"/>
            </w:tcBorders>
          </w:tcPr>
          <w:p>
            <w:r>
              <w:t>Customers can perform ATM withdrawals using Jaywan co‑badged cards with correct posting and notifications.</w:t>
            </w:r>
          </w:p>
        </w:tc>
      </w:tr>
      <w:tr>
        <w:tc>
          <w:tcPr>
            <w:tcW w:type="dxa" w:w="1872"/>
          </w:tcPr>
          <w:p>
            <w:r>
              <w:t>BR-002</w:t>
            </w:r>
          </w:p>
        </w:tc>
        <w:tc>
          <w:tcPr>
            <w:tcW w:type="dxa" w:w="1872"/>
          </w:tcPr>
          <w:p>
            <w:r>
              <w:t>Implement domestic vs international routing for Jaywan co‑badged ATM transactions.</w:t>
            </w:r>
          </w:p>
        </w:tc>
        <w:tc>
          <w:tcPr>
            <w:tcW w:type="dxa" w:w="1872"/>
          </w:tcPr>
          <w:p>
            <w:r>
              <w:t>CBUAE Circular 5480/2024</w:t>
            </w:r>
          </w:p>
        </w:tc>
        <w:tc>
          <w:tcPr>
            <w:tcW w:type="dxa" w:w="2351"/>
          </w:tcPr>
          <w:p>
            <w:r>
              <w:t>PowerCARD; Scheme Interfaces; Core Banking System</w:t>
            </w:r>
          </w:p>
        </w:tc>
        <w:tc>
          <w:tcPr>
            <w:tcW w:type="dxa" w:w="1450"/>
          </w:tcPr>
          <w:p>
            <w:r>
              <w:t>Jaywan co‑badged ATM transactions are routed to the correct scheme based on usage.</w:t>
            </w:r>
          </w:p>
        </w:tc>
      </w:tr>
      <w:tr>
        <w:tc>
          <w:tcPr>
            <w:tcW w:type="dxa" w:w="1872"/>
          </w:tcPr>
          <w:p>
            <w:r>
              <w:t>BR-003</w:t>
            </w:r>
          </w:p>
        </w:tc>
        <w:tc>
          <w:tcPr>
            <w:tcW w:type="dxa" w:w="1872"/>
          </w:tcPr>
          <w:p>
            <w:r>
              <w:t>Provide SMS notifications for Jaywan co‑badged ATM approvals and declines.</w:t>
            </w:r>
          </w:p>
        </w:tc>
        <w:tc>
          <w:tcPr>
            <w:tcW w:type="dxa" w:w="1872"/>
          </w:tcPr>
          <w:p>
            <w:r>
              <w:t>Internal Process Documentation for SMS (ATM, POS)</w:t>
            </w:r>
          </w:p>
        </w:tc>
        <w:tc>
          <w:tcPr>
            <w:tcW w:type="dxa" w:w="2351"/>
          </w:tcPr>
          <w:p>
            <w:r>
              <w:t>Core Banking System; Notification/SMS Gateway; ATM Network</w:t>
            </w:r>
          </w:p>
        </w:tc>
        <w:tc>
          <w:tcPr>
            <w:tcW w:type="dxa" w:w="1450"/>
          </w:tcPr>
          <w:p>
            <w:r>
              <w:t>Customers receive timely SMS alerts for Jaywan co‑badged ATM transactions.</w:t>
            </w:r>
          </w:p>
        </w:tc>
      </w:tr>
      <w:tr>
        <w:tc>
          <w:tcPr>
            <w:tcW w:type="dxa" w:w="1872"/>
          </w:tcPr>
          <w:p>
            <w:r>
              <w:t>BR-004</w:t>
            </w:r>
          </w:p>
        </w:tc>
        <w:tc>
          <w:tcPr>
            <w:tcW w:type="dxa" w:w="1872"/>
          </w:tcPr>
          <w:p>
            <w:r>
              <w:t>Ensure EOD posting and reconciliation for Jaywan co‑badged ATM withdrawals.</w:t>
            </w:r>
          </w:p>
        </w:tc>
        <w:tc>
          <w:tcPr>
            <w:tcW w:type="dxa" w:w="1872"/>
          </w:tcPr>
          <w:p>
            <w:r>
              <w:t>Finance GL Confirmation and CBUAE Reporting Requirements</w:t>
            </w:r>
          </w:p>
        </w:tc>
        <w:tc>
          <w:tcPr>
            <w:tcW w:type="dxa" w:w="2351"/>
          </w:tcPr>
          <w:p>
            <w:r>
              <w:t>Core Banking System; GL System; Reconciliation Tools; Scheme Interfaces</w:t>
            </w:r>
          </w:p>
        </w:tc>
        <w:tc>
          <w:tcPr>
            <w:tcW w:type="dxa" w:w="1450"/>
          </w:tcPr>
          <w:p>
            <w:r>
              <w:t>Approved Jaywan ATM withdrawals are posted and reconciled accurately with GLs and schemes.</w:t>
            </w:r>
          </w:p>
        </w:tc>
      </w:tr>
    </w:tbl>
    <w:p>
      <w:pPr>
        <w:pStyle w:val="Normal"/>
        <w:rPr>
          <w:b/>
          <w:bCs/>
        </w:rPr>
      </w:pPr>
      <w:r>
        <w:rPr>
          <w:b/>
          <w:bCs/>
        </w:rPr>
      </w:r>
    </w:p>
    <w:p>
      <w:pPr>
        <w:pStyle w:val="Normal"/>
        <w:rPr/>
      </w:pPr>
      <w:r>
        <w:rPr/>
      </w:r>
    </w:p>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 The number of Jaywan co‑badged cardholders and ATM users shall be aligned with bank’s existing debit card customer base projections for Jaywan adoption; specific numeric targets are not provided in the input and shall be defined during capacity planning.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 Peak ATM transaction volume for Jaywan co‑badged cards shall be treated in line with existing ATM peak capacity planning; no explicit numeric peak volumes are provided in the input and shall be determined by the bank based on current ATM usage and CBUAE adoption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 Monthly transaction volume for Jaywan co‑badged ATM withdrawals shall be monitored and forecasted based on rollout plans and CBUAE mandates; no explicit monthly volume figures are provided in the input.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 ATM, Core Banking System, PowerCARD and scheme connectivity supporting Jaywan co‑badged ATM withdrawals shall align with the bank’s standard high availability targets for critical payment services; explicit SLA percentages are not provided in the input and shall follow existing internal and CBUAE standards.</w:t>
            </w:r>
          </w:p>
        </w:tc>
      </w:tr>
    </w:tbl>
    <w:p>
      <w:pPr>
        <w:pStyle w:val="Normal"/>
        <w:rPr/>
      </w:pPr>
      <w:r>
        <w:rPr/>
      </w:r>
    </w:p>
    <w:p>
      <w:pPr>
        <w:pStyle w:val="Normal"/>
        <w:rPr/>
      </w:pPr>
      <w:r>
        <w:rPr>
          <w:b/>
          <w:bCs/>
        </w:rPr>
        <w:t>Impact on Operational process:</w:t>
      </w:r>
      <w:r>
        <w:rPr/>
        <w:t xml:space="preserve"> • Operations shall update ATM monitoring procedures to explicitly track Jaywan co‑badged ATM withdrawal performance and incidents alongside existing schemes.</w:t>
        <w:br/>
        <w:t>• Card Operations and GBO‑ATM/CDM teams shall incorporate Jaywan co‑badged ATM flows into the dual messaging system process steps already under review, as referenced in the meeting notes.</w:t>
        <w:br/>
        <w:t>• Reconciliation teams shall adjust daily routines to include Jaywan domestic scheme files and related GLs for ATM withdrawals.</w:t>
        <w:br/>
        <w:t>• Customer Service shall update standard operating procedures (SOPs) to handle customer queries and complaints related to Jaywan co‑badged ATM withdrawals, approvals, declines and SMS alerts.</w:t>
        <w:br/>
        <w:t>• Dispute and chargeback teams shall later incorporate Jaywan co‑badged ATM transactions into their processes once detailed scheme rules are available, as chargebacks and refunds were mentioned as a topic of discussion but not detailed.</w:t>
        <w:br/>
        <w:t>• IT operations shall include Jaywan scheme connections and routing in change management, incident management and DR/BCP plans for ATM services.</w:t>
      </w:r>
    </w:p>
    <w:p>
      <w:pPr>
        <w:pStyle w:val="Normal"/>
        <w:rPr/>
      </w:pPr>
      <w:r>
        <w:rPr/>
      </w:r>
    </w:p>
    <w:p>
      <w:pPr>
        <w:pStyle w:val="Normal"/>
        <w:rPr/>
      </w:pPr>
      <w:r>
        <w:rPr/>
      </w:r>
    </w:p>
    <w:p>
      <w:pPr>
        <w:pStyle w:val="Normal"/>
        <w:rPr/>
      </w:pPr>
      <w:r>
        <w:rPr>
          <w:b/>
          <w:bCs/>
        </w:rPr>
        <w:t>Regulatory impact:</w:t>
      </w:r>
      <w:r>
        <w:rPr/>
        <w:t xml:space="preserve"> • The solution shall comply with CBUAE circular requirements, including the mandate that licensed financial institutions issue co‑badged cards supporting both domestic and international transactions as referenced by mandate number 5480/2024.</w:t>
        <w:br/>
        <w:t>• The solution shall support CBUAE and AEP objectives to strengthen the UAE’s financial sovereignty, reduce payment costs and provide a secure and seamless payment experience using the Jaywan domestic card scheme.</w:t>
        <w:br/>
        <w:t>• The solution shall support CBUAE reporting obligations for Jaywan transaction volumes, routing (domestic vs international) and scheme usage, using the original report structure shared by CBUAE as referenced in the meeting notes.</w:t>
        <w:br/>
        <w:t>• The solution shall comply with CBUAE‑mandated data confidentiality and security requirements for payment card transactions processed through the national payment infrastructure.</w:t>
        <w:br/>
        <w:t>• The solution shall accommodate any future regulatory guidance on wallet integration (e.g. Samsung Wallet, Google Pay, Apple Pay) and cross‑border usage (e.g. GCC, bilateral agreements with India) for Jaywan, even though detailed rules are not included in the provided input.</w:t>
      </w:r>
    </w:p>
    <w:p>
      <w:pPr>
        <w:pStyle w:val="Normal"/>
        <w:rPr/>
      </w:pPr>
      <w:r>
        <w:rPr/>
      </w:r>
    </w:p>
    <w:p>
      <w:pPr>
        <w:pStyle w:val="Normal"/>
        <w:rPr/>
      </w:pPr>
      <w:r>
        <w:rPr/>
      </w:r>
    </w:p>
    <w:p>
      <w:pPr>
        <w:pStyle w:val="Normal"/>
        <w:rPr/>
      </w:pPr>
      <w:r>
        <w:rPr>
          <w:b/>
          <w:bCs/>
        </w:rPr>
        <w:t>Reports requirement:</w:t>
      </w:r>
      <w:r>
        <w:rPr/>
        <w:t xml:space="preserve"> • The bank shall generate daily operational reports showing Jaywan co‑badged ATM withdrawal transaction counts, values, approvals and declines, segmented by domestic vs international routing.</w:t>
        <w:br/>
        <w:t>• The bank shall generate reconciliation reports aligned with the original report shared by CBUAE for Jaywan, including mapping between ATM transactions, Core Banking System records, scheme settlement files and GLs.</w:t>
        <w:br/>
        <w:t>• The bank shall ensure that finance has access to GL‑level reports for Jaywan mono‑badged and co‑badged card products, including ATM withdrawals, as indicated by the GL readiness note.</w:t>
        <w:br/>
        <w:t>• The bank shall maintain exception reports for failed or reversed Jaywan co‑badged ATM transactions, aligned with discussions on reversals, refunds and chargebacks referenced in the meeting notes, although detailed formats are not provided.</w:t>
        <w:br/>
        <w:t>• The bank shall support periodic management information (MI) reports on Jaywan adoption and performance for internal stakeholders and for responding to CBUAE/AEP information requests, including volumes, values, routing mix and incident statistics.</w:t>
        <w:br/>
        <w:t>• Specific frequencies, formats and distribution lists for these reports are not provided in the input and shall be defined by the bank during detailed design.</w:t>
      </w:r>
    </w:p>
    <w:p>
      <w:pPr>
        <w:pStyle w:val="Normal"/>
        <w:rPr/>
      </w:pPr>
      <w:r>
        <w:rPr/>
      </w:r>
    </w:p>
    <w:p>
      <w:pPr>
        <w:pStyle w:val="Normal"/>
        <w:rPr/>
      </w:pPr>
      <w:r>
        <w:rPr/>
      </w:r>
    </w:p>
    <w:p>
      <w:pPr>
        <w:pStyle w:val="Normal"/>
        <w:rPr/>
      </w:pPr>
      <w:r>
        <w:rPr>
          <w:b/>
          <w:bCs/>
        </w:rPr>
        <w:t>Access requirement:</w:t>
      </w:r>
      <w:r>
        <w:rPr/>
        <w:t xml:space="preserve"> • Access to configure and manage Jaywan co‑badged card products, routing rules and ATM parameters shall be restricted to authorized users in Card Operations, IT and Scheme Management teams, following existing role‑based access control.</w:t>
        <w:br/>
        <w:t>• Access to view and generate Jaywan‑related operational and reconciliation reports shall be granted to authorized users in Operations, Finance, Risk and Compliance, in alignment with current reporting access policies.</w:t>
        <w:br/>
        <w:t>• Customer Service staff shall have read‑only access to relevant transaction history and SMS logs for Jaywan co‑badged ATM withdrawals to support customer queries, consistent with existing access controls.</w:t>
        <w:br/>
        <w:t>• Administrative access to Core Banking System and PowerCARD for Jaywan configuration shall require strong authentication and dual control as per existing bank policies and CBUAE guidelines, although exact mechanisms are not specified in the input.</w:t>
        <w:br/>
        <w:t>• No additional access roles beyond those currently in use are specified in the provided content; any refinements shall be determined during detailed security design.</w:t>
      </w:r>
    </w:p>
    <w:p>
      <w:pPr>
        <w:pStyle w:val="Normal"/>
        <w:rPr/>
      </w:pPr>
      <w:r>
        <w:rPr/>
      </w:r>
    </w:p>
    <w:p>
      <w:pPr>
        <w:pStyle w:val="Normal"/>
        <w:rPr/>
      </w:pPr>
      <w:r>
        <w:rPr/>
      </w:r>
    </w:p>
    <w:p>
      <w:pPr>
        <w:pStyle w:val="Normal"/>
        <w:rPr/>
      </w:pPr>
      <w:r>
        <w:rPr>
          <w:b/>
          <w:bCs/>
        </w:rPr>
        <w:t>Security requirement:</w:t>
      </w:r>
      <w:r>
        <w:rPr/>
        <w:t xml:space="preserve"> • The solution shall ensure that PIN entry for Jaywan co‑badged ATM withdrawals is processed under existing secure PIN management standards and CBUAE security requirements, although specific technical standards are not detailed in the input.</w:t>
        <w:br/>
        <w:t>• The solution shall ensure that transaction data exchanged between ATM, Core Banking System, PowerCARD and schemes for Jaywan co‑badged cards is protected by existing encryption and secure communication mechanisms in the bank’s payments infrastructure.</w:t>
        <w:br/>
        <w:t>• The solution shall ensure that access to configuration and transactional data for Jaywan co‑badged cards is controlled via role‑based access control and is monitored through audit logs in line with CBUAE audit expectations.</w:t>
        <w:br/>
        <w:t>• The solution shall ensure that no additional cardholder data is exposed in ATM receipts or SMS alerts beyond what is already allowed under existing bank practices; specific masking rules are not detailed in the input and shall follow current standards.</w:t>
        <w:br/>
        <w:t>• The solution shall align with CBUAE’s emphasis on secure and seamless digital payments as referenced in public statements about Jaywan and the UAE’s position as a global hub for digital payments.</w:t>
      </w:r>
    </w:p>
    <w:p>
      <w:pPr>
        <w:pStyle w:val="Normal"/>
        <w:rPr/>
      </w:pPr>
      <w:r>
        <w:rPr/>
      </w:r>
    </w:p>
    <w:p>
      <w:pPr>
        <w:pStyle w:val="Normal"/>
        <w:rPr/>
      </w:pPr>
      <w:r>
        <w:rPr/>
      </w:r>
    </w:p>
    <w:p>
      <w:pPr>
        <w:pStyle w:val="Normal"/>
        <w:rPr/>
      </w:pPr>
      <w:r>
        <w:rPr>
          <w:b/>
          <w:bCs/>
        </w:rPr>
        <w:t>Data requirement:</w:t>
      </w:r>
      <w:r>
        <w:rPr/>
        <w:t xml:space="preserve"> • The solution shall use existing customer and account master data in the Core Banking System for processing Jaywan co‑badged ATM withdrawals; no new customer data attributes are mandated in the provided input.</w:t>
        <w:br/>
        <w:t>• The solution shall ensure that transaction data for Jaywan co‑badged ATM withdrawals (amount, date/time, channel, routing scheme, status) is stored in transaction history tables for audit, reporting and reconciliation.</w:t>
        <w:br/>
        <w:t>• The solution shall ensure that data related to Jaywan co‑badged ATM withdrawals is included in CBUAE reporting datasets, in line with the original report shared by CBUAE, although detailed data fields are not provided.</w:t>
        <w:br/>
        <w:t>• The solution shall ensure that data retention for Jaywan transaction records follows existing bank retention policies and any applicable CBUAE requirements; specific retention periods are not provided in the input.</w:t>
        <w:br/>
        <w:t>• The solution shall ensure data quality controls (e.g. validation of card product, routing flags, posting indicators) for Jaywan co‑badged ATM records, following existing quality frameworks; detailed rules are not described in the input.</w:t>
      </w:r>
    </w:p>
    <w:p>
      <w:pPr>
        <w:pStyle w:val="Normal"/>
        <w:rPr/>
      </w:pPr>
      <w:r>
        <w:rPr/>
      </w:r>
    </w:p>
    <w:p>
      <w:pPr>
        <w:pStyle w:val="Normal"/>
        <w:rPr/>
      </w:pPr>
      <w:r>
        <w:rPr/>
      </w:r>
    </w:p>
    <w:p>
      <w:pPr>
        <w:pStyle w:val="Normal"/>
        <w:rPr/>
      </w:pPr>
      <w:r>
        <w:rPr>
          <w:b/>
          <w:bCs/>
        </w:rPr>
        <w:t>Training requirement:</w:t>
      </w:r>
      <w:r>
        <w:rPr/>
        <w:t xml:space="preserve"> • Operations, Card Operations and GBO‑ATM/CDM teams shall receive training on the new Jaywan co‑badged ATM transaction flows, including routing logic and reconciliation impacts, aligned with the dual messaging system discussions referenced in the meeting notes.</w:t>
        <w:br/>
        <w:t>• Customer Service teams shall be trained on key aspects of Jaywan co‑badged ATM usage, including expected customer experience, SMS notifications, and the difference between domestic and international routing.</w:t>
        <w:br/>
        <w:t>• Finance and Reconciliation teams shall be trained on new GL mappings, reconciliation reports and any CBUAE‑specific reporting requirements for Jaywan transactions.</w:t>
        <w:br/>
        <w:t>• IT and Support teams shall be trained on configuration, monitoring and incident handling for Jaywan scheme connectivity and PowerCARD routing rules.</w:t>
        <w:br/>
        <w:t xml:space="preserve">• Training content shall be aligned with AEP awareness campaigns on Jaywan features and benefits as referenced in the public communications, adapted to internal bank needs. </w:t>
      </w:r>
    </w:p>
    <w:p>
      <w:pPr>
        <w:pStyle w:val="Normal"/>
        <w:rPr/>
      </w:pPr>
      <w:r>
        <w:rPr/>
      </w:r>
    </w:p>
    <w:p>
      <w:pPr>
        <w:pStyle w:val="Normal"/>
        <w:rPr/>
      </w:pPr>
      <w:r>
        <w:rPr>
          <w:b/>
          <w:bCs/>
        </w:rPr>
        <w:t>Open Questions:</w:t>
      </w:r>
      <w:r>
        <w:rPr/>
        <w:t xml:space="preserve"> • The exact text and full content of the CBUAE circular with mandate reference number 5480/2024 are not provided; the bank shall obtain the full circular to confirm all detailed requirements beyond those quoted.</w:t>
        <w:br/>
        <w:t>• The detailed AEP/Jaywan technical and operational rulebooks for ATM transactions, routing logic and fallback behaviour are not included in the input and shall be obtained for full compliance.</w:t>
        <w:br/>
        <w:t>• The detailed structure and field‑level specification of the “original report” shared by CBUAE for reconciliation are not provided; clarification is required on exact reporting fields, formats, and submission channels.</w:t>
        <w:br/>
        <w:t>• The input mentions discussions on reversals, refunds and chargebacks but does not provide detailed business rules; clarification is required on how Jaywan co‑badged ATM disputes and reversals shall be handled relative to international schemes.</w:t>
        <w:br/>
        <w:t>• The input references mono‑badge and co‑badge card options, but does not specify whether any differences exist in ATM behaviour between these product types from a business rule perspective; clarification is required.</w:t>
        <w:br/>
        <w:t>• The input references GCC and international usage, bilateral agreements with India and wallet integrations; detailed business rules and timelines for how these affect ATM usage are not stated and shall be confirmed with AEP/CBUAE.</w:t>
        <w:br/>
        <w:t>• Numeric non‑functional requirements (user counts, peak TPS, volumes, SLA percentages) are not provided; these shall be defined during capacity planning based on internal metrics and CBUAE expectations.</w:t>
      </w:r>
    </w:p>
    <w:p>
      <w:pPr>
        <w:pStyle w:val="Normal"/>
        <w:rPr/>
      </w:pPr>
      <w:r>
        <w:rPr/>
      </w:r>
    </w:p>
    <w:p>
      <w:pPr>
        <w:pStyle w:val="Normal"/>
        <w:rPr/>
      </w:pPr>
      <w:r>
        <w:rPr>
          <w:b/>
          <w:bCs/>
        </w:rPr>
        <w:t>Contradictions (if any):</w:t>
      </w:r>
      <w:r>
        <w:rPr/>
        <w:t xml:space="preserve"> • The meeting notes state that “Documented the process flow for current SMS (ATM, POS), Current VISA DMS (VISA Ecom and Tokenization transactions), CBUAE DMS (To be - for Ecom and Tokenization transactions).” However, no explicit documentation of Jaywan co‑badged ATM flows is shown in the same notes, while the CBUAE circular extract (“The central government of UAE has issued a circular that all licence Financial Institutions must launch the Jaywan cobage cards.”) implies that such flows must be in place. This is not a direct contradiction but indicates a gap between documented processes and regulatory expectations.</w:t>
        <w:br/>
        <w:t>• The meeting note referencing “CUAE - R has shared the original report.” appears to be a typographical variation of “CBUAE”, whereas the other documents consistently refer to “CBUAE Classification: Public” and “Central Bank mandate reference number 5480 2024”. This inconsistency in acronym usage between the meeting minutes and the CBUAE circular reference may cause confusion but does not change the regulatory requirement.</w:t>
        <w:br/>
        <w:t>• No other explicit contradictions between the named documents “CBUAE Circular – Jaywan: UAE's new domestic card payment scheme; all your questions answered”, “Al Etihad Payments – Jaywan the UAE's First Domestic Card Scheme Introduced to Strengthen the UAE's Position as a Global Hub for Digital Payments” and the internal meeting minutes are identifiable from the provided excerpts; instead, there are areas where the internal documents are incomplete relative to the regulatory communications.</w:t>
      </w:r>
    </w:p>
    <w:p>
      <w:pPr>
        <w:pStyle w:val="Normal"/>
        <w:rPr/>
      </w:pPr>
      <w:r>
        <w:rPr/>
      </w:r>
    </w:p>
    <w:p>
      <w:pPr>
        <w:pStyle w:val="Normal"/>
        <w:rPr>
          <w:b/>
          <w:bCs/>
        </w:rPr>
      </w:pPr>
      <w:r>
        <w:rPr>
          <w:b/>
          <w:bCs/>
        </w:rPr>
      </w:r>
    </w:p>
    <w:p>
      <w:pPr>
        <w:pStyle w:val="Normal"/>
        <w:rPr/>
      </w:pPr>
      <w:r>
        <w:t xml:space="preserve">Process Diagram: </w:t>
      </w:r>
      <w:r>
        <w:drawing>
          <wp:inline xmlns:a="http://schemas.openxmlformats.org/drawingml/2006/main">
            <wp:extent cx="5029200" cy="20966443"/>
            <wp:docPr id="1" name="Picture 1"/>
            <wp:cNvGraphicFramePr>
              <a:graphicFrameLocks noChangeAspect="1"/>
            </wp:cNvGraphicFramePr>
            <a:graphic>
              <a:graphicData uri="http://schemas.openxmlformats.org/drawingml/2006/picture">
                <pic:pic>
                  <pic:nvPicPr>
                    <pic:cNvPr id="0" name="process_flow.png"/>
                    <pic:cNvPicPr/>
                  </pic:nvPicPr>
                  <pic:blipFill>
                    <a:blip r:embed="rId5"/>
                    <a:stretch>
                      <a:fillRect/>
                    </a:stretch>
                  </pic:blipFill>
                  <pic:spPr>
                    <a:xfrm>
                      <a:off x="0" y="0"/>
                      <a:ext cx="5029200" cy="20966443"/>
                    </a:xfrm>
                    <a:prstGeom prst="rect"/>
                  </pic:spPr>
                </pic:pic>
              </a:graphicData>
            </a:graphic>
          </wp:inline>
        </w:drawing>
      </w:r>
    </w:p>
    <w:p>
      <w:pPr>
        <w:pStyle w:val="Normal"/>
        <w:rPr>
          <w:rFonts w:ascii="Consolas;Courier New;monospace" w:hAnsi="Consolas;Courier New;monospace"/>
          <w:b w:val="false"/>
          <w:color w:val="CE9178"/>
          <w:sz w:val="24"/>
          <w:szCs w:val="24"/>
          <w:shd w:fill="1F1F1F" w:val="clear"/>
        </w:rPr>
      </w:pPr>
      <w:r>
        <w:rPr>
          <w:rFonts w:ascii="Consolas;Courier New;monospace" w:hAnsi="Consolas;Courier New;monospace"/>
          <w:b w:val="false"/>
          <w:color w:val="CE9178"/>
          <w:sz w:val="24"/>
          <w:szCs w:val="24"/>
          <w:shd w:fill="1F1F1F" w:val="clear"/>
        </w:rPr>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nsolas">
    <w:altName w:val="Courier New"/>
    <w:charset w:val="00"/>
    <w:family w:val="roman"/>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739</TotalTime>
  <Application>LibreOffice/25.2.7.2$Windows_X86_64 LibreOffice_project/5cbfd1ab6520636bb5f7b99185aa69bd7456825d</Application>
  <AppVersion>15.0000</AppVersion>
  <Pages>4</Pages>
  <Words>144</Words>
  <Characters>1360</Characters>
  <CharactersWithSpaces>1428</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2026-02-02T10:36:59Z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