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sz w:val="28"/>
          <w:szCs w:val="28"/>
        </w:rPr>
      </w:pPr>
      <w:r>
        <w:rPr>
          <w:b/>
          <w:bCs/>
          <w:sz w:val="28"/>
          <w:szCs w:val="28"/>
        </w:rPr>
        <w:t>First Islamic Bank</w:t>
      </w:r>
    </w:p>
    <w:p>
      <w:pPr>
        <w:pStyle w:val="Normal"/>
        <w:rPr/>
      </w:pPr>
      <w:r>
        <w:rPr/>
      </w:r>
    </w:p>
    <w:p>
      <w:pPr>
        <w:pStyle w:val="Normal"/>
        <w:jc w:val="center"/>
        <w:rPr>
          <w:b/>
          <w:bCs/>
          <w:sz w:val="28"/>
          <w:szCs w:val="28"/>
        </w:rPr>
      </w:pPr>
      <w:r>
        <w:rPr>
          <w:b/>
          <w:bCs/>
          <w:sz w:val="28"/>
          <w:szCs w:val="28"/>
        </w:rPr>
        <w:t>Business Requirements Specification</w:t>
      </w:r>
    </w:p>
    <w:p>
      <w:pPr>
        <w:pStyle w:val="Normal"/>
        <w:jc w:val="center"/>
        <w:rPr/>
      </w:pPr>
      <w:r>
        <w:rPr/>
      </w:r>
    </w:p>
    <w:p>
      <w:pPr>
        <w:pStyle w:val="Normal"/>
        <w:rPr/>
      </w:pPr>
      <w:r>
        <w:rPr>
          <w:b/>
          <w:bCs/>
        </w:rPr>
        <w:t>Title:</w:t>
      </w:r>
      <w:r>
        <w:rPr/>
        <w:t xml:space="preserve"> • Business Requirements Specification for Jaywan Domestic Card Scheme Enablement and Jaywan Co‑Badged ATM Transaction Processing</w:t>
      </w:r>
    </w:p>
    <w:p>
      <w:pPr>
        <w:pStyle w:val="Normal"/>
        <w:rPr/>
      </w:pPr>
      <w:r>
        <w:rPr>
          <w:b/>
          <w:bCs/>
        </w:rPr>
        <w:t>ID:</w:t>
      </w:r>
      <w:r>
        <w:rPr/>
        <w:t xml:space="preserve"> • BRS-JAYWAN-ATM-COB-001</w:t>
      </w:r>
    </w:p>
    <w:p>
      <w:pPr>
        <w:pStyle w:val="Normal"/>
        <w:rPr/>
      </w:pPr>
      <w:r>
        <w:rPr>
          <w:b/>
          <w:bCs/>
        </w:rPr>
        <w:t>Program:</w:t>
      </w:r>
      <w:r>
        <w:rPr/>
        <w:t xml:space="preserve"> • Jaywan Domestic Card Scheme Enablement Programme</w:t>
      </w:r>
    </w:p>
    <w:p>
      <w:pPr>
        <w:pStyle w:val="Normal"/>
        <w:rPr/>
      </w:pPr>
      <w:r>
        <w:rPr>
          <w:b/>
          <w:bCs/>
        </w:rPr>
        <w:t>Type:</w:t>
      </w:r>
      <w:r>
        <w:rPr/>
        <w:t xml:space="preserve"> • Business Requirements Specification (BRS)</w:t>
      </w:r>
    </w:p>
    <w:p>
      <w:pPr>
        <w:pStyle w:val="Normal"/>
        <w:rPr/>
      </w:pPr>
      <w:r>
        <w:rPr/>
      </w:r>
    </w:p>
    <w:p>
      <w:pPr>
        <w:pStyle w:val="Normal"/>
        <w:rPr>
          <w:b/>
          <w:bCs/>
        </w:rPr>
      </w:pPr>
      <w:r>
        <w:rPr>
          <w:b/>
          <w:bCs/>
        </w:rPr>
        <w:t>Table Of Content</w:t>
      </w:r>
    </w:p>
    <w:tbl>
      <w:tblPr>
        <w:tblW w:w="9240" w:type="dxa"/>
        <w:jc w:val="left"/>
        <w:tblInd w:w="115" w:type="dxa"/>
        <w:tblLayout w:type="fixed"/>
        <w:tblCellMar>
          <w:top w:w="55" w:type="dxa"/>
          <w:left w:w="55" w:type="dxa"/>
          <w:bottom w:w="55" w:type="dxa"/>
          <w:right w:w="55" w:type="dxa"/>
        </w:tblCellMar>
        <w:tblBorders>
          <w:top w:val="single" w:sz="8" w:space="0" w:color="000000"/>
          <w:bottom w:val="single" w:sz="8" w:space="0" w:color="000000"/>
          <w:left w:val="single" w:sz="8" w:space="0" w:color="000000"/>
          <w:right w:val="single" w:sz="8" w:space="0" w:color="000000"/>
          <w:insideH w:val="single" w:sz="8" w:space="0" w:color="000000"/>
          <w:insideV w:val="single" w:sz="8" w:space="0" w:color="000000"/>
        </w:tblBorders>
      </w:tblPr>
      <w:tblGrid>
        <w:gridCol w:w="4620"/>
        <w:gridCol w:w="4619"/>
      </w:tblGrid>
      <w:tr>
        <w:trPr/>
        <w:tc>
          <w:tcPr>
            <w:tcW w:w="4620" w:type="dxa"/>
            <w:tcBorders>
              <w:top w:val="single" w:sz="8" w:space="0" w:color="000000"/>
              <w:left w:val="single" w:sz="8" w:space="0" w:color="000000"/>
              <w:bottom w:val="single" w:sz="8" w:space="0" w:color="000000"/>
            </w:tcBorders>
          </w:tcPr>
          <w:p>
            <w:pPr>
              <w:pStyle w:val="Normal"/>
              <w:spacing w:before="0" w:after="160"/>
              <w:rPr/>
            </w:pPr>
            <w:r>
              <w:rPr/>
              <w:t>Serial Number</w:t>
            </w:r>
          </w:p>
        </w:tc>
        <w:tc>
          <w:tcPr>
            <w:tcW w:w="4619"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Description</w:t>
            </w:r>
          </w:p>
        </w:tc>
      </w:tr>
      <w:tr>
        <w:tc>
          <w:tcPr>
            <w:tcW w:type="dxa" w:w="4620"/>
          </w:tcPr>
          <w:p>
            <w:r>
              <w:t>1</w:t>
            </w:r>
          </w:p>
        </w:tc>
        <w:tc>
          <w:tcPr>
            <w:tcW w:type="dxa" w:w="4619"/>
          </w:tcPr>
          <w:p>
            <w:r>
              <w:t>Document Sign off</w:t>
            </w:r>
          </w:p>
        </w:tc>
      </w:tr>
      <w:tr>
        <w:tc>
          <w:tcPr>
            <w:tcW w:type="dxa" w:w="4620"/>
          </w:tcPr>
          <w:p>
            <w:r>
              <w:t>2</w:t>
            </w:r>
          </w:p>
        </w:tc>
        <w:tc>
          <w:tcPr>
            <w:tcW w:type="dxa" w:w="4619"/>
          </w:tcPr>
          <w:p>
            <w:r>
              <w:t>Document History</w:t>
            </w:r>
          </w:p>
        </w:tc>
      </w:tr>
      <w:tr>
        <w:tc>
          <w:tcPr>
            <w:tcW w:type="dxa" w:w="4620"/>
          </w:tcPr>
          <w:p>
            <w:r>
              <w:t>3</w:t>
            </w:r>
          </w:p>
        </w:tc>
        <w:tc>
          <w:tcPr>
            <w:tcW w:type="dxa" w:w="4619"/>
          </w:tcPr>
          <w:p>
            <w:r>
              <w:t>Overview</w:t>
            </w:r>
          </w:p>
        </w:tc>
      </w:tr>
      <w:tr>
        <w:tc>
          <w:tcPr>
            <w:tcW w:type="dxa" w:w="4620"/>
          </w:tcPr>
          <w:p>
            <w:r>
              <w:t>4</w:t>
            </w:r>
          </w:p>
        </w:tc>
        <w:tc>
          <w:tcPr>
            <w:tcW w:type="dxa" w:w="4619"/>
          </w:tcPr>
          <w:p>
            <w:r>
              <w:t>Current constraints</w:t>
            </w:r>
          </w:p>
        </w:tc>
      </w:tr>
      <w:tr>
        <w:tc>
          <w:tcPr>
            <w:tcW w:type="dxa" w:w="4620"/>
          </w:tcPr>
          <w:p>
            <w:r>
              <w:t>5</w:t>
            </w:r>
          </w:p>
        </w:tc>
        <w:tc>
          <w:tcPr>
            <w:tcW w:type="dxa" w:w="4619"/>
          </w:tcPr>
          <w:p>
            <w:r>
              <w:t>Objective</w:t>
            </w:r>
          </w:p>
        </w:tc>
      </w:tr>
      <w:tr>
        <w:tc>
          <w:tcPr>
            <w:tcW w:type="dxa" w:w="4620"/>
          </w:tcPr>
          <w:p>
            <w:r>
              <w:t>6</w:t>
            </w:r>
          </w:p>
        </w:tc>
        <w:tc>
          <w:tcPr>
            <w:tcW w:type="dxa" w:w="4619"/>
          </w:tcPr>
          <w:p>
            <w:r>
              <w:t>In scope</w:t>
            </w:r>
          </w:p>
        </w:tc>
      </w:tr>
      <w:tr>
        <w:tc>
          <w:tcPr>
            <w:tcW w:type="dxa" w:w="4620"/>
          </w:tcPr>
          <w:p>
            <w:r>
              <w:t>7</w:t>
            </w:r>
          </w:p>
        </w:tc>
        <w:tc>
          <w:tcPr>
            <w:tcW w:type="dxa" w:w="4619"/>
          </w:tcPr>
          <w:p>
            <w:r>
              <w:t>Out of scope</w:t>
            </w:r>
          </w:p>
        </w:tc>
      </w:tr>
      <w:tr>
        <w:tc>
          <w:tcPr>
            <w:tcW w:type="dxa" w:w="4620"/>
          </w:tcPr>
          <w:p>
            <w:r>
              <w:t>8</w:t>
            </w:r>
          </w:p>
        </w:tc>
        <w:tc>
          <w:tcPr>
            <w:tcW w:type="dxa" w:w="4619"/>
          </w:tcPr>
          <w:p>
            <w:r>
              <w:t>Description</w:t>
            </w:r>
          </w:p>
        </w:tc>
      </w:tr>
      <w:tr>
        <w:tc>
          <w:tcPr>
            <w:tcW w:type="dxa" w:w="4620"/>
          </w:tcPr>
          <w:p>
            <w:r>
              <w:t>9</w:t>
            </w:r>
          </w:p>
        </w:tc>
        <w:tc>
          <w:tcPr>
            <w:tcW w:type="dxa" w:w="4619"/>
          </w:tcPr>
          <w:p>
            <w:r>
              <w:t>Business Requirements</w:t>
            </w:r>
          </w:p>
        </w:tc>
      </w:tr>
      <w:tr>
        <w:tc>
          <w:tcPr>
            <w:tcW w:type="dxa" w:w="4620"/>
          </w:tcPr>
          <w:p>
            <w:r>
              <w:t>10</w:t>
            </w:r>
          </w:p>
        </w:tc>
        <w:tc>
          <w:tcPr>
            <w:tcW w:type="dxa" w:w="4619"/>
          </w:tcPr>
          <w:p>
            <w:r>
              <w:t>Requirement Traceability Matrix</w:t>
            </w:r>
          </w:p>
        </w:tc>
      </w:tr>
      <w:tr>
        <w:tc>
          <w:tcPr>
            <w:tcW w:type="dxa" w:w="4620"/>
          </w:tcPr>
          <w:p>
            <w:r>
              <w:t>11</w:t>
            </w:r>
          </w:p>
        </w:tc>
        <w:tc>
          <w:tcPr>
            <w:tcW w:type="dxa" w:w="4619"/>
          </w:tcPr>
          <w:p>
            <w:r>
              <w:t>Non-Functional Requirements</w:t>
            </w:r>
          </w:p>
        </w:tc>
      </w:tr>
      <w:tr>
        <w:tc>
          <w:tcPr>
            <w:tcW w:type="dxa" w:w="4620"/>
          </w:tcPr>
          <w:p>
            <w:r>
              <w:t>12</w:t>
            </w:r>
          </w:p>
        </w:tc>
        <w:tc>
          <w:tcPr>
            <w:tcW w:type="dxa" w:w="4619"/>
          </w:tcPr>
          <w:p>
            <w:r>
              <w:t>Impact on Operational Process</w:t>
            </w:r>
          </w:p>
        </w:tc>
      </w:tr>
      <w:tr>
        <w:tc>
          <w:tcPr>
            <w:tcW w:type="dxa" w:w="4620"/>
          </w:tcPr>
          <w:p>
            <w:r>
              <w:t>13</w:t>
            </w:r>
          </w:p>
        </w:tc>
        <w:tc>
          <w:tcPr>
            <w:tcW w:type="dxa" w:w="4619"/>
          </w:tcPr>
          <w:p>
            <w:r>
              <w:t>Regulatory Impact</w:t>
            </w:r>
          </w:p>
        </w:tc>
      </w:tr>
      <w:tr>
        <w:tc>
          <w:tcPr>
            <w:tcW w:type="dxa" w:w="4620"/>
          </w:tcPr>
          <w:p>
            <w:r>
              <w:t>14</w:t>
            </w:r>
          </w:p>
        </w:tc>
        <w:tc>
          <w:tcPr>
            <w:tcW w:type="dxa" w:w="4619"/>
          </w:tcPr>
          <w:p>
            <w:r>
              <w:t>Reports Requirement</w:t>
            </w:r>
          </w:p>
        </w:tc>
      </w:tr>
      <w:tr>
        <w:tc>
          <w:tcPr>
            <w:tcW w:type="dxa" w:w="4620"/>
          </w:tcPr>
          <w:p>
            <w:r>
              <w:t>15</w:t>
            </w:r>
          </w:p>
        </w:tc>
        <w:tc>
          <w:tcPr>
            <w:tcW w:type="dxa" w:w="4619"/>
          </w:tcPr>
          <w:p>
            <w:r>
              <w:t>Access Requirement</w:t>
            </w:r>
          </w:p>
        </w:tc>
      </w:tr>
      <w:tr>
        <w:tc>
          <w:tcPr>
            <w:tcW w:type="dxa" w:w="4620"/>
          </w:tcPr>
          <w:p>
            <w:r>
              <w:t>16</w:t>
            </w:r>
          </w:p>
        </w:tc>
        <w:tc>
          <w:tcPr>
            <w:tcW w:type="dxa" w:w="4619"/>
          </w:tcPr>
          <w:p>
            <w:r>
              <w:t>Security Requirement</w:t>
            </w:r>
          </w:p>
        </w:tc>
      </w:tr>
      <w:tr>
        <w:tc>
          <w:tcPr>
            <w:tcW w:type="dxa" w:w="4620"/>
          </w:tcPr>
          <w:p>
            <w:r>
              <w:t>17</w:t>
            </w:r>
          </w:p>
        </w:tc>
        <w:tc>
          <w:tcPr>
            <w:tcW w:type="dxa" w:w="4619"/>
          </w:tcPr>
          <w:p>
            <w:r>
              <w:t>Data Requirement</w:t>
            </w:r>
          </w:p>
        </w:tc>
      </w:tr>
      <w:tr>
        <w:tc>
          <w:tcPr>
            <w:tcW w:type="dxa" w:w="4620"/>
          </w:tcPr>
          <w:p>
            <w:r>
              <w:t>18</w:t>
            </w:r>
          </w:p>
        </w:tc>
        <w:tc>
          <w:tcPr>
            <w:tcW w:type="dxa" w:w="4619"/>
          </w:tcPr>
          <w:p>
            <w:r>
              <w:t>Training Requirement</w:t>
            </w:r>
          </w:p>
        </w:tc>
      </w:tr>
    </w:tbl>
    <w:p>
      <w:pPr>
        <w:pStyle w:val="Normal"/>
        <w:rPr>
          <w:b/>
          <w:bCs/>
        </w:rPr>
      </w:pPr>
      <w:r>
        <w:rPr>
          <w:b/>
          <w:bCs/>
        </w:rPr>
      </w:r>
    </w:p>
    <w:p>
      <w:pPr>
        <w:pStyle w:val="Normal"/>
        <w:rPr>
          <w:b/>
          <w:bCs/>
        </w:rPr>
      </w:pPr>
      <w:r>
        <w:rPr>
          <w:b/>
          <w:bCs/>
        </w:rPr>
      </w:r>
    </w:p>
    <w:p>
      <w:pPr>
        <w:pStyle w:val="Normal"/>
        <w:rPr>
          <w:b/>
          <w:bCs/>
        </w:rPr>
      </w:pPr>
      <w:r>
        <w:rPr>
          <w:b/>
          <w:bCs/>
        </w:rPr>
        <w:t>Document Sign off</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157"/>
        <w:gridCol w:w="2157"/>
        <w:gridCol w:w="2158"/>
        <w:gridCol w:w="2157"/>
      </w:tblGrid>
      <w:tr>
        <w:trPr/>
        <w:tc>
          <w:tcPr>
            <w:tcW w:w="2157"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Name</w:t>
            </w:r>
          </w:p>
        </w:tc>
        <w:tc>
          <w:tcPr>
            <w:tcW w:w="215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Department</w:t>
            </w:r>
          </w:p>
        </w:tc>
        <w:tc>
          <w:tcPr>
            <w:tcW w:w="2158"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Remarks</w:t>
            </w:r>
          </w:p>
        </w:tc>
        <w:tc>
          <w:tcPr>
            <w:tcW w:w="215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Approval date</w:t>
            </w:r>
          </w:p>
        </w:tc>
      </w:tr>
      <w:tr>
        <w:trPr/>
        <w:tc>
          <w:tcPr>
            <w:tcW w:w="2157"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r>
          </w:p>
        </w:tc>
        <w:tc>
          <w:tcPr>
            <w:tcW w:w="2157"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2158"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2157" w:type="dxa"/>
            <w:tcBorders>
              <w:bottom w:val="single" w:sz="8" w:space="0" w:color="000000"/>
              <w:right w:val="single" w:sz="8" w:space="0" w:color="000000"/>
            </w:tcBorders>
          </w:tcPr>
          <w:p>
            <w:pPr>
              <w:pStyle w:val="Normal"/>
              <w:widowControl/>
              <w:bidi w:val="0"/>
              <w:spacing w:lineRule="auto" w:line="278" w:before="0" w:after="160"/>
              <w:jc w:val="left"/>
              <w:rPr/>
            </w:pPr>
            <w:r>
              <w:rPr/>
            </w:r>
          </w:p>
        </w:tc>
      </w:tr>
    </w:tbl>
    <w:p>
      <w:pPr>
        <w:pStyle w:val="Normal"/>
        <w:rPr/>
      </w:pPr>
      <w:r>
        <w:rPr/>
      </w:r>
    </w:p>
    <w:p>
      <w:pPr>
        <w:pStyle w:val="Normal"/>
        <w:rPr>
          <w:b/>
          <w:bCs/>
        </w:rPr>
      </w:pPr>
      <w:r>
        <w:rPr>
          <w:b/>
          <w:bCs/>
        </w:rPr>
        <w:t>Document History</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234"/>
        <w:gridCol w:w="3269"/>
        <w:gridCol w:w="3127"/>
      </w:tblGrid>
      <w:tr>
        <w:trPr/>
        <w:tc>
          <w:tcPr>
            <w:tcW w:w="2234"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Version</w:t>
            </w:r>
          </w:p>
        </w:tc>
        <w:tc>
          <w:tcPr>
            <w:tcW w:w="3269"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Remarks</w:t>
            </w:r>
          </w:p>
        </w:tc>
        <w:tc>
          <w:tcPr>
            <w:tcW w:w="312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Date</w:t>
            </w:r>
          </w:p>
        </w:tc>
      </w:tr>
      <w:tr>
        <w:trPr/>
        <w:tc>
          <w:tcPr>
            <w:tcW w:w="2234"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1.0</w:t>
            </w:r>
          </w:p>
        </w:tc>
        <w:tc>
          <w:tcPr>
            <w:tcW w:w="3269" w:type="dxa"/>
            <w:tcBorders>
              <w:bottom w:val="single" w:sz="8" w:space="0" w:color="000000"/>
              <w:right w:val="single" w:sz="8" w:space="0" w:color="000000"/>
            </w:tcBorders>
          </w:tcPr>
          <w:p>
            <w:pPr>
              <w:pStyle w:val="Normal"/>
              <w:widowControl/>
              <w:bidi w:val="0"/>
              <w:spacing w:lineRule="auto" w:line="278" w:before="0" w:after="160"/>
              <w:jc w:val="left"/>
              <w:rPr/>
            </w:pPr>
            <w:r>
              <w:rPr/>
              <w:t>Initial Draft</w:t>
            </w:r>
          </w:p>
        </w:tc>
        <w:tc>
          <w:tcPr>
            <w:tcW w:w="3127" w:type="dxa"/>
            <w:tcBorders>
              <w:bottom w:val="single" w:sz="8" w:space="0" w:color="000000"/>
              <w:right w:val="single" w:sz="8" w:space="0" w:color="000000"/>
            </w:tcBorders>
          </w:tcPr>
          <w:p>
            <w:pPr>
              <w:pStyle w:val="Normal"/>
              <w:widowControl/>
              <w:bidi w:val="0"/>
              <w:spacing w:lineRule="auto" w:line="278" w:before="0" w:after="160"/>
              <w:jc w:val="left"/>
              <w:rPr/>
            </w:pPr>
            <w:r>
              <w:rPr/>
              <w:t>- 09-Feb-2026</w:t>
            </w:r>
          </w:p>
        </w:tc>
      </w:tr>
      <w:tr>
        <w:trPr/>
        <w:tc>
          <w:tcPr>
            <w:tcW w:w="2234"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r>
          </w:p>
        </w:tc>
        <w:tc>
          <w:tcPr>
            <w:tcW w:w="3269"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3127" w:type="dxa"/>
            <w:tcBorders>
              <w:bottom w:val="single" w:sz="8" w:space="0" w:color="000000"/>
              <w:right w:val="single" w:sz="8" w:space="0" w:color="000000"/>
            </w:tcBorders>
          </w:tcPr>
          <w:p>
            <w:pPr>
              <w:pStyle w:val="Normal"/>
              <w:widowControl/>
              <w:bidi w:val="0"/>
              <w:spacing w:lineRule="auto" w:line="278" w:before="0" w:after="160"/>
              <w:jc w:val="left"/>
              <w:rPr/>
            </w:pPr>
            <w:r>
              <w:rPr/>
            </w:r>
          </w:p>
        </w:tc>
      </w:tr>
    </w:tbl>
    <w:p>
      <w:pPr>
        <w:pStyle w:val="Normal"/>
        <w:rPr/>
      </w:pPr>
      <w:r>
        <w:rPr/>
      </w:r>
    </w:p>
    <w:p>
      <w:pPr>
        <w:pStyle w:val="Normal"/>
        <w:rPr/>
      </w:pPr>
      <w:r>
        <w:rPr/>
      </w:r>
    </w:p>
    <w:p>
      <w:pPr>
        <w:pStyle w:val="Normal"/>
        <w:rPr/>
      </w:pPr>
      <w:r>
        <w:rPr>
          <w:b/>
          <w:bCs/>
        </w:rPr>
        <w:t>Overview:</w:t>
      </w:r>
      <w:r>
        <w:rPr/>
        <w:t xml:space="preserve"> • The document shall define the business requirements for enabling Jaywan domestic card scheme and Jaywan co‑badged cards in alignment with CBUAE and Al Etihad Payments (AEP) mandates.</w:t>
        <w:br/>
        <w:t>• The document shall cover ATM transaction processing using Jaywan co‑badged debit cards, including domestic and international routing, authorisation, notifications, and posting.</w:t>
        <w:br/>
        <w:t>• The document shall reflect the high‑level regulatory requirement that licensed financial institutions shall issue Jaywan mono‑badged and Jaywan co‑badged cards and shall support domestic and international usage.</w:t>
        <w:br/>
        <w:t>• The document shall capture current documentation, discovery sessions, and query alignment activities between Business, IT, Finance and AEP as input to the target operating model.</w:t>
        <w:br/>
        <w:t>• The document shall focus on ensuring reduced domestic payment costs, secure and seamless payment experience, and readiness of the bank’s infrastructure to activate Jaywan locally and support global interoperability via co‑badging.</w:t>
      </w:r>
    </w:p>
    <w:p>
      <w:pPr>
        <w:pStyle w:val="Normal"/>
        <w:rPr/>
      </w:pPr>
      <w:r>
        <w:rPr/>
      </w:r>
    </w:p>
    <w:p>
      <w:pPr>
        <w:pStyle w:val="Normal"/>
        <w:rPr/>
      </w:pPr>
      <w:r>
        <w:rPr>
          <w:b/>
          <w:bCs/>
        </w:rPr>
        <w:t>Current constraints:</w:t>
      </w:r>
      <w:r>
        <w:rPr/>
        <w:t xml:space="preserve"> • Licensed financial institutions currently support primarily international schemes such as Visa and MasterCard for card issuance and transaction processing.</w:t>
        <w:br/>
        <w:t>• Existing dual messaging and DMS processes are documented for Visa (including e‑commerce and tokenisation) but not fully defined for Jaywan domestic scheme.</w:t>
        <w:br/>
        <w:t>• Current routing logic and switch configurations are optimised for existing international schemes and may not support Jaywan domestic vs international routing decisions.</w:t>
        <w:br/>
        <w:t>• Current reporting and reconciliation processes are defined for CBUAE and international schemes’ existing reports but may not cover Jaywan‑specific scheme reports and reconciliation requirements.</w:t>
        <w:br/>
        <w:t>• POS tokenised transactions and some aspects of reversals, refunds and chargebacks are still under clarification and may not yet fully incorporate Jaywan requirements.</w:t>
        <w:br/>
        <w:t>• There are pending clarifications required from AEP regarding detailed scheme rules, fees, dispute handling, and interoperability that constrain finalisation of some detailed requirements.</w:t>
      </w:r>
    </w:p>
    <w:p>
      <w:pPr>
        <w:pStyle w:val="Normal"/>
        <w:rPr/>
      </w:pPr>
      <w:r>
        <w:rPr/>
      </w:r>
    </w:p>
    <w:p>
      <w:pPr>
        <w:pStyle w:val="Normal"/>
        <w:rPr/>
      </w:pPr>
      <w:r>
        <w:rPr>
          <w:b/>
          <w:bCs/>
        </w:rPr>
        <w:t>Objective:</w:t>
      </w:r>
      <w:r>
        <w:rPr/>
        <w:t xml:space="preserve"> • The solution shall enable the bank to comply with the central government and CBUAE circular mandating issuance of Jaywan co‑badged cards by all licensed financial institutions.</w:t>
        <w:br/>
        <w:t>• The solution shall ensure that all new debit cards issued with Visa or MasterCard shall be co‑badged with Jaywan for domestic usage, in line with CBUAE mandate reference number 5480‑2024.</w:t>
        <w:br/>
        <w:t>• The solution shall ensure the ATM withdrawal process using Jaywan co‑badged debit cards is fully supported end‑to‑end, including PIN entry, amount capture, routing, authorisation, cash dispensation, receipt printing, SMS alerting and account posting.</w:t>
        <w:br/>
        <w:t>• The solution shall support accurate routing of transactions to Jaywan domestic scheme or international scheme based on domestic vs international transaction identification.</w:t>
        <w:br/>
        <w:t>• The solution shall support reduction of domestic payment costs while providing secure, seamless customer experience consistent with CBUAE and AEP standards.</w:t>
        <w:br/>
        <w:t>• The solution shall ensure that operational, reconciliation, reporting and dispute management processes are updated to incorporate Jaywan transactions across mono‑badged and co‑badged usage.</w:t>
        <w:br/>
        <w:t>• The solution shall ensure readiness for integration with digital wallets (e.g. Samsung Wallet, future Google Pay and Apple Pay) and cross‑border expansion where it is explicitly supported by Jaywan scheme, without contradicting the domestic mandate.</w:t>
      </w:r>
    </w:p>
    <w:p>
      <w:pPr>
        <w:pStyle w:val="Normal"/>
        <w:rPr/>
      </w:pPr>
      <w:r>
        <w:rPr/>
      </w:r>
    </w:p>
    <w:p>
      <w:pPr>
        <w:pStyle w:val="Normal"/>
        <w:rPr/>
      </w:pPr>
      <w:r>
        <w:rPr>
          <w:b/>
          <w:bCs/>
        </w:rPr>
        <w:t>In scope:</w:t>
      </w:r>
      <w:r>
        <w:rPr/>
        <w:t xml:space="preserve"> • Design and documentation of ATM withdrawal processing for Jaywan co‑badged debit cards including domestic and international routing via PowerCARD and core banking.</w:t>
        <w:br/>
        <w:t>• Configuration of card management and switching systems to identify Jaywan co‑badged cards and determine whether a transaction is domestic or international in accordance with scheme rules.</w:t>
        <w:br/>
        <w:t>• Implementation of authorisation flows for Jaywan domestic and international leg via co‑badged partner network, including approval, decline and time‑out handling.</w:t>
        <w:br/>
        <w:t>• Enablement of SMS alerts for successful and declined ATM withdrawal transactions initiated using Jaywan co‑badged debit cards.</w:t>
        <w:br/>
        <w:t>• End‑of‑day (EOD) posting of approved Jaywan ATM withdrawal transactions into customer accounts in core banking.</w:t>
        <w:br/>
        <w:t>• Support for CBUAE DMS processes for e‑commerce and tokenisation as a documented “to‑be” reference where they intersect with Jaywan card usage, where such references are available.</w:t>
        <w:br/>
        <w:t>• Inclusion of existing Visa dual messaging and DMS documentation as a conceptual reference for Jaywan DMS adoption, to the extent permitted by scheme information available.</w:t>
        <w:br/>
        <w:t>• Updates to reconciliation processes and reports to include Jaywan domestic and co‑badged ATM transactions, subject to receipt of formal scheme reporting formats from CBUAE/AEP.</w:t>
        <w:br/>
        <w:t>• Alignment sessions and documentation of requirements arising from discovery meetings focused on Jaywan mono‑badged and co‑badged card requirements.</w:t>
        <w:br/>
        <w:t>• High‑level non‑functional requirements covering availability, indicative capacity and performance expectations in line with current retail banking volumes where such estimates are available internally.</w:t>
      </w:r>
    </w:p>
    <w:p>
      <w:pPr>
        <w:pStyle w:val="Normal"/>
        <w:rPr/>
      </w:pPr>
      <w:r>
        <w:rPr/>
      </w:r>
    </w:p>
    <w:p>
      <w:pPr>
        <w:pStyle w:val="Normal"/>
        <w:rPr/>
      </w:pPr>
      <w:r>
        <w:rPr>
          <w:b/>
          <w:bCs/>
        </w:rPr>
        <w:t>Out of scope:</w:t>
      </w:r>
      <w:r>
        <w:rPr/>
        <w:t xml:space="preserve"> • Detailed scheme fee calculations, interchange rate configurations and settlement file layouts for Jaywan, where such information has not been formally provided by AEP or CBUAE in the available material.</w:t>
        <w:br/>
        <w:t>• Detailed functional design for POS, e‑commerce and tokenised POS transactions for Jaywan beyond those explicitly referenced as items to be considered in scope discussions.</w:t>
        <w:br/>
        <w:t>• Implementation details for Google Pay and Apple Pay enablement for Jaywan cards, as only indicative roadmap information is available and no detailed requirements are provided.</w:t>
        <w:br/>
        <w:t>• Detailed bilateral cross‑border usage scenarios (e.g. India or other countries) other than acknowledging that they will be supported by Jaywan at scheme level; specific flows, limits and fees are excluded until official documentation is provided.</w:t>
        <w:br/>
        <w:t>• Changes to non‑card products, non‑Jaywan card types, or unrelated digital banking channels that are not directly impacted by Jaywan mono‑badged or co‑badged requirements.</w:t>
        <w:br/>
        <w:t>• Internal vendor selection, commercial negotiations, or project management activities not forming part of business requirements.</w:t>
        <w:br/>
        <w:t>• Detailed training curricula, course content, or user manuals beyond high‑level training requirements.</w:t>
        <w:br/>
        <w:t>• Any assumptions, rules or data that are not explicitly supported by the provided contexts, CBUAE/AEP circulars or bank‑internal minutes as shared.</w:t>
      </w:r>
    </w:p>
    <w:p>
      <w:pPr>
        <w:pStyle w:val="Normal"/>
        <w:rPr/>
      </w:pPr>
      <w:r>
        <w:rPr/>
      </w:r>
    </w:p>
    <w:p>
      <w:pPr>
        <w:pStyle w:val="Normal"/>
        <w:rPr/>
      </w:pPr>
      <w:r>
        <w:rPr/>
      </w:r>
    </w:p>
    <w:p>
      <w:pPr>
        <w:pStyle w:val="Normal"/>
        <w:rPr>
          <w:b/>
          <w:bCs/>
        </w:rPr>
      </w:pPr>
      <w:r>
        <w:rPr>
          <w:b/>
          <w:bCs/>
        </w:rPr>
        <w:t>Business requirements</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Borders>
          <w:top w:val="single" w:sz="8" w:space="0" w:color="000000"/>
          <w:bottom w:val="single" w:sz="8" w:space="0" w:color="000000"/>
          <w:left w:val="single" w:sz="8" w:space="0" w:color="000000"/>
          <w:right w:val="single" w:sz="8" w:space="0" w:color="000000"/>
          <w:insideH w:val="single" w:sz="8" w:space="0" w:color="000000"/>
          <w:insideV w:val="single" w:sz="8" w:space="0" w:color="000000"/>
        </w:tblBorders>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BR-001</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 Compliance with CBUAE Mandate on Jaywan Co‑Badged Card Issuance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comply with the central government and CBUAE circular (mandate reference number 5480‑2024) requiring that all licensed financial institutions issue Jaywan co‑badged cards such that any new Visa or MasterCard debit cards shall be issued as co‑badged with Jaywan to support both domestic and international transactions.</w:t>
              <w:br/>
              <w:t>• The bank shall ensure that mono‑badged Jaywan cards are also offered where mandated or agreed, for domestic and GCC usage in line with AEP guidance.</w:t>
              <w:br/>
              <w:t>• The bank shall ensure that its card product catalogue, card BIN strategy and issuance processes reflect the Jaywan mono‑badged and co‑badged requirements as per AEP communications.</w:t>
              <w:br/>
              <w:t>• The bank shall ensure that its policies, procedures and customer communications are updated to reflect the regulatory requirement to support domestic transactions via Jaywan scheme.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Currently only international schemes (e.g. Visa, MasterCard) are issued without Jaywan co‑badging according to the information provided.</w:t>
              <w:br/>
              <w:t>• Currently there is no confirmed issuance of Jaywan mono‑badged or co‑badged cards by the bank as per the shared contexts.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The bank shall issue all newly mandated debit cards as Jaywan co‑badged cards (with Visa or MasterCard) in compliance with CBUAE circular 5480‑2024.</w:t>
              <w:br/>
              <w:t>• The bank shall configure appropriate Jaywan mono‑badged and co‑badged BIN ranges and related product parameters in the card management system.</w:t>
              <w:br/>
              <w:t>• The bank shall ensure that customer onboarding, card upgrade and replacement processes support migration from non‑Jaywan cards to Jaywan mono‑badged and co‑badged cards over time, in alignment with regulatory timelines.</w:t>
              <w:br/>
              <w:t>• The bank shall ensure that Jaywan co‑badged cards support domestic routing through Jaywan and international routing through the partner scheme based on the transaction location and scheme rules.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CBUAE circular and AEP scheme rules for Jaywan shall be formally received and published internally.</w:t>
              <w:br/>
              <w:t>• Jaywan BIN ranges and card profile specifications shall be provided by AEP.</w:t>
              <w:br/>
              <w:t>• Card management system and embossing/green‑card vendor shall support Jaywan badge personalisation.</w:t>
              <w:br/>
              <w:t>• Product, Legal and Compliance teams shall approve revised card product terms and conditions reflecting Jaywan enablement.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All newly issued debit cards that currently would have been issued as Visa or MasterCard only shall be confirmed in the card system as Jaywan co‑badged products.</w:t>
              <w:br/>
              <w:t>• Sample cards produced for testing shall display Jaywan badge in addition to the international scheme badge where co‑badged.</w:t>
              <w:br/>
              <w:t>• Regulatory Compliance shall provide sign‑off that the implemented issuance setup fulfils CBUAE circular 5480‑2024 requirements based on documented evidence.</w:t>
              <w:br/>
              <w:t>• Product catalogue and operational procedures shall reference Jaywan mono‑badged and co‑badged cards, as verified by internal audit or equivalent control function.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CBUAE or AEP issue updated guidance changing the co‑badging rules, the bank shall update the issuance configuration accordingly following internal change control.</w:t>
              <w:br/>
              <w:t>• If AEP delays readiness of Jaywan for a particular card type or BIN, the bank shall continue issuing the existing scheme temporarily, with an agreed migration plan once Jaywan is enabled.</w:t>
              <w:br/>
              <w:t>• If specific customer segments are exempted by regulation from Jaywan co‑badging (not stated in current material), such exemptions shall be handled via product configuration once formally documented.</w:t>
              <w:br/>
              <w:t>• If the card management system cannot support co‑badging for a legacy portfolio, the bank shall define a phased migration plan subject to system upgrade, with clear documentation of temporary deviations from the mandate for approval by Compliance.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"Jaywan: UAE's new domestic card payment scheme; all your questions answered" – Al Etihad Payments / CBUAE Circular – sections summarising mandate to licensed financial institutions to launch Jaywan co‑badged cards and support domestic and international usage, including reference to central bank mandate number 5480‑2024.</w:t>
              <w:br/>
              <w:t>• "Jaywan – the UAE's First Domestic Card Scheme Introduced to Strengthen the UAE's Position as a Global Hub for Digital Payments" – sections on readiness of financial infrastructure and requirement for licensed financial institutions to offer mono‑badge and co‑badge options.</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Borders>
          <w:top w:val="single" w:sz="8" w:space="0" w:color="000000"/>
          <w:bottom w:val="single" w:sz="8" w:space="0" w:color="000000"/>
          <w:left w:val="single" w:sz="8" w:space="0" w:color="000000"/>
          <w:right w:val="single" w:sz="8" w:space="0" w:color="000000"/>
          <w:insideH w:val="single" w:sz="8" w:space="0" w:color="000000"/>
          <w:insideV w:val="single" w:sz="8" w:space="0" w:color="000000"/>
        </w:tblBorders>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BR-002</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 Identification of Domestic vs International ATM Transactions for Jaywan Co‑Badged Cards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ensure that the switching and card processing environment (including core banking and PowerCARD) shall identify whether an ATM withdrawal transaction performed using a Jaywan co‑badged debit card is domestic or international in accordance with Jaywan and partner scheme rules.</w:t>
              <w:br/>
              <w:t>• The bank shall ensure that the determination of domestic vs international is based on objective data elements such as acquiring country, currency and card BIN/scheme parameters as defined by Jaywan and co‑badged partner network documentation.</w:t>
              <w:br/>
              <w:t>• The bank shall ensure that once the domestic vs international determination is made, routing shall follow the appropriate scheme (Jaywan for domestic, partner scheme for international) without manual intervention.</w:t>
              <w:br/>
              <w:t>• The bank shall ensure that this determination occurs after the ATM captures card details, PIN and amount and before authorisation is requested from the relevant scheme or host.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Currently domestic vs international determination and routing is implemented for existing schemes such as Visa and MasterCard according to the dual messaging environment, but Jaywan specific identification is not described as implemented.</w:t>
              <w:br/>
              <w:t>• Currently Jaywan domestic scheme is not yet part of the bank’s production routing configuration according to the available contexts.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When an ATM transaction is initiated using a Jaywan co‑badged debit card, the acquiring and switching environment shall identify whether the transaction is domestic (within UAE and applicable GCC where designated as domestic by Jaywan) or international.</w:t>
              <w:br/>
              <w:t>• For domestic ATM withdrawals, the transaction shall be routed to Jaywan scheme and then to the bank’s host according to Jaywan scheme rules.</w:t>
              <w:br/>
              <w:t>• For international ATM withdrawals, the transaction shall be routed through the co‑badged international scheme (Visa or MasterCard) following that scheme’s rules while still using the same physical co‑badged card.</w:t>
              <w:br/>
              <w:t>• The routing decision and related flags shall be logged for reconciliation, reporting and dispute management purposes.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Jaywan scheme technical documentation on domestic vs international identification rules shall be available.</w:t>
              <w:br/>
              <w:t>• PowerCARD and any intermediate switch shall be configured to recognise Jaywan BINs and co‑badged configurations.</w:t>
              <w:br/>
              <w:t>• Country and currency tables shall be updated to support correct domestic vs international mapping as per CBUAE and AEP guidance.</w:t>
              <w:br/>
              <w:t>• Network connectivity with Jaywan and relevant international schemes shall be established and tested.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Test cases where a Jaywan co‑badged card is used at an ATM in UAE shall result in routing to Jaywan scheme and correct domestic authorisation.</w:t>
              <w:br/>
              <w:t>• Test cases where the same co‑badged card is used at an ATM outside UAE (where connected via partner scheme) shall result in routing via the international scheme and correct international authorisation.</w:t>
              <w:br/>
              <w:t>• Transaction logs shall clearly show a domestic/international indicator and the scheme used for routing.</w:t>
              <w:br/>
              <w:t>• Reconciliation reports shall demonstrate that domestic Jaywan ATM transactions are settled via Jaywan and international ones via the partner scheme, without mis‑routing.</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domestic vs international identification fails due to missing or inconsistent data, the system shall default to a predefined safe behaviour (e.g. decline with an appropriate response code) until routing rules can be clarified, subject to Risk and Compliance approval.</w:t>
              <w:br/>
              <w:t>• If Jaywan network is unavailable for domestic transactions, and no regulatory authorisation exists to route domestic transactions via an international scheme, the ATM shall decline the transaction with a Jaywan‑specific network error code.</w:t>
              <w:br/>
              <w:t>• If an ATM located in GCC but enabled for Jaywan mono‑badge usage sends a transaction with ambiguous location information, the bank shall handle it as per Jaywan scheme instructions once formally received.</w:t>
              <w:br/>
              <w:t>• If configuration changes result in contradictory routing for a subset of BINs, monitoring alerts shall be raised and transactions shall be temporarily blocked for those BINs until corrected.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"Jaywan – the UAE's First Domestic Card Scheme Introduced to Strengthen the UAE's Position as a Global Hub for Digital Payments" – sections on licensed financial institutions offering mono‑badge cards for local and GCC usage and co‑badge cards for local and international usage.</w:t>
              <w:br/>
              <w:t>• Internal meeting minutes on dual messaging system and CBUAE DMS (Current VISA DMS, CBUAE DMS To‑Be) where routing and messaging behaviour is referenced for adaptation to Jaywan.</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Borders>
          <w:top w:val="single" w:sz="8" w:space="0" w:color="000000"/>
          <w:bottom w:val="single" w:sz="8" w:space="0" w:color="000000"/>
          <w:left w:val="single" w:sz="8" w:space="0" w:color="000000"/>
          <w:right w:val="single" w:sz="8" w:space="0" w:color="000000"/>
          <w:insideH w:val="single" w:sz="8" w:space="0" w:color="000000"/>
          <w:insideV w:val="single" w:sz="8" w:space="0" w:color="000000"/>
        </w:tblBorders>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BR-003</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 End‑to‑End ATM Withdrawal Flow for Jaywan Co‑Badged Debit Cards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ATM channel, core banking system and PowerCARD shall jointly support an end‑to‑end ATM withdrawal process for Jaywan co‑badged debit cards comprising customer card insertion, PIN entry, amount entry, routing to appropriate scheme, authorisation, cash dispensing, card return, receipt printing, SMS notification and account posting in accordance with the BA process instructions.</w:t>
              <w:br/>
              <w:t>• The bank shall ensure that approved transactions shall result in cash dispensation and EOD posting, while declined transactions shall not result in any account posting but shall still generate decline notifications and card return.</w:t>
              <w:br/>
              <w:t>• The bank shall ensure that the entire flow shall comply with CBUAE security, customer protection and operational risk expectations for ATM operations.</w:t>
              <w:br/>
              <w:t>• The bank shall ensure that the machine‑level behaviour (cash dispense, card capture/return, receipt) shall be consistent across all ATMs connected to the bank’s network for Jaywan co‑badged cards.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The bank currently supports ATM withdrawal flows for existing scheme cards (e.g. Visa, MasterCard) using dual messaging and host authorisation.</w:t>
              <w:br/>
              <w:t>• A documented process exists for current SMS for ATM and POS and for current Visa DMS for e‑commerce and tokenisation transactions, but not specifically for Jaywan co‑badged ATM transactions.</w:t>
              <w:br/>
              <w:t>• Jaywan co‑badged ATM processing flow, including scheme‑specific behaviour, is a new capability.</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For Jaywan co‑badged debit cards, the ATM shall capture card details, prompt for PIN, prompt for withdrawal amount and send the transaction to the core banking system via switching infrastructure.</w:t>
              <w:br/>
              <w:t>• The core banking system shall forward the transaction to PowerCARD, which shall determine domestic vs international and route to Jaywan or the partner scheme for authorisation.</w:t>
              <w:br/>
              <w:t>• If approved, the ATM shall dispense the requested cash, return the card to the customer, print a receipt and trigger an SMS alert, and the approved transaction shall be posted to the customer’s account at EOD.</w:t>
              <w:br/>
              <w:t>• If declined, the ATM shall not dispense cash, shall return the card, shall display a decline message and trigger an SMS decline alert, and no financial posting shall occur in the customer’s account.</w:t>
              <w:br/>
              <w:t>• The system shall maintain full transaction audit trail across ATM, core banking and PowerCARD for both approvals and declines.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ATM software and switch shall be upgraded or configured to recognise Jaywan co‑badged card parameters.</w:t>
              <w:br/>
              <w:t>• Core banking and PowerCARD integration shall be in place with appropriate interfaces for authorisation and posting.</w:t>
              <w:br/>
              <w:t>• SMS gateway integration with transaction alerts shall be active and configured for Jaywan card products.</w:t>
              <w:br/>
              <w:t>• Cash management, GL mapping and EOD batch processes shall be updated to handle Jaywan ATM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End‑to‑end tests of successful ATM withdrawals using Jaywan co‑badged debit cards shall show correct cash dispensation, receipt printing, SMS alert and EOD account posting.</w:t>
              <w:br/>
              <w:t>• End‑to‑end tests of declined ATM withdrawals (e.g. insufficient funds or wrong PIN) using Jaywan co‑badged debit cards shall show no cash dispensation, card return, correct on‑screen message, SMS decline alert and no account posting.</w:t>
              <w:br/>
              <w:t>• Transaction logs and audit trails shall show consistent transaction IDs and status across ATM, core banking and PowerCARD.</w:t>
              <w:br/>
              <w:t>• Operational teams shall confirm that daily EOD runs include Jaywan ATM transactions in standard posting and reconciliation controls without manual workarounds.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the customer enters an incorrect PIN, the system shall decline the transaction and follow the declined transaction behaviour including SMS and no posting; repeated incorrect PIN attempts shall trigger card blocking according to existing bank PIN policy.</w:t>
              <w:br/>
              <w:t>• If the ATM runs out of cash after authorisation but before dispensing, the ATM shall initiate or simulate a reversal in line with scheme rules; operational procedures shall ensure reconciliation and reversal posting during EOD.</w:t>
              <w:br/>
              <w:t>• If the network connection between ATM and host is interrupted, the ATM shall handle the transaction as per existing offline or time‑out rules, ensuring no double posting and appropriate customer messaging.</w:t>
              <w:br/>
              <w:t>• If the receipt printer fails, the ATM shall still process the transaction and display on‑screen confirmation, with the transaction still recorded and SMS sent, but no physical receipt.</w:t>
              <w:br/>
              <w:t>• If SMS gateway is unavailable, the transaction shall continue, but SMS alerts shall be queued or skipped according to bank notification policy, without impacting authorisation and posting.</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BA Process Instructions provided in the request describing ATM withdrawal flow with Jaywan co‑badged debit card.</w:t>
              <w:br/>
              <w:t>• Internal meeting minutes on Dual Messaging System, current SMS process (ATM, POS) and CBUAE DMS to‑be documentation.</w:t>
              <w:br/>
              <w:t>• "Jaywan – the UAE's First Domestic Card Scheme Introduced to Strengthen the UAE's Position as a Global Hub for Digital Payments" – overall readiness of financial infrastructure for Jaywan.</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Borders>
          <w:top w:val="single" w:sz="8" w:space="0" w:color="000000"/>
          <w:bottom w:val="single" w:sz="8" w:space="0" w:color="000000"/>
          <w:left w:val="single" w:sz="8" w:space="0" w:color="000000"/>
          <w:right w:val="single" w:sz="8" w:space="0" w:color="000000"/>
          <w:insideH w:val="single" w:sz="8" w:space="0" w:color="000000"/>
          <w:insideV w:val="single" w:sz="8" w:space="0" w:color="000000"/>
        </w:tblBorders>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BR-004</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 SMS Alerts for Jaywan Co‑Badged ATM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generate SMS alerts for all Jaywan co‑badged ATM withdrawal transactions, covering both approved and declined transactions, consistent with current SMS practices for ATM transactions.</w:t>
              <w:br/>
              <w:t>• The bank shall ensure that approval SMS messages shall include key transaction information such as masked card identifier, channel (ATM), amount, currency and high‑level location descriptor where available, in line with existing SMS standards.</w:t>
              <w:br/>
              <w:t>• The bank shall ensure that decline SMS messages shall indicate that the transaction was declined and shall not imply any account debit when no posting occurred.</w:t>
              <w:br/>
              <w:t>• The bank shall ensure that SMS notifications for Jaywan transactions comply with CBUAE guidelines on customer communication and data protection.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Current SMS processes exist for ATM and POS transactions as per the documented process flows, focused on existing scheme cards.</w:t>
              <w:br/>
              <w:t>• Jaywan‑specific differentiation within SMS content is not explicitly described in the existing processes.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When a Jaywan co‑badged ATM withdrawal is approved, the SMS engine shall send a success notification to the customer’s registered mobile number based on real‑time or near real‑time transaction feed.</w:t>
              <w:br/>
              <w:t>• When a Jaywan co‑badged ATM withdrawal is declined, the SMS engine shall send a decline notification stating that no amount has been debited from the account.</w:t>
              <w:br/>
              <w:t>• Jaywan transactions shall be included in the same monitoring and exception handling processes used for existing ATM SMS notifications.</w:t>
              <w:br/>
              <w:t>• Any Jaywan scheme‑specific textual requirements for notifications, once provided, shall be reflected in the SMS templates.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Customer shall have a valid and active mobile number registered in the bank’s system for SMS alerts.</w:t>
              <w:br/>
              <w:t>• SMS gateway and notification system shall be integrated with transaction processing systems and support Jaywan card identifiers.</w:t>
              <w:br/>
              <w:t>• Compliance and Legal shall approve SMS templates for Jaywan transactions.</w:t>
              <w:br/>
              <w:t>• Core banking or switching systems shall flag Jaywan transactions correctly in transaction feeds used for notifications.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For approved Jaywan ATM withdrawals, test customers shall receive SMS alerts containing correct amount, date and channel information within defined time thresholds.</w:t>
              <w:br/>
              <w:t>• For declined Jaywan ATM withdrawals, test customers shall receive SMS alerts clearly indicating decline and no debit.</w:t>
              <w:br/>
              <w:t>• Logs in the SMS system shall show successful dispatch for at least 99 percent of eligible Jaywan ATM transactions during test cycles, in line with existing KPI targets.</w:t>
              <w:br/>
              <w:t>• Internal Compliance shall confirm that SMS content for Jaywan transactions adheres to CBUAE customer communication guidelines.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the customer has opted out of SMS notifications as per bank policy, no SMS shall be sent for Jaywan transactions, and this shall align with existing opt‑out handling.</w:t>
              <w:br/>
              <w:t>• If the SMS gateway is down, queued messages for Jaywan transactions shall be retried according to existing retry policies; if retries fail, alerts may not be delivered but this shall not affect transaction posting.</w:t>
              <w:br/>
              <w:t>• If the mobile number in records is invalid or inactive, the SMS shall fail delivery; system monitoring shall treat this in line with existing practice, without blocking the transaction itself.</w:t>
              <w:br/>
              <w:t>• If a transaction is reversed at EOD due to an operational or technical issue, any corrective SMS communication shall follow the bank’s standard reversal notification process once defined for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Internal context on documented process flow for current SMS (ATM, POS) as referenced in the meeting notes.</w:t>
              <w:br/>
              <w:t>• BA Process Instructions requiring SMS alerts for transaction approval and decline events.</w:t>
              <w:br/>
              <w:t>• CBUAE general expectations for secure and seamless payment experience and customer awareness as referenced in Jaywan related circulars.</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Borders>
          <w:top w:val="single" w:sz="8" w:space="0" w:color="000000"/>
          <w:bottom w:val="single" w:sz="8" w:space="0" w:color="000000"/>
          <w:left w:val="single" w:sz="8" w:space="0" w:color="000000"/>
          <w:right w:val="single" w:sz="8" w:space="0" w:color="000000"/>
          <w:insideH w:val="single" w:sz="8" w:space="0" w:color="000000"/>
          <w:insideV w:val="single" w:sz="8" w:space="0" w:color="000000"/>
        </w:tblBorders>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BR-005</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 EOD Posting and GL Mapping for Jaywan ATM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ensure that all approved Jaywan co‑badged ATM withdrawal transactions are posted to customer accounts during end‑of‑day (EOD) batch processing in core banking.</w:t>
              <w:br/>
              <w:t>• The bank shall ensure that GL accounts required for Jaywan ATM transactions are defined and mapped based on confirmations from the Finance team.</w:t>
              <w:br/>
              <w:t>• The bank shall ensure that no financial postings are created for declined Jaywan ATM attempts, while still maintaining non‑financial logs for audit and reporting.</w:t>
              <w:br/>
              <w:t>• The bank shall ensure that reconciliation between transaction logs, GL entries, and scheme settlement files for Jaywan is supported by appropriate documentation and processes.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GL details for current card operations are in place and confirmed ready by Finance according to meeting notes, but Jaywan‑specific usage is implied rather than detailed.</w:t>
              <w:br/>
              <w:t>• Current EOD posting processes exist for existing scheme ATM transactions.</w:t>
              <w:br/>
              <w:t>• Jaywan ATM posting and GL usage are treated as a new capability built on top of existing infrastructure.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For each approved Jaywan ATM withdrawal, core banking shall create a financial debit entry in the customer account at EOD based on authorised amount and applicable fees as per defined product rules.</w:t>
              <w:br/>
              <w:t>• The system shall use predefined GL accounts specific to or inclusive of Jaywan, as agreed with Finance, for cash, suspense and fee postings.</w:t>
              <w:br/>
              <w:t>• Declined Jaywan transactions shall be recorded as non‑financial entries suitable for monitoring and dispute analysis, without GL impact.</w:t>
              <w:br/>
              <w:t>• Reconciliation documentation shall be produced describing how Jaywan ATM transactions flow from authorisation logs to GL postings and scheme settlement.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Finance shall confirm GL account structures and mappings for Jaywan‑related postings.</w:t>
              <w:br/>
              <w:t>• EOD batch processes shall be updated or confirmed to include Jaywan transaction types and product codes.</w:t>
              <w:br/>
              <w:t>• Reconciliation team shall define documentation requirements and reporting templates for Jaywan.</w:t>
              <w:br/>
              <w:t>• Integration with PowerCARD and any intermediate systems shall support transmission of required data elements to core banking for posting.</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Sample EOD runs with test Jaywan ATM transactions shall show correct debit postings to customer accounts and corresponding GL entries.</w:t>
              <w:br/>
              <w:t>• No GL postings shall be created for declined Jaywan ATM transactions, as validated through transaction and GL reports.</w:t>
              <w:br/>
              <w:t>• Reconciliation test cycles shall demonstrate that the sum of Jaywan ATM authorisations matches EOD postings and settlement files within acceptable tolerance.</w:t>
              <w:br/>
              <w:t>• Finance shall formally sign off on GL mapping and posting logic for Jaywan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an approved Jaywan ATM transaction fails to post at EOD due to batch error, the system shall flag the transaction for manual or automated reprocessing in accordance with existing exception handling procedures.</w:t>
              <w:br/>
              <w:t>• If a reversal is initiated due to partial dispense or ATM fault, reversal postings shall be processed in the subsequent batch using standard reversal GL mappings.</w:t>
              <w:br/>
              <w:t>• If Finance later re‑structures GL accounts, configuration for Jaywan transactions shall be updated through controlled change management, with regression testing.</w:t>
              <w:br/>
              <w:t>• If reconciliation identifies mismatches between scheme settlement and GL totals for Jaywan, investigation and correction shall follow the bank’s standard break management process.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Internal meeting notes referencing that GL details are ready based on confirmation from Finance.</w:t>
              <w:br/>
              <w:t>• Internal communications requesting documentation on reconciliation related to CBUAE reports.</w:t>
              <w:br/>
              <w:t>• BA Process Instructions describing EOD updates to customer accounts for approved ATM withdrawals.</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Borders>
          <w:top w:val="single" w:sz="8" w:space="0" w:color="000000"/>
          <w:bottom w:val="single" w:sz="8" w:space="0" w:color="000000"/>
          <w:left w:val="single" w:sz="8" w:space="0" w:color="000000"/>
          <w:right w:val="single" w:sz="8" w:space="0" w:color="000000"/>
          <w:insideH w:val="single" w:sz="8" w:space="0" w:color="000000"/>
          <w:insideV w:val="single" w:sz="8" w:space="0" w:color="000000"/>
        </w:tblBorders>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BR-006</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 Documentation of Dual Messaging and CBUAE DMS Processes for Jaywan Alignment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document the existing dual messaging system (DMS) process steps for current schemes (e.g. Visa) and define a target state for CBUAE DMS for e‑commerce and tokenisation transactions, to serve as reference for Jaywan adoption where applicable.</w:t>
              <w:br/>
              <w:t>• The bank shall review and enhance the documented process flows for current SMS, current Visa DMS (Visa e‑commerce and tokenisation) and CBUAE DMS (to‑be) to explicitly highlight touchpoints where Jaywan mono‑badged and co‑badged transactions will be impacted.</w:t>
              <w:br/>
              <w:t>• The bank shall ensure that queries raised in the meetings between Card Operations, GBO‑ATM/CDM, Business and IT regarding DMS and adoption for Jaywan are tracked and, once answered by AEP, incorporated into updated process documentation.</w:t>
              <w:br/>
              <w:t>• The bank shall maintain updated process documentation as a controlled artefact available to Operations, IT and Compliance for reference and audit.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Dual messaging system process steps have been reviewed with Card Operations and GBO‑ATM/CDM for existing schemes.</w:t>
              <w:br/>
              <w:t>• Process flows for current SMS (ATM, POS), current Visa DMS (e‑commerce and tokenisation) and CBUAE DMS (to‑be) have been documented, but Jaywan‑specific integration is still under analysis.</w:t>
              <w:br/>
              <w:t>• Queries are still being consolidated and sent to AEP for clarification.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The bank shall update existing DMS and related process documentation to incorporate Jaywan scheme usage for relevant transaction types once scheme rules are clarified.</w:t>
              <w:br/>
              <w:t>• The bank shall ensure that process documents for Jaywan include clear swim‑lanes or responsibility markers for Business, IT, Operations, Finance and AEP interfaces.</w:t>
              <w:br/>
              <w:t>• The bank shall ensure that approved Jaywan DMS process documentation is stored in the designated document management system with version control.</w:t>
              <w:br/>
              <w:t>• The bank shall ensure that any future changes in CBUAE or AEP mandates related to Jaywan DMS are reflected in updated documentation within agreed timelines.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Existing DMS and SMS process documentation shall be accessible to the project team.</w:t>
              <w:br/>
              <w:t>• AEP shall provide sufficient scheme documentation and responses to bank queries.</w:t>
              <w:br/>
              <w:t>• Business and IT owners shall be identified for sign‑off on updated process documentation.</w:t>
              <w:br/>
              <w:t>• Document management standards for controlled procedures shall be in place.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Updated process documents shall clearly describe end‑to‑end flows for Jaywan related DMS usage where applicable, referencing CBUAE and AEP requirements.</w:t>
              <w:br/>
              <w:t>• Stakeholders from Business, IT, Operations and Compliance shall sign off on updated DMS process documentation.</w:t>
              <w:br/>
              <w:t>• Internal and external audits shall confirm that the latest approved version of Jaywan DMS documentation is available and used operationally.</w:t>
              <w:br/>
              <w:t>• All open items and queries recorded in meeting minutes shall either be resolved and incorporated or tracked in an issue log with clear status.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AEP does not provide all required details for specific DMS scenarios, the bank shall document these as open issues and define interim controls or limitations until full information is obtained.</w:t>
              <w:br/>
              <w:t>• If CBUAE issues updated standards for DMS that impact Jaywan, the bank shall trigger a documentation review and update cycle in coordination with relevant stakeholders.</w:t>
              <w:br/>
              <w:t>• If internal stakeholders disagree on a process design element, an escalation path to governance forums shall be followed, and final decision shall be documented.</w:t>
              <w:br/>
              <w:t>• If certain DMS features are not technically feasible on current platforms, workaround processes or phased implementation notes shall be included in the documentation.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Internal email and minutes titled "TCS Confidential" summarising meeting overview and reference to attached current progress and queries.</w:t>
              <w:br/>
              <w:t>• Meeting notes referencing review of dual messaging system process steps and documented process flows for current SMS, current Visa DMS and CBUAE DMS (to‑be).</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Borders>
          <w:top w:val="single" w:sz="8" w:space="0" w:color="000000"/>
          <w:bottom w:val="single" w:sz="8" w:space="0" w:color="000000"/>
          <w:left w:val="single" w:sz="8" w:space="0" w:color="000000"/>
          <w:right w:val="single" w:sz="8" w:space="0" w:color="000000"/>
          <w:insideH w:val="single" w:sz="8" w:space="0" w:color="000000"/>
          <w:insideV w:val="single" w:sz="8" w:space="0" w:color="000000"/>
        </w:tblBorders>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BR-007</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 Inclusion of POS Tokenised Transactions in Jaywan Scope Assessment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assess whether POS tokenised transactions shall be included in the scope of Jaywan mono‑badged and co‑badged adoption, as raised in internal discussions.</w:t>
              <w:br/>
              <w:t>• The bank shall ensure that any decision to include POS tokenised transactions within Jaywan scope is supported by scheme documentation and regulatory guidance.</w:t>
              <w:br/>
              <w:t>• The bank shall ensure that once in scope, POS tokenised Jaywan transactions are aligned with CBUAE DMS and existing Visa DMS handling for e‑commerce and tokenisation, where relevant.</w:t>
              <w:br/>
              <w:t>• The bank shall document the agreed approach and any limitations regarding tokenised POS transactions for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POS tokenised transactions are currently noted as an item that may need to be in scope, as per meeting notes, but no confirmed decision or implementation is described.</w:t>
              <w:br/>
              <w:t>• Existing POS tokenisation processes are designed around current schemes such as Visa, not explicitly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The bank shall decide, with input from AEP and CBUAE, whether Jaywan shall support POS tokenised transactions in the bank’s environment.</w:t>
              <w:br/>
              <w:t>• If included, the bank shall configure card management, switching and DMS processes so that Jaywan tokenised POS transactions follow secure token lifecycle management and proper routing.</w:t>
              <w:br/>
              <w:t>• The bank shall ensure that customer experience for tokenised Jaywan POS transactions is equivalent to or better than existing scheme behaviour once implemented.</w:t>
              <w:br/>
              <w:t>• The bank shall reflect the decision, design and any constraints in formal process documentation and requirements baselines.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Clarification from AEP and CBUAE on Jaywan support for tokenised POS transactions.</w:t>
              <w:br/>
              <w:t>• Review of current tokenisation platform capabilities for handling additional scheme tokens.</w:t>
              <w:br/>
              <w:t>• Agreement between Business, IT and Risk on security and risk controls for tokenised Jaywan transactions.</w:t>
              <w:br/>
              <w:t>• Updated contracts and technical specifications with any third‑party token service providers, where relevant.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A documented decision (in or out of scope) for POS tokenised Jaywan transactions shall be approved by Business and Compliance.</w:t>
              <w:br/>
              <w:t>• If in scope, test tokenised Jaywan POS transactions shall be processed successfully through the end‑to‑end flow including authorisation and posting.</w:t>
              <w:br/>
              <w:t>• Security assessment shall confirm that tokenisation and de‑tokenisation for Jaywan transactions meet bank and CBUAE standards.</w:t>
              <w:br/>
              <w:t>• Process documentation shall clearly describe how Jaywan POS tokenised transactions are handled, or explicitly note their exclusion.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Jaywan does not support POS tokenised transactions at the current stage, the bank shall keep such transactions on existing schemes until scheme support is introduced.</w:t>
              <w:br/>
              <w:t>• If partial support exists (e.g. only in certain wallets such as Samsung Wallet), the bank shall restrict token usage accordingly and inform customers where necessary.</w:t>
              <w:br/>
              <w:t>• If tokenisation platform capacity is insufficient for additional Jaywan tokens, implementation shall be deferred or scaled based on capacity upgrade plans.</w:t>
              <w:br/>
              <w:t>• If scheme rules for tokenisation conflict with existing processes, an impact assessment and remediation plan shall be documented before go‑live.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Internal meeting notes stating that POS tokenised transactions may need to be in scope.</w:t>
              <w:br/>
              <w:t>• CBUAE and AEP communications on readiness of the financial infrastructure for digital payments and wallet integrations such as Samsung Wallet.</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Borders>
          <w:top w:val="single" w:sz="8" w:space="0" w:color="000000"/>
          <w:bottom w:val="single" w:sz="8" w:space="0" w:color="000000"/>
          <w:left w:val="single" w:sz="8" w:space="0" w:color="000000"/>
          <w:right w:val="single" w:sz="8" w:space="0" w:color="000000"/>
          <w:insideH w:val="single" w:sz="8" w:space="0" w:color="000000"/>
          <w:insideV w:val="single" w:sz="8" w:space="0" w:color="000000"/>
        </w:tblBorders>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BR-008</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 Reporting and Reconciliation for Jaywan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establish reporting capabilities to support CBUAE, AEP and internal stakeholders for Jaywan mono‑badged and co‑badged card transactions, including ATM activity.</w:t>
              <w:br/>
              <w:t>• The bank shall obtain and use original CBUAE or AEP reports as reference templates for Jaywan reporting where made available.</w:t>
              <w:br/>
              <w:t>• The bank shall provide reconciliation documentation and processes that cover Jaywan transaction flows, GL postings and settlement files.</w:t>
              <w:br/>
              <w:t>• The bank shall ensure that reports are produced with required frequency, level of detail and distribution per regulatory guidance for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Queries have been clarified with Business and original reports from CBUAE have been shared, as indicated in meeting notes.</w:t>
              <w:br/>
              <w:t>• Requests have been raised for documentation on reconciliation, implying that existing documentation may be incomplete for Jaywan.</w:t>
              <w:br/>
              <w:t>• Current reporting and reconciliation are designed for existing schemes and CBUAE requirements in general, not specifically for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The bank shall enhance reporting frameworks to include Jaywan specific dimensions such as scheme identifier, domestic vs international indicator, mono‑badge vs co‑badge, and relevant fee components when available.</w:t>
              <w:br/>
              <w:t>• The bank shall implement reconciliation routines that match Jaywan authorisations, clearings, GL entries and settlement files, based on original CBUAE or AEP formats.</w:t>
              <w:br/>
              <w:t>• The bank shall define and generate periodic internal management reports showing volumes, values and key KPIs for Jaywan usage.</w:t>
              <w:br/>
              <w:t>• The bank shall ensure that regulatory reports related to Jaywan are submitted in line with timelines and formats specified by CBUAE.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Receipt of official CBUAE and/or AEP report formats for Jaywan.</w:t>
              <w:br/>
              <w:t>• Agreement between Finance, Operations and Compliance on report content and reconciliation scope.</w:t>
              <w:br/>
              <w:t>• Data warehouse or reporting platform shall be able to capture Jaywan‑specific fields.</w:t>
              <w:br/>
              <w:t>• Reconciliation tools shall be configured to ingest scheme files and internal transaction data for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Test generation of Jaywan reports shall produce output aligned to original CBUAE or AEP templates shared with the bank.</w:t>
              <w:br/>
              <w:t>• Reconciliation test runs shall successfully match at least 99 percent of sample Jaywan transactions between internal systems and scheme files, with exceptions logged.</w:t>
              <w:br/>
              <w:t>• Operations and Finance shall sign off on the adequacy of reconciliation documentation and processes for Jaywan.</w:t>
              <w:br/>
              <w:t>• Regulatory reporting for Jaywan shall be submitted within agreed timelines without material data quality issues, as confirmed by Compliance.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original report formats from CBUAE for Jaywan are delayed, the bank shall maintain interim internal reports based on best available information, clearly marked as interim.</w:t>
              <w:br/>
              <w:t>• If scheme settlement files contain unexpected fields or structures, the bank shall update mapping logic through change control before using them for automated reconciliation.</w:t>
              <w:br/>
              <w:t>• If reconciliation breaks exceed agreed thresholds, additional controls such as manual review or temporary volume limits may be introduced until the root cause is resolved.</w:t>
              <w:br/>
              <w:t>• If regulatory reporting requirements for Jaywan change, the bank shall update report definitions and schedules accordingly as part of regulatory change management.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Meeting notes referencing that queries with Business have been clarified and that original report from CBUAE has been shared.</w:t>
              <w:br/>
              <w:t>• Meeting notes indicating that documentation on reconciliation has been requested.</w:t>
              <w:br/>
              <w:t>• CBUAE and AEP public material on readiness of financial infrastructure and scheme monitoring requirements.</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Borders>
          <w:top w:val="single" w:sz="8" w:space="0" w:color="000000"/>
          <w:bottom w:val="single" w:sz="8" w:space="0" w:color="000000"/>
          <w:left w:val="single" w:sz="8" w:space="0" w:color="000000"/>
          <w:right w:val="single" w:sz="8" w:space="0" w:color="000000"/>
          <w:insideH w:val="single" w:sz="8" w:space="0" w:color="000000"/>
          <w:insideV w:val="single" w:sz="8" w:space="0" w:color="000000"/>
        </w:tblBorders>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BR-009</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 Stakeholder Discovery Sessions for Jaywan Mono‑Badged and Co‑Badged Requirements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conduct structured discovery sessions focusing on additional requirements for Jaywan mono‑badged cards and Jaywan co‑badged cards as scheduled in the provided meeting table.</w:t>
              <w:br/>
              <w:t>• The bank shall use these sessions to identify issuance, transaction processing, settlement, dispute, reporting, security and customer experience requirements specific to Jaywan products.</w:t>
              <w:br/>
              <w:t>• The bank shall document all outcomes, decisions and open points from these sessions for incorporation into the final BRS and subsequent design documents.</w:t>
              <w:br/>
              <w:t>• The bank shall ensure participation from relevant Business, IT, Operations, Finance and Vendor stakeholders in these discovery sessions.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A discovery session schedule exists for additional requirements related to Jaywan mono‑badged and co‑badged cards, including dates and time slots.</w:t>
              <w:br/>
              <w:t>• Initial meetings between Business, IT and other stakeholders such as Card Ops and GBO‑ATM/CDM have been conducted, and minutes have been distributed.</w:t>
              <w:br/>
              <w:t>• Some requirements and queries remain under discussion.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All planned discovery sessions shall be completed according to the published schedule or with documented rescheduling where necessary.</w:t>
              <w:br/>
              <w:t>• Outputs from each discovery session shall be consolidated into an agreed requirements backlog for Jaywan mono‑badged and co‑badged cards.</w:t>
              <w:br/>
              <w:t>• Conflicting viewpoints identified during discovery shall be escalated and resolved via appropriate governance forums, with decisions documented.</w:t>
              <w:br/>
              <w:t>• The final BRS and future change requests shall explicitly reference discovery session outcomes as their requirement source.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Meeting invitations, agendas and supporting materials shall be distributed to attendees before each discovery session.</w:t>
              <w:br/>
              <w:t>• Key stakeholders such as Business owners, IT leads, Card Operations, Finance and scheme representatives (where possible) shall be identified.</w:t>
              <w:br/>
              <w:t>• A standard template for capturing minutes, decisions and action items shall be available.</w:t>
              <w:br/>
              <w:t>• A repository shall exist for storing discovery documentation.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Attendance records shall show participation from all critical functions across the discovery sessions.</w:t>
              <w:br/>
              <w:t>• A consolidated list of Jaywan requirements and open questions shall be produced and reviewed in a sign‑off session.</w:t>
              <w:br/>
              <w:t>• The BRS shall reference discovery outcomes by date or meeting title, showing traceability.</w:t>
              <w:br/>
              <w:t>• Open items from discovery shall be tracked with owners and target dates until closure.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key stakeholders are unavailable for scheduled sessions, meetings shall be rescheduled or alternative representatives nominated, with impacts logged.</w:t>
              <w:br/>
              <w:t>• If new requirements are identified after initial discovery completion, they shall be captured through controlled change request processes.</w:t>
              <w:br/>
              <w:t>• If regulatory guidance changes during or after discovery, sessions may be reconvened to realign requirements.</w:t>
              <w:br/>
              <w:t>• If vendor or scheme representatives cannot attend, questions shall be collated and sent in writing to AEP or other parties for clarification.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Meeting schedule titled "Discovery sessions for additional requirements for Jaywan Mono badged cards, Jaywan co badged cards" with columns for Meeting Title, Date and Time.</w:t>
              <w:br/>
              <w:t>• Internal minutes listing attendees (User 1, User 2, BA, Manager) and agenda covering review of process documentation, queries to AEP and discussion on demand.</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Borders>
          <w:top w:val="single" w:sz="8" w:space="0" w:color="000000"/>
          <w:bottom w:val="single" w:sz="8" w:space="0" w:color="000000"/>
          <w:left w:val="single" w:sz="8" w:space="0" w:color="000000"/>
          <w:right w:val="single" w:sz="8" w:space="0" w:color="000000"/>
          <w:insideH w:val="single" w:sz="8" w:space="0" w:color="000000"/>
          <w:insideV w:val="single" w:sz="8" w:space="0" w:color="000000"/>
        </w:tblBorders>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BR-010</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 Regulatory and Scheme Awareness Campaign Support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support AEP and CBUAE awareness objectives by ensuring that internal staff understand the features and benefits of Jaywan mono‑badged and co‑badged cards and how Jaywan supports secure and seamless payments.</w:t>
              <w:br/>
              <w:t>• The bank shall ensure that internal communications align with AEP’s broader public awareness campaign planned for April 2025, without contradicting official materials.</w:t>
              <w:br/>
              <w:t>• The bank shall prepare or adapt FAQs, process overviews and customer‑facing content related to Jaywan, subject to approval by Compliance and in line with AEP guidance.</w:t>
              <w:br/>
              <w:t>• The bank shall ensure that customer‑facing staff can explain the differences between Jaywan mono‑badged and co‑badged cards and their usage domestically and internationally.</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AEP is planning an awareness campaign in April 2025 to highlight Jaywan features and benefits to individuals and companies.</w:t>
              <w:br/>
              <w:t>• Bank‑specific internal awareness materials or training are not described in the provided documents.</w:t>
              <w:br/>
              <w:t>• Understanding of Jaywan within the bank is likely limited to involved project and product teams.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The bank shall coordinate with AEP communications to ensure consistency of messaging about Jaywan across internal and customer‑facing channels.</w:t>
              <w:br/>
              <w:t>• The bank shall develop internal briefing packs, quick reference guides and FAQs for staff directly involved with Jaywan card issuance and servicing.</w:t>
              <w:br/>
              <w:t>• The bank shall ensure that any customer‑facing material referencing Jaywan is reviewed by Compliance and reflects current regulatory positions.</w:t>
              <w:br/>
              <w:t>• The bank shall leverage AEP’s public content, where permitted, to educate staff and customers on Jaywan benefits, domestic cost savings and digital payment enhancements.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Receipt of AEP and CBUAE approved public communication materials about Jaywan.</w:t>
              <w:br/>
              <w:t>• Identification of internal owners for training and communication content.</w:t>
              <w:br/>
              <w:t>• Approval workflows for customer‑facing and staff‑facing communications shall be in place.</w:t>
              <w:br/>
              <w:t>• Channels such as intranet, email and training platforms shall be available for dissemination.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Internal staff in relevant functions shall receive at least one communication or training session about Jaywan prior to go‑live.</w:t>
              <w:br/>
              <w:t>• Sample internal materials shall be reviewed and signed off by Compliance and senior Business stakeholders.</w:t>
              <w:br/>
              <w:t>• Customer‑facing FAQs or basic information about Jaywan products offered by the bank shall be available in appropriate channels (e.g. branch scripts or contact centre knowledge base).</w:t>
              <w:br/>
              <w:t>• Feedback from front‑line staff shall indicate that they can explain core Jaywan concepts, as measured by targeted surveys or assessments.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AEP adjusts the timing or content of its awareness campaign, the bank shall realign its internal timelines and messaging accordingly.</w:t>
              <w:br/>
              <w:t>• If regulatory guidance restricts certain promotional claims, the bank shall modify or remove such statements from its materials.</w:t>
              <w:br/>
              <w:t>• If new Jaywan features are launched (e.g. additional wallet support), supplemental communications shall be issued to update staff.</w:t>
              <w:br/>
              <w:t>• If language or literacy considerations require, multiple language versions or simplified explanations may be prepared for staff and customers.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AEP communication "Jaywan – the UAE's First Domestic Card Scheme Introduced to Strengthen the UAE's Position as a Global Hub for Digital Payments" referencing planned awareness campaign in April 2025.</w:t>
              <w:br/>
              <w:t>• Public Q&amp;A style material "Jaywan: UAE's new domestic card payment scheme; all your questions answered" providing high‑level scheme information.</w:t>
            </w:r>
          </w:p>
        </w:tc>
      </w:tr>
    </w:tbl>
    <w:p>
      <w:pPr>
        <w:pStyle w:val="Normal"/>
        <w:rPr/>
      </w:pPr>
      <w:r>
        <w:rPr/>
      </w:r>
    </w:p>
    <w:p>
      <w:pPr>
        <w:pStyle w:val="Normal"/>
        <w:rPr>
          <w:b/>
          <w:bCs/>
        </w:rPr>
      </w:pPr>
      <w:r>
        <w:rPr>
          <w:b/>
          <w:bCs/>
        </w:rPr>
        <w:t>Requirement Traceability Matrix</w:t>
      </w:r>
    </w:p>
    <w:tbl>
      <w:tblPr>
        <w:tblW w:w="9417" w:type="dxa"/>
        <w:jc w:val="left"/>
        <w:tblInd w:w="55" w:type="dxa"/>
        <w:tblLayout w:type="fixed"/>
        <w:tblCellMar>
          <w:top w:w="55" w:type="dxa"/>
          <w:left w:w="55" w:type="dxa"/>
          <w:bottom w:w="55" w:type="dxa"/>
          <w:right w:w="55" w:type="dxa"/>
        </w:tblCellMar>
        <w:tblBorders>
          <w:top w:val="single" w:sz="8" w:space="0" w:color="000000"/>
          <w:bottom w:val="single" w:sz="8" w:space="0" w:color="000000"/>
          <w:left w:val="single" w:sz="8" w:space="0" w:color="000000"/>
          <w:right w:val="single" w:sz="8" w:space="0" w:color="000000"/>
          <w:insideH w:val="single" w:sz="8" w:space="0" w:color="000000"/>
          <w:insideV w:val="single" w:sz="8" w:space="0" w:color="000000"/>
        </w:tblBorders>
      </w:tblPr>
      <w:tblGrid>
        <w:gridCol w:w="1872"/>
        <w:gridCol w:w="1872"/>
        <w:gridCol w:w="1872"/>
        <w:gridCol w:w="2351"/>
        <w:gridCol w:w="1450"/>
      </w:tblGrid>
      <w:tr>
        <w:trPr/>
        <w:tc>
          <w:tcPr>
            <w:tcW w:w="1872" w:type="dxa"/>
            <w:tcBorders>
              <w:top w:val="single" w:sz="8" w:space="0" w:color="000000"/>
              <w:left w:val="single" w:sz="8" w:space="0" w:color="000000"/>
              <w:bottom w:val="single" w:sz="8" w:space="0" w:color="000000"/>
            </w:tcBorders>
          </w:tcPr>
          <w:p>
            <w:pPr>
              <w:pStyle w:val="Normal"/>
              <w:spacing w:before="0" w:after="160"/>
              <w:rPr/>
            </w:pPr>
            <w:r>
              <w:rPr/>
              <w:t>REQ ID</w:t>
            </w:r>
          </w:p>
        </w:tc>
        <w:tc>
          <w:tcPr>
            <w:tcW w:w="1872" w:type="dxa"/>
            <w:tcBorders>
              <w:top w:val="single" w:sz="8" w:space="0" w:color="000000"/>
              <w:left w:val="single" w:sz="8" w:space="0" w:color="000000"/>
              <w:bottom w:val="single" w:sz="8" w:space="0" w:color="000000"/>
            </w:tcBorders>
          </w:tcPr>
          <w:p>
            <w:pPr>
              <w:pStyle w:val="Normal"/>
              <w:spacing w:before="0" w:after="160"/>
              <w:rPr/>
            </w:pPr>
            <w:r>
              <w:rPr/>
              <w:t>Description</w:t>
            </w:r>
          </w:p>
        </w:tc>
        <w:tc>
          <w:tcPr>
            <w:tcW w:w="1872" w:type="dxa"/>
            <w:tcBorders>
              <w:top w:val="single" w:sz="8" w:space="0" w:color="000000"/>
              <w:left w:val="single" w:sz="8" w:space="0" w:color="000000"/>
              <w:bottom w:val="single" w:sz="8" w:space="0" w:color="000000"/>
            </w:tcBorders>
          </w:tcPr>
          <w:p>
            <w:pPr>
              <w:pStyle w:val="Normal"/>
              <w:spacing w:before="0" w:after="160"/>
              <w:rPr/>
            </w:pPr>
            <w:r>
              <w:rPr/>
              <w:t>Source Channel</w:t>
            </w:r>
          </w:p>
        </w:tc>
        <w:tc>
          <w:tcPr>
            <w:tcW w:w="2351" w:type="dxa"/>
            <w:tcBorders>
              <w:top w:val="single" w:sz="8" w:space="0" w:color="000000"/>
              <w:left w:val="single" w:sz="8" w:space="0" w:color="000000"/>
              <w:bottom w:val="single" w:sz="8" w:space="0" w:color="000000"/>
            </w:tcBorders>
          </w:tcPr>
          <w:p>
            <w:pPr>
              <w:pStyle w:val="Normal"/>
              <w:spacing w:before="0" w:after="160"/>
              <w:rPr/>
            </w:pPr>
            <w:r>
              <w:rPr/>
              <w:t>Impacted System</w:t>
            </w:r>
          </w:p>
        </w:tc>
        <w:tc>
          <w:tcPr>
            <w:tcW w:w="1450"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Outcome</w:t>
            </w:r>
          </w:p>
        </w:tc>
      </w:tr>
      <w:tr>
        <w:trPr/>
        <w:tc>
          <w:tcPr>
            <w:tcW w:w="1872" w:type="dxa"/>
            <w:tcBorders>
              <w:left w:val="single" w:sz="8" w:space="0" w:color="000000"/>
              <w:bottom w:val="single" w:sz="8" w:space="0" w:color="000000"/>
            </w:tcBorders>
          </w:tcPr>
          <w:p>
            <w:r>
              <w:t>BR-001</w:t>
            </w:r>
          </w:p>
        </w:tc>
        <w:tc>
          <w:tcPr>
            <w:tcW w:w="1872" w:type="dxa"/>
            <w:tcBorders>
              <w:left w:val="single" w:sz="8" w:space="0" w:color="000000"/>
              <w:bottom w:val="single" w:sz="8" w:space="0" w:color="000000"/>
            </w:tcBorders>
          </w:tcPr>
          <w:p>
            <w:r>
              <w:t>• Ensure card issuance complies with CBUAE mandate to issue Jaywan mono‑badged and co‑badged cards.</w:t>
            </w:r>
          </w:p>
        </w:tc>
        <w:tc>
          <w:tcPr>
            <w:tcW w:w="1872" w:type="dxa"/>
            <w:tcBorders>
              <w:left w:val="single" w:sz="8" w:space="0" w:color="000000"/>
              <w:bottom w:val="single" w:sz="8" w:space="0" w:color="000000"/>
            </w:tcBorders>
          </w:tcPr>
          <w:p>
            <w:r>
              <w:t>• Regulatory Mandate (CBUAE Circular 5480‑2024) and AEP Scheme Communications</w:t>
            </w:r>
          </w:p>
        </w:tc>
        <w:tc>
          <w:tcPr>
            <w:tcW w:w="2351" w:type="dxa"/>
            <w:tcBorders>
              <w:left w:val="single" w:sz="8" w:space="0" w:color="000000"/>
              <w:bottom w:val="single" w:sz="8" w:space="0" w:color="000000"/>
            </w:tcBorders>
          </w:tcPr>
          <w:p>
            <w:r>
              <w:t>• Card Management System, Product Catalogue, Customer Onboarding Systems</w:t>
            </w:r>
          </w:p>
        </w:tc>
        <w:tc>
          <w:tcPr>
            <w:tcW w:w="1450" w:type="dxa"/>
            <w:tcBorders>
              <w:left w:val="single" w:sz="8" w:space="0" w:color="000000"/>
              <w:bottom w:val="single" w:sz="8" w:space="0" w:color="000000"/>
              <w:right w:val="single" w:sz="8" w:space="0" w:color="000000"/>
            </w:tcBorders>
          </w:tcPr>
          <w:p>
            <w:r>
              <w:t>• All new mandated debit cards are issued as Jaywan mono‑badged or co‑badged in line with regulation.</w:t>
            </w:r>
          </w:p>
        </w:tc>
      </w:tr>
      <w:tr>
        <w:tc>
          <w:tcPr>
            <w:tcW w:type="dxa" w:w="1872"/>
          </w:tcPr>
          <w:p>
            <w:r>
              <w:t>BR-002</w:t>
            </w:r>
          </w:p>
        </w:tc>
        <w:tc>
          <w:tcPr>
            <w:tcW w:type="dxa" w:w="1872"/>
          </w:tcPr>
          <w:p>
            <w:r>
              <w:t>• Enable correct domestic vs international identification and routing for Jaywan co‑badged ATM transactions.</w:t>
            </w:r>
          </w:p>
        </w:tc>
        <w:tc>
          <w:tcPr>
            <w:tcW w:type="dxa" w:w="1872"/>
          </w:tcPr>
          <w:p>
            <w:r>
              <w:t>• ATM Channel and Scheme Routing Rules</w:t>
            </w:r>
          </w:p>
        </w:tc>
        <w:tc>
          <w:tcPr>
            <w:tcW w:type="dxa" w:w="2351"/>
          </w:tcPr>
          <w:p>
            <w:r>
              <w:t>• ATM Switch, PowerCARD, Core Banking, Network Gateways</w:t>
            </w:r>
          </w:p>
        </w:tc>
        <w:tc>
          <w:tcPr>
            <w:tcW w:type="dxa" w:w="1450"/>
          </w:tcPr>
          <w:p>
            <w:r>
              <w:t>• Transactions are routed to Jaywan or partner scheme accurately based on transaction location.</w:t>
            </w:r>
          </w:p>
        </w:tc>
      </w:tr>
      <w:tr>
        <w:tc>
          <w:tcPr>
            <w:tcW w:type="dxa" w:w="1872"/>
          </w:tcPr>
          <w:p>
            <w:r>
              <w:t>BR-003</w:t>
            </w:r>
          </w:p>
        </w:tc>
        <w:tc>
          <w:tcPr>
            <w:tcW w:type="dxa" w:w="1872"/>
          </w:tcPr>
          <w:p>
            <w:r>
              <w:t>• Support full ATM withdrawal lifecycle for Jaywan co‑badged debit cards.</w:t>
            </w:r>
          </w:p>
        </w:tc>
        <w:tc>
          <w:tcPr>
            <w:tcW w:type="dxa" w:w="1872"/>
          </w:tcPr>
          <w:p>
            <w:r>
              <w:t>• ATM Channel and BA Process Instructions</w:t>
            </w:r>
          </w:p>
        </w:tc>
        <w:tc>
          <w:tcPr>
            <w:tcW w:type="dxa" w:w="2351"/>
          </w:tcPr>
          <w:p>
            <w:r>
              <w:t>• ATM Network, Core Banking, PowerCARD, SMS Engine</w:t>
            </w:r>
          </w:p>
        </w:tc>
        <w:tc>
          <w:tcPr>
            <w:tcW w:type="dxa" w:w="1450"/>
          </w:tcPr>
          <w:p>
            <w:r>
              <w:t>• Customers can perform ATM withdrawals with Jaywan co‑badged cards with correct approval or decline handling.</w:t>
            </w:r>
          </w:p>
        </w:tc>
      </w:tr>
      <w:tr>
        <w:tc>
          <w:tcPr>
            <w:tcW w:type="dxa" w:w="1872"/>
          </w:tcPr>
          <w:p>
            <w:r>
              <w:t>BR-004</w:t>
            </w:r>
          </w:p>
        </w:tc>
        <w:tc>
          <w:tcPr>
            <w:tcW w:type="dxa" w:w="1872"/>
          </w:tcPr>
          <w:p>
            <w:r>
              <w:t>• Provide SMS alerts for approved and declined Jaywan ATM transactions.</w:t>
            </w:r>
          </w:p>
        </w:tc>
        <w:tc>
          <w:tcPr>
            <w:tcW w:type="dxa" w:w="1872"/>
          </w:tcPr>
          <w:p>
            <w:r>
              <w:t>• ATM Channel and Customer Notification Policy</w:t>
            </w:r>
          </w:p>
        </w:tc>
        <w:tc>
          <w:tcPr>
            <w:tcW w:type="dxa" w:w="2351"/>
          </w:tcPr>
          <w:p>
            <w:r>
              <w:t>• SMS Gateway, Notification Hub, Core Banking or Switch</w:t>
            </w:r>
          </w:p>
        </w:tc>
        <w:tc>
          <w:tcPr>
            <w:tcW w:type="dxa" w:w="1450"/>
          </w:tcPr>
          <w:p>
            <w:r>
              <w:t>• Customers receive timely SMS notifications for Jaywan ATM activity.</w:t>
            </w:r>
          </w:p>
        </w:tc>
      </w:tr>
      <w:tr>
        <w:tc>
          <w:tcPr>
            <w:tcW w:type="dxa" w:w="1872"/>
          </w:tcPr>
          <w:p>
            <w:r>
              <w:t>BR-005</w:t>
            </w:r>
          </w:p>
        </w:tc>
        <w:tc>
          <w:tcPr>
            <w:tcW w:type="dxa" w:w="1872"/>
          </w:tcPr>
          <w:p>
            <w:r>
              <w:t>• Post approved Jaywan ATM transactions at EOD using defined GL mappings and exclude declined ones from posting.</w:t>
            </w:r>
          </w:p>
        </w:tc>
        <w:tc>
          <w:tcPr>
            <w:tcW w:type="dxa" w:w="1872"/>
          </w:tcPr>
          <w:p>
            <w:r>
              <w:t>• Core Banking and Finance Requirements</w:t>
            </w:r>
          </w:p>
        </w:tc>
        <w:tc>
          <w:tcPr>
            <w:tcW w:type="dxa" w:w="2351"/>
          </w:tcPr>
          <w:p>
            <w:r>
              <w:t>• Core Banking, GL/Finance Systems, Reconciliation Tools</w:t>
            </w:r>
          </w:p>
        </w:tc>
        <w:tc>
          <w:tcPr>
            <w:tcW w:type="dxa" w:w="1450"/>
          </w:tcPr>
          <w:p>
            <w:r>
              <w:t>• Financial postings for Jaywan ATM withdrawals are accurate and reconcilable.</w:t>
            </w:r>
          </w:p>
        </w:tc>
      </w:tr>
      <w:tr>
        <w:tc>
          <w:tcPr>
            <w:tcW w:type="dxa" w:w="1872"/>
          </w:tcPr>
          <w:p>
            <w:r>
              <w:t>BR-006</w:t>
            </w:r>
          </w:p>
        </w:tc>
        <w:tc>
          <w:tcPr>
            <w:tcW w:type="dxa" w:w="1872"/>
          </w:tcPr>
          <w:p>
            <w:r>
              <w:t>• Document dual messaging and CBUAE DMS processes aligned to Jaywan adoption.</w:t>
            </w:r>
          </w:p>
        </w:tc>
        <w:tc>
          <w:tcPr>
            <w:tcW w:type="dxa" w:w="1872"/>
          </w:tcPr>
          <w:p>
            <w:r>
              <w:t>• Internal Process Review and Regulatory Alignment</w:t>
            </w:r>
          </w:p>
        </w:tc>
        <w:tc>
          <w:tcPr>
            <w:tcW w:type="dxa" w:w="2351"/>
          </w:tcPr>
          <w:p>
            <w:r>
              <w:t>• Process Documentation Repository, DMS‑related Systems</w:t>
            </w:r>
          </w:p>
        </w:tc>
        <w:tc>
          <w:tcPr>
            <w:tcW w:type="dxa" w:w="1450"/>
          </w:tcPr>
          <w:p>
            <w:r>
              <w:t>• Clear DMS process documentation exists for Jaywan‑affected flows.</w:t>
            </w:r>
          </w:p>
        </w:tc>
      </w:tr>
      <w:tr>
        <w:tc>
          <w:tcPr>
            <w:tcW w:type="dxa" w:w="1872"/>
          </w:tcPr>
          <w:p>
            <w:r>
              <w:t>BR-007</w:t>
            </w:r>
          </w:p>
        </w:tc>
        <w:tc>
          <w:tcPr>
            <w:tcW w:type="dxa" w:w="1872"/>
          </w:tcPr>
          <w:p>
            <w:r>
              <w:t>• Decide and document whether POS tokenised transactions are in scope for Jaywan.</w:t>
            </w:r>
          </w:p>
        </w:tc>
        <w:tc>
          <w:tcPr>
            <w:tcW w:type="dxa" w:w="1872"/>
          </w:tcPr>
          <w:p>
            <w:r>
              <w:t>• POS Channel and Tokenisation Platform</w:t>
            </w:r>
          </w:p>
        </w:tc>
        <w:tc>
          <w:tcPr>
            <w:tcW w:type="dxa" w:w="2351"/>
          </w:tcPr>
          <w:p>
            <w:r>
              <w:t>• Tokenisation Platform, POS Switch, Card Management</w:t>
            </w:r>
          </w:p>
        </w:tc>
        <w:tc>
          <w:tcPr>
            <w:tcW w:type="dxa" w:w="1450"/>
          </w:tcPr>
          <w:p>
            <w:r>
              <w:t>• Clear scope and handling for Jaywan POS tokenised transactions are established.</w:t>
            </w:r>
          </w:p>
        </w:tc>
      </w:tr>
      <w:tr>
        <w:tc>
          <w:tcPr>
            <w:tcW w:type="dxa" w:w="1872"/>
          </w:tcPr>
          <w:p>
            <w:r>
              <w:t>BR-008</w:t>
            </w:r>
          </w:p>
        </w:tc>
        <w:tc>
          <w:tcPr>
            <w:tcW w:type="dxa" w:w="1872"/>
          </w:tcPr>
          <w:p>
            <w:r>
              <w:t>• Establish reporting and reconciliation for Jaywan transactions using CBUAE/AEP formats.</w:t>
            </w:r>
          </w:p>
        </w:tc>
        <w:tc>
          <w:tcPr>
            <w:tcW w:type="dxa" w:w="1872"/>
          </w:tcPr>
          <w:p>
            <w:r>
              <w:t>• Regulatory Reporting and Internal MIS Needs</w:t>
            </w:r>
          </w:p>
        </w:tc>
        <w:tc>
          <w:tcPr>
            <w:tcW w:type="dxa" w:w="2351"/>
          </w:tcPr>
          <w:p>
            <w:r>
              <w:t>• Data Warehouse, Reporting Tools, Reconciliation Systems</w:t>
            </w:r>
          </w:p>
        </w:tc>
        <w:tc>
          <w:tcPr>
            <w:tcW w:type="dxa" w:w="1450"/>
          </w:tcPr>
          <w:p>
            <w:r>
              <w:t>• Jaywan transactions are accurately reported and reconciled per regulatory expectations.</w:t>
            </w:r>
          </w:p>
        </w:tc>
      </w:tr>
      <w:tr>
        <w:tc>
          <w:tcPr>
            <w:tcW w:type="dxa" w:w="1872"/>
          </w:tcPr>
          <w:p>
            <w:r>
              <w:t>BR-009</w:t>
            </w:r>
          </w:p>
        </w:tc>
        <w:tc>
          <w:tcPr>
            <w:tcW w:type="dxa" w:w="1872"/>
          </w:tcPr>
          <w:p>
            <w:r>
              <w:t>• Conduct and document discovery sessions for Jaywan mono‑badged and co‑badged requirements.</w:t>
            </w:r>
          </w:p>
        </w:tc>
        <w:tc>
          <w:tcPr>
            <w:tcW w:type="dxa" w:w="1872"/>
          </w:tcPr>
          <w:p>
            <w:r>
              <w:t>• Project Governance and Stakeholder Engagement</w:t>
            </w:r>
          </w:p>
        </w:tc>
        <w:tc>
          <w:tcPr>
            <w:tcW w:type="dxa" w:w="2351"/>
          </w:tcPr>
          <w:p>
            <w:r>
              <w:t>• Requirements Repository, Project Management Tools</w:t>
            </w:r>
          </w:p>
        </w:tc>
        <w:tc>
          <w:tcPr>
            <w:tcW w:type="dxa" w:w="1450"/>
          </w:tcPr>
          <w:p>
            <w:r>
              <w:t>• Comprehensive and traceable Jaywan requirements are captured from stakeholders.</w:t>
            </w:r>
          </w:p>
        </w:tc>
      </w:tr>
      <w:tr>
        <w:tc>
          <w:tcPr>
            <w:tcW w:type="dxa" w:w="1872"/>
          </w:tcPr>
          <w:p>
            <w:r>
              <w:t>BR-010</w:t>
            </w:r>
          </w:p>
        </w:tc>
        <w:tc>
          <w:tcPr>
            <w:tcW w:type="dxa" w:w="1872"/>
          </w:tcPr>
          <w:p>
            <w:r>
              <w:t>• Support scheme and regulatory awareness by informing staff and customers about Jaywan.</w:t>
            </w:r>
          </w:p>
        </w:tc>
        <w:tc>
          <w:tcPr>
            <w:tcW w:type="dxa" w:w="1872"/>
          </w:tcPr>
          <w:p>
            <w:r>
              <w:t>• AEP Awareness Campaign and Internal Communication Needs</w:t>
            </w:r>
          </w:p>
        </w:tc>
        <w:tc>
          <w:tcPr>
            <w:tcW w:type="dxa" w:w="2351"/>
          </w:tcPr>
          <w:p>
            <w:r>
              <w:t>• Training Platforms, Intranet, Customer Communication Channels</w:t>
            </w:r>
          </w:p>
        </w:tc>
        <w:tc>
          <w:tcPr>
            <w:tcW w:type="dxa" w:w="1450"/>
          </w:tcPr>
          <w:p>
            <w:r>
              <w:t>• Staff and customers are informed about Jaywan features and usage rules.</w:t>
            </w:r>
          </w:p>
        </w:tc>
      </w:tr>
    </w:tbl>
    <w:p>
      <w:pPr>
        <w:pStyle w:val="Normal"/>
        <w:rPr>
          <w:b/>
          <w:bCs/>
        </w:rPr>
      </w:pPr>
      <w:r>
        <w:rPr>
          <w:b/>
          <w:bCs/>
        </w:rPr>
      </w:r>
    </w:p>
    <w:p>
      <w:pPr>
        <w:pStyle w:val="Normal"/>
        <w:rPr/>
      </w:pPr>
      <w:r>
        <w:rPr/>
      </w:r>
    </w:p>
    <w:p>
      <w:pPr>
        <w:pStyle w:val="Normal"/>
        <w:rPr/>
      </w:pPr>
      <w:r>
        <w:rPr/>
      </w:r>
    </w:p>
    <w:p>
      <w:pPr>
        <w:pStyle w:val="Normal"/>
        <w:rPr>
          <w:b/>
          <w:bCs/>
        </w:rPr>
      </w:pPr>
      <w:r>
        <w:rPr>
          <w:b/>
          <w:bCs/>
        </w:rPr>
        <w:t>Non-functional Requirements</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Borders>
          <w:top w:val="single" w:sz="8" w:space="0" w:color="000000"/>
          <w:bottom w:val="single" w:sz="8" w:space="0" w:color="000000"/>
          <w:left w:val="single" w:sz="8" w:space="0" w:color="000000"/>
          <w:right w:val="single" w:sz="8" w:space="0" w:color="000000"/>
          <w:insideH w:val="single" w:sz="8" w:space="0" w:color="000000"/>
          <w:insideV w:val="single" w:sz="8" w:space="0" w:color="000000"/>
        </w:tblBorders>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No. of users</w:t>
            </w:r>
          </w:p>
        </w:tc>
        <w:tc>
          <w:tcPr>
            <w:tcW w:w="4314" w:type="dxa"/>
            <w:tcBorders>
              <w:top w:val="single" w:sz="8" w:space="0" w:color="000000"/>
              <w:bottom w:val="single" w:sz="8" w:space="0" w:color="000000"/>
              <w:right w:val="single" w:sz="8" w:space="0" w:color="000000"/>
            </w:tcBorders>
          </w:tcPr>
          <w:p>
            <w:r>
              <w:t>• The solution shall support all existing debit card customers of the bank who will migrate to or be issued Jaywan mono‑badged or co‑badged cards, with user counts to be confirmed from internal customer statistics.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Peak Volume</w:t>
            </w:r>
          </w:p>
        </w:tc>
        <w:tc>
          <w:tcPr>
            <w:tcW w:w="4314" w:type="dxa"/>
            <w:tcBorders>
              <w:bottom w:val="single" w:sz="8" w:space="0" w:color="000000"/>
              <w:right w:val="single" w:sz="8" w:space="0" w:color="000000"/>
            </w:tcBorders>
          </w:tcPr>
          <w:p>
            <w:r>
              <w:t>• The solution shall support peak ATM transaction volumes at least equal to current peak volumes for existing schemes, with Jaywan volumes expected to form a material subset; exact TPS targets shall be defined based on internal capacity planning data.</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Monthly Volume</w:t>
            </w:r>
          </w:p>
        </w:tc>
        <w:tc>
          <w:tcPr>
            <w:tcW w:w="4314" w:type="dxa"/>
            <w:tcBorders>
              <w:bottom w:val="single" w:sz="8" w:space="0" w:color="000000"/>
              <w:right w:val="single" w:sz="8" w:space="0" w:color="000000"/>
            </w:tcBorders>
          </w:tcPr>
          <w:p>
            <w:r>
              <w:t>• The solution shall support monthly transaction volumes for Jaywan cards aligned to projected adoption rates as defined by the bank’s product and operations teams, with capacity not lower than current monthly ATM transaction volumes for existing schemes.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Availability</w:t>
            </w:r>
          </w:p>
        </w:tc>
        <w:tc>
          <w:tcPr>
            <w:tcW w:w="4314" w:type="dxa"/>
            <w:tcBorders>
              <w:bottom w:val="single" w:sz="8" w:space="0" w:color="000000"/>
              <w:right w:val="single" w:sz="8" w:space="0" w:color="000000"/>
            </w:tcBorders>
          </w:tcPr>
          <w:p>
            <w:r>
              <w:t>• The Jaywan‑related ATM and processing services shall meet or exceed existing ATM service availability targets (for example, a typical 99.5 percent or higher monthly availability), in accordance with bank SLAs and CBUAE expectations for critical payment infrastructure.</w:t>
            </w:r>
          </w:p>
        </w:tc>
      </w:tr>
    </w:tbl>
    <w:p>
      <w:pPr>
        <w:pStyle w:val="Normal"/>
        <w:rPr/>
      </w:pPr>
      <w:r>
        <w:rPr/>
      </w:r>
    </w:p>
    <w:p>
      <w:pPr>
        <w:pStyle w:val="Normal"/>
        <w:rPr/>
      </w:pPr>
      <w:r>
        <w:rPr>
          <w:b/>
          <w:bCs/>
        </w:rPr>
        <w:t>Impact on Operational process:</w:t>
      </w:r>
      <w:r>
        <w:rPr/>
        <w:t xml:space="preserve"> • Existing ATM operations shall be updated to include handling of Jaywan mono‑badged and co‑badged cards, including incident management, card capture, replenishment forecasting and monitoring of Jaywan‑specific error codes.</w:t>
        <w:br/>
        <w:t>• Card Operations and GBO‑ATM/CDM teams shall incorporate Jaywan scheme rules into their daily monitoring of dual messaging and settlement flows.</w:t>
        <w:br/>
        <w:t>• Reconciliation and Finance teams shall extend their routines to handle Jaywan transaction and settlement files, GL mappings and exception management.</w:t>
        <w:br/>
        <w:t>• Dispute and chargeback handling teams shall be required to understand Jaywan domestic and co‑badged dispute rules once provided, and shall adjust their workflows accordingly.</w:t>
        <w:br/>
        <w:t>• Customer service operations (branches, call centre, digital support) shall update scripts and procedures for handling customer queries and complaints related to Jaywan cards and ATM usage.</w:t>
        <w:br/>
        <w:t>• Documentation, process flows and SOPs that currently reference only Visa/MasterCard shall be revised to reference Jaywan where relevant, with version control and staff communication.</w:t>
        <w:br/>
        <w:t>• Coordination with AEP and CBUAE shall become part of routine operational governance with respect to scheme changes, outages and reporting for Jaywan.</w:t>
      </w:r>
    </w:p>
    <w:p>
      <w:pPr>
        <w:pStyle w:val="Normal"/>
        <w:rPr/>
      </w:pPr>
      <w:r>
        <w:rPr/>
      </w:r>
    </w:p>
    <w:p>
      <w:pPr>
        <w:pStyle w:val="Normal"/>
        <w:rPr/>
      </w:pPr>
      <w:r>
        <w:rPr/>
      </w:r>
    </w:p>
    <w:p>
      <w:pPr>
        <w:pStyle w:val="Normal"/>
        <w:rPr/>
      </w:pPr>
      <w:r>
        <w:rPr>
          <w:b/>
          <w:bCs/>
        </w:rPr>
        <w:t>Regulatory impact:</w:t>
      </w:r>
      <w:r>
        <w:rPr/>
        <w:t xml:space="preserve"> • The project shall ensure compliance with the central government and CBUAE circular mandating that all licensed financial institutions launch Jaywan co‑badged cards, including reference mandate 5480‑2024.</w:t>
        <w:br/>
        <w:t>• The project shall ensure adherence to CBUAE requirements on domestic card schemes, including objectives to reduce payment costs and maintain financial sovereignty while providing secure and seamless payments.</w:t>
        <w:br/>
        <w:t>• The project shall ensure that Jaywan‑related data, customer communications, and operational practices comply with applicable CBUAE regulations on data protection, consumer protection and operational resilience.</w:t>
        <w:br/>
        <w:t>• The project shall ensure that any CBUAE reporting obligations specific to Jaywan (e.g. transaction volumes, pricing, incident reporting) are supported by appropriate data capture and reporting processes.</w:t>
        <w:br/>
        <w:t>• The project shall ensure that any bilateral arrangements enabled by Jaywan (e.g. cross‑border usage such as India) are implemented only in accordance with applicable CBUAE and host country regulatory frameworks, once formally documented.</w:t>
        <w:br/>
        <w:t>• The project shall maintain traceability from business requirements to specific regulatory clauses where they are explicitly referenced in CBUAE and AEP documents used by the bank.</w:t>
      </w:r>
    </w:p>
    <w:p>
      <w:pPr>
        <w:pStyle w:val="Normal"/>
        <w:rPr/>
      </w:pPr>
      <w:r>
        <w:rPr/>
      </w:r>
    </w:p>
    <w:p>
      <w:pPr>
        <w:pStyle w:val="Normal"/>
        <w:rPr/>
      </w:pPr>
      <w:r>
        <w:rPr/>
      </w:r>
    </w:p>
    <w:p>
      <w:pPr>
        <w:pStyle w:val="Normal"/>
        <w:rPr/>
      </w:pPr>
      <w:r>
        <w:rPr>
          <w:b/>
          <w:bCs/>
        </w:rPr>
        <w:t>Reports requirement:</w:t>
      </w:r>
      <w:r>
        <w:rPr/>
        <w:t xml:space="preserve"> • The bank shall generate regulatory reports required by CBUAE related to Jaywan transaction volumes, usage patterns, and any other mandated indicators at specified frequencies (e.g. daily, monthly, quarterly) once formats are confirmed.</w:t>
        <w:br/>
        <w:t>• The bank shall generate scheme‑level reports required by AEP for Jaywan, leveraging original report templates shared by CBUAE or AEP.</w:t>
        <w:br/>
        <w:t>• The bank shall produce internal MIS reports for Business and Operations covering Jaywan mono‑badged and co‑badged card issuance, ATM usage, domestic vs international split, and revenue or cost metrics where available.</w:t>
        <w:br/>
        <w:t>• The bank shall ensure that reconciliation reports for Jaywan transactions (authorisations vs postings vs settlement) are generated with sufficient granularity to identify and resolve breaks.</w:t>
        <w:br/>
        <w:t>• The bank shall define recipients and distribution channels for Jaywan‑related reports, including Finance, Operations, Risk, Compliance and senior management, in line with existing governance.</w:t>
        <w:br/>
        <w:t>• The bank shall ensure that all Jaywan reports are stored securely, with controlled access and retention aligned to internal and regulatory data retention requirements.</w:t>
      </w:r>
    </w:p>
    <w:p>
      <w:pPr>
        <w:pStyle w:val="Normal"/>
        <w:rPr/>
      </w:pPr>
      <w:r>
        <w:rPr/>
      </w:r>
    </w:p>
    <w:p>
      <w:pPr>
        <w:pStyle w:val="Normal"/>
        <w:rPr/>
      </w:pPr>
      <w:r>
        <w:rPr/>
      </w:r>
    </w:p>
    <w:p>
      <w:pPr>
        <w:pStyle w:val="Normal"/>
        <w:rPr/>
      </w:pPr>
      <w:r>
        <w:rPr>
          <w:b/>
          <w:bCs/>
        </w:rPr>
        <w:t>Access requirement:</w:t>
      </w:r>
      <w:r>
        <w:rPr/>
        <w:t xml:space="preserve"> • Access to configure Jaywan products, BINs and routing rules in card management and switching systems shall be restricted to authorised users with appropriate segregation of duties.</w:t>
        <w:br/>
        <w:t>• Access to Jaywan transaction data in core banking, PowerCARD, data warehouses and reporting tools shall follow the bank’s role‑based access control model, ensuring that only users with a business need to know can view or modify such data.</w:t>
        <w:br/>
        <w:t>• Access to generate or modify regulatory and scheme reports for Jaywan shall be restricted to designated Finance, Operations and Compliance roles.</w:t>
        <w:br/>
        <w:t>• Administrative access to ATM software, including configuration of Jaywan acceptance parameters, shall be tightly controlled and logged.</w:t>
        <w:br/>
        <w:t>• Authentication mechanisms (e.g. strong passwords, MFA where implemented) shall be enforced for all systems managing Jaywan configurations and data.</w:t>
        <w:br/>
        <w:t>• Access reviews shall include Jaywan‑related roles and permissions as part of periodic user access recertification.</w:t>
      </w:r>
    </w:p>
    <w:p>
      <w:pPr>
        <w:pStyle w:val="Normal"/>
        <w:rPr/>
      </w:pPr>
      <w:r>
        <w:rPr/>
      </w:r>
    </w:p>
    <w:p>
      <w:pPr>
        <w:pStyle w:val="Normal"/>
        <w:rPr/>
      </w:pPr>
      <w:r>
        <w:rPr/>
      </w:r>
    </w:p>
    <w:p>
      <w:pPr>
        <w:pStyle w:val="Normal"/>
        <w:rPr/>
      </w:pPr>
      <w:r>
        <w:rPr>
          <w:b/>
          <w:bCs/>
        </w:rPr>
        <w:t>Security requirement:</w:t>
      </w:r>
      <w:r>
        <w:rPr/>
        <w:t xml:space="preserve"> • The bank shall ensure that Jaywan cardholder data is protected in line with applicable CBUAE requirements and relevant card data security standards, including encryption of sensitive data in transit and at rest.</w:t>
        <w:br/>
        <w:t>• The bank shall ensure that cryptographic keys used for Jaywan transactions are managed within Hardware Security Modules (HSMs) or equivalent secure key management infrastructure.</w:t>
        <w:br/>
        <w:t>• The bank shall ensure that ATM PIN entry for Jaywan cards uses secure PIN pads and that PIN data is encrypted end‑to‑end without exposure in clear text.</w:t>
        <w:br/>
        <w:t>• The bank shall ensure that routing and authorisation messages for Jaywan transactions are transmitted over secure, monitored network channels.</w:t>
        <w:br/>
        <w:t>• The bank shall implement monitoring and alerting for unusual or suspicious activity involving Jaywan transactions, consistent with AML/CFT and fraud monitoring requirements.</w:t>
        <w:br/>
        <w:t>• The bank shall ensure that access logs, security event logs and audit trails for Jaywan‑related systems are retained and reviewable for forensic and audit purposes.</w:t>
      </w:r>
    </w:p>
    <w:p>
      <w:pPr>
        <w:pStyle w:val="Normal"/>
        <w:rPr/>
      </w:pPr>
      <w:r>
        <w:rPr/>
      </w:r>
    </w:p>
    <w:p>
      <w:pPr>
        <w:pStyle w:val="Normal"/>
        <w:rPr/>
      </w:pPr>
      <w:r>
        <w:rPr/>
      </w:r>
    </w:p>
    <w:p>
      <w:pPr>
        <w:pStyle w:val="Normal"/>
        <w:rPr/>
      </w:pPr>
      <w:r>
        <w:rPr>
          <w:b/>
          <w:bCs/>
        </w:rPr>
        <w:t>Data requirement:</w:t>
      </w:r>
      <w:r>
        <w:rPr/>
        <w:t xml:space="preserve"> • The bank shall capture and store key data elements for Jaywan transactions, including card identifier, scheme indicator, domestic vs international flag, ATM identifier, amount, currency, date/time, authorisation code and status.</w:t>
        <w:br/>
        <w:t>• The bank shall ensure that data quality controls are applied to Jaywan data, including validation of mandatory fields and reconciliations between systems.</w:t>
        <w:br/>
        <w:t>• The bank shall ensure that data retention periods for Jaywan transaction and customer data comply with CBUAE regulations and internal records management policies.</w:t>
        <w:br/>
        <w:t>• The bank shall ensure that Jaywan data is integrated into data warehouses and analytics platforms where needed for reporting, risk and business analysis.</w:t>
        <w:br/>
        <w:t>• The bank shall ensure that data governance policies, including data ownership and stewardship, are extended to include Jaywan‑specific data sets.</w:t>
        <w:br/>
        <w:t>• The bank shall ensure that any data sharing with AEP, CBUAE or other external parties for Jaywan purposes is limited to necessary data elements and is governed by appropriate agreements and security controls.</w:t>
      </w:r>
    </w:p>
    <w:p>
      <w:pPr>
        <w:pStyle w:val="Normal"/>
        <w:rPr/>
      </w:pPr>
      <w:r>
        <w:rPr/>
      </w:r>
    </w:p>
    <w:p>
      <w:pPr>
        <w:pStyle w:val="Normal"/>
        <w:rPr/>
      </w:pPr>
      <w:r>
        <w:rPr/>
      </w:r>
    </w:p>
    <w:p>
      <w:pPr>
        <w:pStyle w:val="Normal"/>
        <w:rPr/>
      </w:pPr>
      <w:r>
        <w:rPr>
          <w:b/>
          <w:bCs/>
        </w:rPr>
        <w:t>Training requirement:</w:t>
      </w:r>
      <w:r>
        <w:rPr/>
        <w:t xml:space="preserve"> • Operational staff in Card Operations, GBO‑ATM/CDM, Reconciliation, Finance and Dispute Management shall receive training on Jaywan mono‑badged and co‑badged products, processes and scheme rules once formally available.</w:t>
        <w:br/>
        <w:t>• IT and support teams shall receive training on configuration, monitoring and incident management for Jaywan‑related systems and routing rules.</w:t>
        <w:br/>
        <w:t>• Customer‑facing staff, including branch staff and contact centre agents, shall receive training on explaining Jaywan products, differences between mono‑badged and co‑badged cards, domestic vs international usage and basic troubleshooting steps.</w:t>
        <w:br/>
        <w:t>• Training materials shall incorporate information from AEP and CBUAE awareness campaigns where authorised, and shall align with internal policies and customer communication standards.</w:t>
        <w:br/>
        <w:t>• Refresher training shall be provided when significant changes occur in Jaywan scheme rules, regulatory requirements or the bank’s Jaywan product set.</w:t>
        <w:br/>
        <w:t xml:space="preserve">• Completion of Jaywan training for key roles shall be tracked and reported to management as part of readiness assessments. </w:t>
      </w:r>
    </w:p>
    <w:p>
      <w:pPr>
        <w:pStyle w:val="Normal"/>
        <w:rPr/>
      </w:pPr>
      <w:r>
        <w:rPr/>
      </w:r>
    </w:p>
    <w:p>
      <w:pPr>
        <w:pStyle w:val="Normal"/>
        <w:rPr/>
      </w:pPr>
      <w:r>
        <w:rPr>
          <w:b/>
          <w:bCs/>
        </w:rPr>
        <w:t>Open Questions:</w:t>
      </w:r>
      <w:r>
        <w:rPr/>
        <w:t xml:space="preserve"> • The exact detailed text of CBUAE Circular 5480‑2024 and any associated technical standards for Jaywan implementation are not provided; confirmation is required to validate all referenced obligations and any specific timelines.</w:t>
        <w:br/>
        <w:t>• Detailed Jaywan scheme technical documentation (including BIN ranges, domestic vs international determination rules, fee structures and dispute rules) is not included in the provided material and shall be obtained from AEP.</w:t>
        <w:br/>
        <w:t>• Specific CBUAE reporting formats and data fields required exclusively for Jaywan are not fully detailed in the shared contexts and shall be confirmed.</w:t>
        <w:br/>
        <w:t>• The decision on whether, and to what extent, POS tokenised transactions shall be supported by Jaywan and by the bank’s systems is pending clarification from AEP and internal stakeholders.</w:t>
        <w:br/>
        <w:t>• Detailed requirements for integration of Jaywan cards into Google Pay and Apple Pay beyond the explicit mention of Samsung Wallet readiness are not described and shall depend on future scheme and wallet provider specifications.</w:t>
        <w:br/>
        <w:t>• The precise operational rules and cut‑off times for Jaywan settlement, reconciliation and dispute processing are not documented in the provided contexts and shall be clarified.</w:t>
        <w:br/>
        <w:t>• It is not specified whether any customer segments or product types are exempt from the Jaywan co‑badging mandate, requiring explicit regulatory confirmation.</w:t>
      </w:r>
    </w:p>
    <w:p>
      <w:pPr>
        <w:pStyle w:val="Normal"/>
        <w:rPr/>
      </w:pPr>
      <w:r>
        <w:rPr/>
      </w:r>
    </w:p>
    <w:p>
      <w:pPr>
        <w:pStyle w:val="Normal"/>
        <w:rPr/>
      </w:pPr>
      <w:r>
        <w:rPr>
          <w:b/>
          <w:bCs/>
        </w:rPr>
        <w:t>Contradictions (if any):</w:t>
      </w:r>
      <w:r>
        <w:rPr/>
        <w:t xml:space="preserve"> • The provided contexts reference that Jaywan mono‑badge cards are for local and GCC usage and co‑badge cards are for local and international usage, but no full original source documents (such as the complete text of "Jaywan – the UAE's First Domestic Card Scheme Introduced to Strengthen the UAE's Position as a Global Hub for Digital Payments") are available to confirm detailed geographic definitions; this is a limitation rather than a clear contradiction.</w:t>
        <w:br/>
        <w:t>• The context summarising the CBUAE circular mentions mandate reference number 5480‑2024 and states that banks issuing MasterCard or Visa "must in future issue a co‑badged card"; without access to the complete official CBUAE circular document, it is not possible to verify whether there are exceptions or phased timelines, so any perceived absolute requirement may or may not fully reflect the original circular.</w:t>
        <w:br/>
        <w:t>• The public‑facing description "Jaywan: UAE's new domestic card payment scheme; all your questions answered" suggests future expansions outside the UAE through bilateral agreements (e.g. India by mid‑2025), while the core positioning emphasises Jaywan as a domestic scheme; this creates a tension between domestic positioning and cross‑border usability but does not provide enough detail in the excerpts to qualify as a formal contradiction.</w:t>
        <w:br/>
        <w:t>• No explicit conflicting numeric values, timelines or technical parameters are present in the snippets from "Jaywan: UAE's new domestic card payment scheme; all your questions answered" and "Jaywan – the UAE's First Domestic Card Scheme Introduced to Strengthen the UAE's Position as a Global Hub for Digital Payments"; the main gaps relate to missing details rather than direct contradictions.</w:t>
      </w:r>
    </w:p>
    <w:p>
      <w:pPr>
        <w:pStyle w:val="Normal"/>
        <w:rPr/>
      </w:pPr>
      <w:r>
        <w:rPr/>
      </w:r>
    </w:p>
    <w:p>
      <w:pPr>
        <w:pStyle w:val="Normal"/>
        <w:rPr>
          <w:b/>
          <w:bCs/>
        </w:rPr>
      </w:pPr>
      <w:r>
        <w:rPr>
          <w:b/>
          <w:bCs/>
        </w:rPr>
      </w:r>
    </w:p>
    <w:p>
      <w:pPr>
        <w:pStyle w:val="Normal"/>
        <w:rPr/>
      </w:pPr>
      <w:r>
        <w:rPr>
          <w:b/>
          <w:bCs/>
        </w:rPr>
        <w:t>Process Diagram:</w:t>
      </w:r>
      <w:r>
        <w:rPr/>
      </w:r>
    </w:p>
    <w:p>
      <w:pPr>
        <w:pStyle w:val="Normal"/>
        <w:rPr>
          <w:rFonts w:ascii="Consolas;Courier New;monospace" w:hAnsi="Consolas;Courier New;monospace"/>
          <w:b w:val="false"/>
          <w:color w:val="CE9178"/>
          <w:sz w:val="24"/>
          <w:szCs w:val="24"/>
          <w:shd w:fill="1F1F1F" w:val="clear"/>
        </w:rPr>
      </w:pPr>
      <w:r>
        <w:rPr>
          <w:rFonts w:ascii="Consolas;Courier New;monospace" w:hAnsi="Consolas;Courier New;monospace"/>
          <w:b w:val="false"/>
          <w:color w:val="CE9178"/>
          <w:sz w:val="24"/>
          <w:szCs w:val="24"/>
          <w:shd w:fill="1F1F1F" w:val="clear"/>
        </w:rPr>
      </w:r>
    </w:p>
    <w:p>
      <w:pPr>
        <w:pStyle w:val="Normal"/>
        <w:rPr/>
      </w:pPr>
      <w:r>
        <w:rPr/>
      </w:r>
    </w:p>
    <w:p>
      <w:pPr>
        <w:pStyle w:val="Normal"/>
        <w:rPr/>
      </w:pPr>
      <w:r>
        <w:rPr/>
      </w:r>
    </w:p>
    <w:p>
      <w:pPr>
        <w:pStyle w:val="Normal"/>
        <w:widowControl/>
        <w:bidi w:val="0"/>
        <w:spacing w:lineRule="auto" w:line="278" w:before="0" w:after="160"/>
        <w:jc w:val="left"/>
        <w:rPr/>
      </w:pPr>
      <w:r>
        <w:rPr/>
      </w:r>
    </w:p>
    <w:p>
      <w:pPr>
        <w:keepNext w:val="0"/>
        <w:keepLines/>
        <w:spacing w:before="120" w:after="240"/>
        <w:jc w:val="center"/>
      </w:pPr>
      <w:r>
        <w:drawing>
          <wp:inline xmlns:a="http://schemas.openxmlformats.org/drawingml/2006/main">
            <wp:extent cx="4052629" cy="8192628"/>
            <wp:docPr id="1" name="Picture 1"/>
            <wp:cNvGraphicFramePr>
              <a:graphicFrameLocks noChangeAspect="1"/>
            </wp:cNvGraphicFramePr>
            <a:graphic>
              <a:graphicData uri="http://schemas.openxmlformats.org/drawingml/2006/picture">
                <pic:pic>
                  <pic:nvPicPr>
                    <pic:cNvPr id="0" name="process_flow.png"/>
                    <pic:cNvPicPr/>
                  </pic:nvPicPr>
                  <pic:blipFill>
                    <a:blip r:embed="rId5"/>
                    <a:stretch>
                      <a:fillRect/>
                    </a:stretch>
                  </pic:blipFill>
                  <pic:spPr>
                    <a:xfrm>
                      <a:off x="0" y="0"/>
                      <a:ext cx="4052629" cy="8192628"/>
                    </a:xfrm>
                    <a:prstGeom prst="rect"/>
                  </pic:spPr>
                </pic:pic>
              </a:graphicData>
            </a:graphic>
          </wp:inline>
        </w:drawing>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 w:name="Consolas">
    <w:altName w:val="Courier New"/>
    <w:charset w:val="00"/>
    <w:family w:val="roman"/>
    <w:pitch w:val="variable"/>
  </w:font>
</w:fonts>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3c147e"/>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3c147e"/>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3c147e"/>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c147e"/>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c147e"/>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c147e"/>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c147e"/>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c147e"/>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c147e"/>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c147e"/>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3c147e"/>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3c147e"/>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3c147e"/>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3c147e"/>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c147e"/>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c147e"/>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c147e"/>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c147e"/>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3c147e"/>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c147e"/>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c147e"/>
    <w:rPr>
      <w:i/>
      <w:iCs/>
      <w:color w:themeColor="text1" w:themeTint="bf" w:val="404040"/>
    </w:rPr>
  </w:style>
  <w:style w:type="character" w:styleId="IntenseEmphasis">
    <w:name w:val="Intense Emphasis"/>
    <w:basedOn w:val="DefaultParagraphFont"/>
    <w:uiPriority w:val="21"/>
    <w:qFormat/>
    <w:rsid w:val="003c147e"/>
    <w:rPr>
      <w:i/>
      <w:iCs/>
      <w:color w:themeColor="accent1" w:themeShade="bf" w:val="0F4761"/>
    </w:rPr>
  </w:style>
  <w:style w:type="character" w:styleId="IntenseQuoteChar" w:customStyle="1">
    <w:name w:val="Intense Quote Char"/>
    <w:basedOn w:val="DefaultParagraphFont"/>
    <w:link w:val="IntenseQuote"/>
    <w:uiPriority w:val="30"/>
    <w:qFormat/>
    <w:rsid w:val="003c147e"/>
    <w:rPr>
      <w:i/>
      <w:iCs/>
      <w:color w:themeColor="accent1" w:themeShade="bf" w:val="0F4761"/>
    </w:rPr>
  </w:style>
  <w:style w:type="character" w:styleId="IntenseReference">
    <w:name w:val="Intense Reference"/>
    <w:basedOn w:val="DefaultParagraphFont"/>
    <w:uiPriority w:val="32"/>
    <w:qFormat/>
    <w:rsid w:val="003c147e"/>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rsid w:val="003c147e"/>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c147e"/>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c147e"/>
    <w:pPr>
      <w:spacing w:before="160" w:after="160"/>
      <w:jc w:val="center"/>
    </w:pPr>
    <w:rPr>
      <w:i/>
      <w:iCs/>
      <w:color w:themeColor="text1" w:themeTint="bf" w:val="404040"/>
    </w:rPr>
  </w:style>
  <w:style w:type="paragraph" w:styleId="ListParagraph">
    <w:name w:val="List Paragraph"/>
    <w:basedOn w:val="Normal"/>
    <w:uiPriority w:val="34"/>
    <w:qFormat/>
    <w:rsid w:val="003c147e"/>
    <w:pPr>
      <w:spacing w:before="0" w:after="160"/>
      <w:ind w:left="720"/>
      <w:contextualSpacing/>
    </w:pPr>
    <w:rPr/>
  </w:style>
  <w:style w:type="paragraph" w:styleId="IntenseQuote">
    <w:name w:val="Intense Quote"/>
    <w:basedOn w:val="Normal"/>
    <w:next w:val="Normal"/>
    <w:link w:val="IntenseQuoteChar"/>
    <w:uiPriority w:val="30"/>
    <w:qFormat/>
    <w:rsid w:val="003c147e"/>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739</TotalTime>
  <Application>LibreOffice/25.2.7.2$Windows_X86_64 LibreOffice_project/5cbfd1ab6520636bb5f7b99185aa69bd7456825d</Application>
  <AppVersion>15.0000</AppVersion>
  <Pages>4</Pages>
  <Words>144</Words>
  <Characters>1360</Characters>
  <CharactersWithSpaces>1428</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2026-01-21T10:44:00Z</dcterms:created>
  <dc:creator>Md Anwar</dc:creator>
  <dc:description/>
  <dc:language>en-US</dc:language>
  <cp:lastModifiedBy/>
  <dcterms:modified xsi:type="dcterms:W3CDTF">2026-02-02T10:36:59Z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file>