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B43FC" w14:textId="305D6533" w:rsidR="00473027" w:rsidRPr="0048746B" w:rsidRDefault="004A39D2" w:rsidP="004F7951">
      <w:pPr>
        <w:ind w:hanging="567"/>
        <w:jc w:val="center"/>
        <w:rPr>
          <w:rFonts w:ascii="Times New Roman" w:hAnsi="Times New Roman" w:cs="Times New Roman"/>
          <w:b/>
          <w:bCs/>
          <w:sz w:val="32"/>
          <w:szCs w:val="32"/>
        </w:rPr>
      </w:pPr>
      <w:r w:rsidRPr="0048746B">
        <w:rPr>
          <w:rFonts w:ascii="Times New Roman" w:hAnsi="Times New Roman" w:cs="Times New Roman"/>
          <w:b/>
          <w:bCs/>
          <w:sz w:val="32"/>
          <w:szCs w:val="32"/>
        </w:rPr>
        <w:t xml:space="preserve">Windmills </w:t>
      </w:r>
      <w:r w:rsidR="00836AF6" w:rsidRPr="0048746B">
        <w:rPr>
          <w:rFonts w:ascii="Times New Roman" w:hAnsi="Times New Roman" w:cs="Times New Roman"/>
          <w:b/>
          <w:bCs/>
          <w:sz w:val="32"/>
          <w:szCs w:val="32"/>
        </w:rPr>
        <w:t>Real Estate</w:t>
      </w:r>
      <w:r w:rsidR="00215360" w:rsidRPr="0048746B">
        <w:rPr>
          <w:rFonts w:ascii="Times New Roman" w:hAnsi="Times New Roman" w:cs="Times New Roman"/>
          <w:b/>
          <w:bCs/>
          <w:sz w:val="32"/>
          <w:szCs w:val="32"/>
        </w:rPr>
        <w:t xml:space="preserve"> </w:t>
      </w:r>
      <w:r w:rsidRPr="0048746B">
        <w:rPr>
          <w:rFonts w:ascii="Times New Roman" w:hAnsi="Times New Roman" w:cs="Times New Roman"/>
          <w:b/>
          <w:bCs/>
          <w:sz w:val="32"/>
          <w:szCs w:val="32"/>
        </w:rPr>
        <w:t>Valuation Services LLC</w:t>
      </w:r>
    </w:p>
    <w:p w14:paraId="1733AB20" w14:textId="7105E1B6" w:rsidR="00831002" w:rsidRPr="00C6574B" w:rsidRDefault="00831002" w:rsidP="00EA1A88">
      <w:pPr>
        <w:spacing w:after="0"/>
        <w:ind w:hanging="567"/>
        <w:rPr>
          <w:rFonts w:ascii="Times New Roman" w:hAnsi="Times New Roman" w:cs="Times New Roman"/>
        </w:rPr>
      </w:pPr>
      <w:r w:rsidRPr="00C6574B">
        <w:rPr>
          <w:rFonts w:ascii="Times New Roman" w:hAnsi="Times New Roman" w:cs="Times New Roman"/>
        </w:rPr>
        <w:t xml:space="preserve">Address: 604, Al Barsha Business Centre, Al Barsha 1, Dubai, UAE  </w:t>
      </w:r>
    </w:p>
    <w:p w14:paraId="4D70BDE7" w14:textId="3438B002" w:rsidR="00831002" w:rsidRPr="00C6574B" w:rsidRDefault="00831002" w:rsidP="00EA1A88">
      <w:pPr>
        <w:spacing w:after="0"/>
        <w:ind w:hanging="567"/>
        <w:rPr>
          <w:rFonts w:ascii="Times New Roman" w:hAnsi="Times New Roman" w:cs="Times New Roman"/>
        </w:rPr>
      </w:pPr>
      <w:r w:rsidRPr="00C6574B">
        <w:rPr>
          <w:rFonts w:ascii="Times New Roman" w:hAnsi="Times New Roman" w:cs="Times New Roman"/>
        </w:rPr>
        <w:t>Contact: +971 4 346 0290</w:t>
      </w:r>
    </w:p>
    <w:p w14:paraId="24173A8C" w14:textId="77777777" w:rsidR="00831002" w:rsidRPr="00C6574B" w:rsidRDefault="00831002" w:rsidP="00EA1A88">
      <w:pPr>
        <w:spacing w:after="0"/>
        <w:ind w:hanging="567"/>
        <w:rPr>
          <w:rFonts w:ascii="Times New Roman" w:hAnsi="Times New Roman" w:cs="Times New Roman"/>
        </w:rPr>
      </w:pPr>
    </w:p>
    <w:p w14:paraId="6A5E743E" w14:textId="2CEA0C75" w:rsidR="00831002" w:rsidRPr="00C6574B" w:rsidRDefault="00B11E61" w:rsidP="00EA1A88">
      <w:pPr>
        <w:ind w:hanging="567"/>
        <w:rPr>
          <w:rFonts w:ascii="Times New Roman" w:hAnsi="Times New Roman" w:cs="Times New Roman"/>
        </w:rPr>
      </w:pPr>
      <w:r w:rsidRPr="00C6574B">
        <w:rPr>
          <w:rFonts w:ascii="Times New Roman" w:hAnsi="Times New Roman" w:cs="Times New Roman"/>
        </w:rPr>
        <w:t>Date: 1</w:t>
      </w:r>
      <w:r w:rsidRPr="00C6574B">
        <w:rPr>
          <w:rFonts w:ascii="Times New Roman" w:hAnsi="Times New Roman" w:cs="Times New Roman"/>
          <w:vertAlign w:val="superscript"/>
        </w:rPr>
        <w:t>st</w:t>
      </w:r>
      <w:r w:rsidRPr="00C6574B">
        <w:rPr>
          <w:rFonts w:ascii="Times New Roman" w:hAnsi="Times New Roman" w:cs="Times New Roman"/>
        </w:rPr>
        <w:t xml:space="preserve"> </w:t>
      </w:r>
      <w:proofErr w:type="gramStart"/>
      <w:r w:rsidRPr="00C6574B">
        <w:rPr>
          <w:rFonts w:ascii="Times New Roman" w:hAnsi="Times New Roman" w:cs="Times New Roman"/>
        </w:rPr>
        <w:t>March</w:t>
      </w:r>
      <w:r w:rsidR="00B67A89" w:rsidRPr="00C6574B">
        <w:rPr>
          <w:rFonts w:ascii="Times New Roman" w:hAnsi="Times New Roman" w:cs="Times New Roman"/>
        </w:rPr>
        <w:t>,</w:t>
      </w:r>
      <w:proofErr w:type="gramEnd"/>
      <w:r w:rsidRPr="00C6574B">
        <w:rPr>
          <w:rFonts w:ascii="Times New Roman" w:hAnsi="Times New Roman" w:cs="Times New Roman"/>
        </w:rPr>
        <w:t xml:space="preserve"> 2025</w:t>
      </w:r>
    </w:p>
    <w:p w14:paraId="07C2B063" w14:textId="5D151FF4" w:rsidR="004F7951" w:rsidRPr="00C6574B" w:rsidRDefault="004F7951" w:rsidP="00EA1A88">
      <w:pPr>
        <w:ind w:hanging="567"/>
        <w:rPr>
          <w:rFonts w:ascii="Times New Roman" w:hAnsi="Times New Roman" w:cs="Times New Roman"/>
        </w:rPr>
      </w:pPr>
      <w:r w:rsidRPr="00C6574B">
        <w:rPr>
          <w:rFonts w:ascii="Times New Roman" w:hAnsi="Times New Roman" w:cs="Times New Roman"/>
        </w:rPr>
        <w:t xml:space="preserve">Client: Emaar Properties </w:t>
      </w:r>
    </w:p>
    <w:p w14:paraId="4D93AF76" w14:textId="187DEBDA" w:rsidR="00C41C6D" w:rsidRPr="00C6574B" w:rsidRDefault="00C41C6D" w:rsidP="00C41C6D">
      <w:pPr>
        <w:ind w:left="-567"/>
        <w:rPr>
          <w:rFonts w:ascii="Times New Roman" w:hAnsi="Times New Roman" w:cs="Times New Roman"/>
        </w:rPr>
      </w:pPr>
      <w:r w:rsidRPr="00C6574B">
        <w:rPr>
          <w:rFonts w:ascii="Times New Roman" w:hAnsi="Times New Roman" w:cs="Times New Roman"/>
        </w:rPr>
        <w:t>The purpose of this summary appraisal report is to provide the lender/client with an accurate, and adequately supported, opinion of the market value of the subject property.</w:t>
      </w:r>
    </w:p>
    <w:p w14:paraId="4219C079" w14:textId="67D4C5FE" w:rsidR="004A39D2" w:rsidRPr="0048746B" w:rsidRDefault="00831002" w:rsidP="008B1209">
      <w:pPr>
        <w:ind w:hanging="567"/>
        <w:jc w:val="center"/>
        <w:rPr>
          <w:rFonts w:ascii="Times New Roman" w:hAnsi="Times New Roman" w:cs="Times New Roman"/>
          <w:b/>
          <w:bCs/>
          <w:sz w:val="28"/>
          <w:szCs w:val="28"/>
        </w:rPr>
      </w:pPr>
      <w:r w:rsidRPr="0048746B">
        <w:rPr>
          <w:rFonts w:ascii="Times New Roman" w:hAnsi="Times New Roman" w:cs="Times New Roman"/>
          <w:b/>
          <w:bCs/>
          <w:sz w:val="28"/>
          <w:szCs w:val="28"/>
        </w:rPr>
        <w:t>Summary of Facts and Conclusion</w:t>
      </w:r>
    </w:p>
    <w:tbl>
      <w:tblPr>
        <w:tblStyle w:val="TableGrid"/>
        <w:tblW w:w="10632" w:type="dxa"/>
        <w:tblInd w:w="-572" w:type="dxa"/>
        <w:tblLook w:val="04A0" w:firstRow="1" w:lastRow="0" w:firstColumn="1" w:lastColumn="0" w:noHBand="0" w:noVBand="1"/>
      </w:tblPr>
      <w:tblGrid>
        <w:gridCol w:w="2694"/>
        <w:gridCol w:w="7938"/>
      </w:tblGrid>
      <w:tr w:rsidR="0048746B" w:rsidRPr="0048746B" w14:paraId="250221F8" w14:textId="77777777" w:rsidTr="00CB108A">
        <w:tc>
          <w:tcPr>
            <w:tcW w:w="10632" w:type="dxa"/>
            <w:gridSpan w:val="2"/>
            <w:shd w:val="clear" w:color="auto" w:fill="0070C0"/>
            <w:vAlign w:val="center"/>
          </w:tcPr>
          <w:p w14:paraId="7CD8D220" w14:textId="49AC07E0" w:rsidR="00802FBD" w:rsidRPr="0048746B" w:rsidRDefault="00802FBD" w:rsidP="00EA1A88">
            <w:pPr>
              <w:ind w:hanging="567"/>
              <w:jc w:val="center"/>
              <w:rPr>
                <w:rFonts w:ascii="Times New Roman" w:hAnsi="Times New Roman" w:cs="Times New Roman"/>
                <w:b/>
                <w:bCs/>
                <w:sz w:val="24"/>
                <w:szCs w:val="24"/>
              </w:rPr>
            </w:pPr>
            <w:r w:rsidRPr="0048746B">
              <w:rPr>
                <w:rFonts w:ascii="Times New Roman" w:hAnsi="Times New Roman" w:cs="Times New Roman"/>
                <w:b/>
                <w:bCs/>
                <w:sz w:val="24"/>
                <w:szCs w:val="24"/>
              </w:rPr>
              <w:t>General</w:t>
            </w:r>
          </w:p>
        </w:tc>
      </w:tr>
      <w:tr w:rsidR="0048746B" w:rsidRPr="0048746B" w14:paraId="02A34C1F" w14:textId="77777777" w:rsidTr="005F17B1">
        <w:tc>
          <w:tcPr>
            <w:tcW w:w="2694" w:type="dxa"/>
          </w:tcPr>
          <w:p w14:paraId="3C425942" w14:textId="012B0F77" w:rsidR="00594E06" w:rsidRPr="00C6574B" w:rsidRDefault="00594E06" w:rsidP="00EA1A88">
            <w:pPr>
              <w:ind w:firstLine="39"/>
              <w:rPr>
                <w:rFonts w:ascii="Times New Roman" w:hAnsi="Times New Roman" w:cs="Times New Roman"/>
              </w:rPr>
            </w:pPr>
            <w:r w:rsidRPr="00C6574B">
              <w:rPr>
                <w:rFonts w:ascii="Times New Roman" w:hAnsi="Times New Roman" w:cs="Times New Roman"/>
              </w:rPr>
              <w:t>Property</w:t>
            </w:r>
            <w:r w:rsidR="00407C0F" w:rsidRPr="00C6574B">
              <w:rPr>
                <w:rFonts w:ascii="Times New Roman" w:hAnsi="Times New Roman" w:cs="Times New Roman"/>
              </w:rPr>
              <w:t xml:space="preserve"> </w:t>
            </w:r>
            <w:r w:rsidR="00994BC9">
              <w:rPr>
                <w:rFonts w:ascii="Times New Roman" w:hAnsi="Times New Roman" w:cs="Times New Roman"/>
              </w:rPr>
              <w:t xml:space="preserve">Name and </w:t>
            </w:r>
            <w:r w:rsidR="00255022" w:rsidRPr="00C6574B">
              <w:rPr>
                <w:rFonts w:ascii="Times New Roman" w:hAnsi="Times New Roman" w:cs="Times New Roman"/>
              </w:rPr>
              <w:t>Address</w:t>
            </w:r>
          </w:p>
        </w:tc>
        <w:tc>
          <w:tcPr>
            <w:tcW w:w="7938" w:type="dxa"/>
            <w:vAlign w:val="center"/>
          </w:tcPr>
          <w:p w14:paraId="27A86DEA" w14:textId="52E63FFD" w:rsidR="0083456F" w:rsidRPr="00C6574B" w:rsidRDefault="00407C0F" w:rsidP="005F17B1">
            <w:pPr>
              <w:pStyle w:val="Default"/>
              <w:ind w:left="31"/>
              <w:rPr>
                <w:color w:val="auto"/>
                <w:sz w:val="22"/>
                <w:szCs w:val="22"/>
              </w:rPr>
            </w:pPr>
            <w:r w:rsidRPr="00C6574B">
              <w:rPr>
                <w:color w:val="auto"/>
                <w:sz w:val="22"/>
                <w:szCs w:val="22"/>
              </w:rPr>
              <w:t xml:space="preserve">ABC Courtyard Apartments </w:t>
            </w:r>
          </w:p>
          <w:p w14:paraId="58670122" w14:textId="60799CA1" w:rsidR="00594E06" w:rsidRPr="00C6574B" w:rsidRDefault="00551F63" w:rsidP="005F17B1">
            <w:pPr>
              <w:pStyle w:val="Default"/>
              <w:ind w:left="31"/>
              <w:rPr>
                <w:color w:val="auto"/>
                <w:sz w:val="22"/>
                <w:szCs w:val="22"/>
              </w:rPr>
            </w:pPr>
            <w:r w:rsidRPr="00C6574B">
              <w:rPr>
                <w:color w:val="auto"/>
                <w:sz w:val="22"/>
                <w:szCs w:val="22"/>
              </w:rPr>
              <w:t xml:space="preserve">Business Bay, Dubai - </w:t>
            </w:r>
            <w:r w:rsidR="009F3CB9" w:rsidRPr="00C6574B">
              <w:rPr>
                <w:color w:val="auto"/>
                <w:sz w:val="22"/>
                <w:szCs w:val="22"/>
              </w:rPr>
              <w:t>500001</w:t>
            </w:r>
          </w:p>
        </w:tc>
      </w:tr>
      <w:tr w:rsidR="005734C6" w:rsidRPr="0048746B" w14:paraId="0DA9AC81" w14:textId="77777777" w:rsidTr="005F17B1">
        <w:tc>
          <w:tcPr>
            <w:tcW w:w="2694" w:type="dxa"/>
          </w:tcPr>
          <w:p w14:paraId="7820D163" w14:textId="2647E398" w:rsidR="005734C6" w:rsidRPr="00C6574B" w:rsidRDefault="005734C6" w:rsidP="00EA1A88">
            <w:pPr>
              <w:ind w:firstLine="39"/>
              <w:rPr>
                <w:rFonts w:ascii="Times New Roman" w:hAnsi="Times New Roman" w:cs="Times New Roman"/>
              </w:rPr>
            </w:pPr>
            <w:r w:rsidRPr="00C6574B">
              <w:rPr>
                <w:rFonts w:ascii="Times New Roman" w:hAnsi="Times New Roman" w:cs="Times New Roman"/>
              </w:rPr>
              <w:t>Borrower</w:t>
            </w:r>
          </w:p>
        </w:tc>
        <w:tc>
          <w:tcPr>
            <w:tcW w:w="7938" w:type="dxa"/>
            <w:vAlign w:val="center"/>
          </w:tcPr>
          <w:p w14:paraId="1E0DACC4" w14:textId="4581424D" w:rsidR="005734C6" w:rsidRPr="00C6574B" w:rsidRDefault="005734C6" w:rsidP="005F17B1">
            <w:pPr>
              <w:pStyle w:val="Default"/>
              <w:ind w:left="31"/>
              <w:rPr>
                <w:color w:val="auto"/>
                <w:sz w:val="22"/>
                <w:szCs w:val="22"/>
              </w:rPr>
            </w:pPr>
            <w:r w:rsidRPr="00C6574B">
              <w:rPr>
                <w:color w:val="auto"/>
                <w:sz w:val="22"/>
                <w:szCs w:val="22"/>
              </w:rPr>
              <w:t>Emaar Properties</w:t>
            </w:r>
          </w:p>
        </w:tc>
      </w:tr>
      <w:tr w:rsidR="005734C6" w:rsidRPr="0048746B" w14:paraId="06287DBB" w14:textId="77777777" w:rsidTr="005F17B1">
        <w:tc>
          <w:tcPr>
            <w:tcW w:w="2694" w:type="dxa"/>
          </w:tcPr>
          <w:p w14:paraId="7E4CECB8" w14:textId="5BD647ED" w:rsidR="005734C6" w:rsidRPr="00C6574B" w:rsidRDefault="005734C6" w:rsidP="00EA1A88">
            <w:pPr>
              <w:ind w:firstLine="39"/>
              <w:rPr>
                <w:rFonts w:ascii="Times New Roman" w:hAnsi="Times New Roman" w:cs="Times New Roman"/>
              </w:rPr>
            </w:pPr>
            <w:r w:rsidRPr="00C6574B">
              <w:rPr>
                <w:rFonts w:ascii="Times New Roman" w:hAnsi="Times New Roman" w:cs="Times New Roman"/>
              </w:rPr>
              <w:t>City</w:t>
            </w:r>
          </w:p>
        </w:tc>
        <w:tc>
          <w:tcPr>
            <w:tcW w:w="7938" w:type="dxa"/>
            <w:vAlign w:val="center"/>
          </w:tcPr>
          <w:p w14:paraId="682247C7" w14:textId="13663834" w:rsidR="005734C6" w:rsidRPr="00C6574B" w:rsidRDefault="005734C6" w:rsidP="005F17B1">
            <w:pPr>
              <w:pStyle w:val="Default"/>
              <w:ind w:left="31"/>
              <w:rPr>
                <w:color w:val="auto"/>
                <w:sz w:val="22"/>
                <w:szCs w:val="22"/>
              </w:rPr>
            </w:pPr>
            <w:r w:rsidRPr="00C6574B">
              <w:rPr>
                <w:color w:val="auto"/>
                <w:sz w:val="22"/>
                <w:szCs w:val="22"/>
              </w:rPr>
              <w:t>Dubai</w:t>
            </w:r>
          </w:p>
        </w:tc>
      </w:tr>
      <w:tr w:rsidR="0048746B" w:rsidRPr="0048746B" w14:paraId="596820E1" w14:textId="77777777" w:rsidTr="005F17B1">
        <w:tc>
          <w:tcPr>
            <w:tcW w:w="2694" w:type="dxa"/>
          </w:tcPr>
          <w:p w14:paraId="49D9DF93" w14:textId="5076D277" w:rsidR="00407C0F" w:rsidRPr="00C6574B" w:rsidRDefault="00407C0F" w:rsidP="00AF16E4">
            <w:pPr>
              <w:ind w:left="39"/>
              <w:rPr>
                <w:rFonts w:ascii="Times New Roman" w:hAnsi="Times New Roman" w:cs="Times New Roman"/>
              </w:rPr>
            </w:pPr>
            <w:r w:rsidRPr="00C6574B">
              <w:rPr>
                <w:rFonts w:ascii="Times New Roman" w:hAnsi="Times New Roman" w:cs="Times New Roman"/>
              </w:rPr>
              <w:t xml:space="preserve">Property </w:t>
            </w:r>
            <w:r w:rsidR="00AF16E4" w:rsidRPr="00C6574B">
              <w:rPr>
                <w:rFonts w:ascii="Times New Roman" w:hAnsi="Times New Roman" w:cs="Times New Roman"/>
              </w:rPr>
              <w:t>Description and Type</w:t>
            </w:r>
          </w:p>
        </w:tc>
        <w:tc>
          <w:tcPr>
            <w:tcW w:w="7938" w:type="dxa"/>
            <w:vAlign w:val="center"/>
          </w:tcPr>
          <w:p w14:paraId="0F017A84" w14:textId="77777777" w:rsidR="00A81290" w:rsidRPr="00C6574B" w:rsidRDefault="00407C0F" w:rsidP="005F17B1">
            <w:pPr>
              <w:pStyle w:val="Default"/>
              <w:ind w:left="31"/>
              <w:rPr>
                <w:color w:val="auto"/>
                <w:sz w:val="22"/>
                <w:szCs w:val="22"/>
              </w:rPr>
            </w:pPr>
            <w:r w:rsidRPr="00C6574B">
              <w:rPr>
                <w:color w:val="auto"/>
                <w:sz w:val="22"/>
                <w:szCs w:val="22"/>
              </w:rPr>
              <w:t xml:space="preserve">A 62 </w:t>
            </w:r>
            <w:r w:rsidR="009F3CB9" w:rsidRPr="00C6574B">
              <w:rPr>
                <w:color w:val="auto"/>
                <w:sz w:val="22"/>
                <w:szCs w:val="22"/>
              </w:rPr>
              <w:t>unit multi</w:t>
            </w:r>
            <w:r w:rsidR="0086327B" w:rsidRPr="00C6574B">
              <w:rPr>
                <w:color w:val="auto"/>
                <w:sz w:val="22"/>
                <w:szCs w:val="22"/>
              </w:rPr>
              <w:t>-</w:t>
            </w:r>
            <w:r w:rsidR="009F3CB9" w:rsidRPr="00C6574B">
              <w:rPr>
                <w:color w:val="auto"/>
                <w:sz w:val="22"/>
                <w:szCs w:val="22"/>
              </w:rPr>
              <w:t>family</w:t>
            </w:r>
            <w:r w:rsidR="00A81290" w:rsidRPr="00C6574B">
              <w:rPr>
                <w:color w:val="auto"/>
                <w:sz w:val="22"/>
                <w:szCs w:val="22"/>
              </w:rPr>
              <w:t xml:space="preserve"> residential zoned land</w:t>
            </w:r>
          </w:p>
          <w:p w14:paraId="0BA77AEE" w14:textId="67825B9D" w:rsidR="00407C0F" w:rsidRPr="00C6574B" w:rsidRDefault="00407C0F" w:rsidP="005F17B1">
            <w:pPr>
              <w:pStyle w:val="Default"/>
              <w:ind w:left="31"/>
              <w:rPr>
                <w:color w:val="auto"/>
                <w:sz w:val="22"/>
                <w:szCs w:val="22"/>
              </w:rPr>
            </w:pPr>
            <w:r w:rsidRPr="00C6574B">
              <w:rPr>
                <w:color w:val="auto"/>
                <w:sz w:val="22"/>
                <w:szCs w:val="22"/>
              </w:rPr>
              <w:t xml:space="preserve"> </w:t>
            </w:r>
          </w:p>
          <w:p w14:paraId="07A028C5" w14:textId="70FE49FD" w:rsidR="00407C0F" w:rsidRPr="00C6574B" w:rsidRDefault="00407C0F" w:rsidP="005F17B1">
            <w:pPr>
              <w:pStyle w:val="Default"/>
              <w:ind w:left="31"/>
              <w:rPr>
                <w:color w:val="auto"/>
                <w:sz w:val="22"/>
                <w:szCs w:val="22"/>
              </w:rPr>
            </w:pPr>
            <w:r w:rsidRPr="00C6574B">
              <w:rPr>
                <w:color w:val="auto"/>
                <w:sz w:val="22"/>
                <w:szCs w:val="22"/>
              </w:rPr>
              <w:t>The subject property</w:t>
            </w:r>
            <w:r w:rsidR="008B1209" w:rsidRPr="00C6574B">
              <w:rPr>
                <w:color w:val="auto"/>
                <w:sz w:val="22"/>
                <w:szCs w:val="22"/>
              </w:rPr>
              <w:t xml:space="preserve"> ‘as is’ </w:t>
            </w:r>
            <w:r w:rsidRPr="00C6574B">
              <w:rPr>
                <w:color w:val="auto"/>
                <w:sz w:val="22"/>
                <w:szCs w:val="22"/>
              </w:rPr>
              <w:t xml:space="preserve">consists of three parcels of multi-family residential zoned land containing an aggregate of 4.84 acres, improved with an existing apartment complex comprised of eight apartment buildings with a total of 62 units plus an office/laundry/maintenance building. </w:t>
            </w:r>
          </w:p>
          <w:p w14:paraId="30BC8039" w14:textId="77777777" w:rsidR="00A81290" w:rsidRPr="00C6574B" w:rsidRDefault="00A81290" w:rsidP="005F17B1">
            <w:pPr>
              <w:pStyle w:val="Default"/>
              <w:ind w:left="31"/>
              <w:rPr>
                <w:color w:val="auto"/>
                <w:sz w:val="22"/>
                <w:szCs w:val="22"/>
              </w:rPr>
            </w:pPr>
          </w:p>
          <w:p w14:paraId="4662DA93" w14:textId="5FA9A8D4" w:rsidR="00F51E43" w:rsidRPr="00C6574B" w:rsidRDefault="00F51E43" w:rsidP="005F17B1">
            <w:pPr>
              <w:pStyle w:val="Default"/>
              <w:ind w:left="31"/>
              <w:rPr>
                <w:color w:val="auto"/>
                <w:sz w:val="22"/>
                <w:szCs w:val="22"/>
              </w:rPr>
            </w:pPr>
            <w:r w:rsidRPr="00C6574B">
              <w:rPr>
                <w:sz w:val="22"/>
                <w:szCs w:val="22"/>
              </w:rPr>
              <w:t>Architect design and quality built, the homes showcase an abundance of light and unique style.</w:t>
            </w:r>
          </w:p>
        </w:tc>
      </w:tr>
      <w:tr w:rsidR="00F51E43" w:rsidRPr="0048746B" w14:paraId="7B724C3C" w14:textId="77777777" w:rsidTr="005F17B1">
        <w:tc>
          <w:tcPr>
            <w:tcW w:w="2694" w:type="dxa"/>
          </w:tcPr>
          <w:p w14:paraId="136B05E6" w14:textId="0F452929" w:rsidR="00F51E43" w:rsidRPr="00C6574B" w:rsidRDefault="00620E84" w:rsidP="00AF16E4">
            <w:pPr>
              <w:ind w:left="39"/>
              <w:rPr>
                <w:rFonts w:ascii="Times New Roman" w:hAnsi="Times New Roman" w:cs="Times New Roman"/>
              </w:rPr>
            </w:pPr>
            <w:r w:rsidRPr="00C6574B">
              <w:rPr>
                <w:rFonts w:ascii="Times New Roman" w:hAnsi="Times New Roman" w:cs="Times New Roman"/>
              </w:rPr>
              <w:t>Assignment Type</w:t>
            </w:r>
          </w:p>
        </w:tc>
        <w:tc>
          <w:tcPr>
            <w:tcW w:w="7938" w:type="dxa"/>
            <w:vAlign w:val="center"/>
          </w:tcPr>
          <w:p w14:paraId="0BCE1117" w14:textId="5AA9812F" w:rsidR="00F51E43" w:rsidRPr="00C6574B" w:rsidRDefault="00620E84" w:rsidP="00620E84">
            <w:pPr>
              <w:pStyle w:val="Default"/>
              <w:ind w:left="31"/>
              <w:rPr>
                <w:color w:val="auto"/>
                <w:sz w:val="22"/>
                <w:szCs w:val="22"/>
              </w:rPr>
            </w:pPr>
            <w:r w:rsidRPr="00C6574B">
              <w:rPr>
                <w:color w:val="auto"/>
                <w:sz w:val="22"/>
                <w:szCs w:val="22"/>
              </w:rPr>
              <w:t>The subject property is being appraised ‘As Is’, Fee Simple interest.</w:t>
            </w:r>
          </w:p>
        </w:tc>
      </w:tr>
      <w:tr w:rsidR="0048746B" w:rsidRPr="0048746B" w14:paraId="397F6235" w14:textId="77777777" w:rsidTr="005F17B1">
        <w:tc>
          <w:tcPr>
            <w:tcW w:w="2694" w:type="dxa"/>
          </w:tcPr>
          <w:p w14:paraId="23EF40A9" w14:textId="3D7F9A35" w:rsidR="002F7CE1" w:rsidRPr="00C6574B" w:rsidRDefault="00F51E43" w:rsidP="00CA1951">
            <w:pPr>
              <w:ind w:left="39"/>
              <w:rPr>
                <w:rFonts w:ascii="Times New Roman" w:hAnsi="Times New Roman" w:cs="Times New Roman"/>
              </w:rPr>
            </w:pPr>
            <w:r w:rsidRPr="00C6574B">
              <w:rPr>
                <w:rFonts w:ascii="Times New Roman" w:hAnsi="Times New Roman" w:cs="Times New Roman"/>
              </w:rPr>
              <w:t>Neighborhood</w:t>
            </w:r>
          </w:p>
        </w:tc>
        <w:tc>
          <w:tcPr>
            <w:tcW w:w="7938" w:type="dxa"/>
            <w:vAlign w:val="center"/>
          </w:tcPr>
          <w:p w14:paraId="1A040E6B" w14:textId="77777777" w:rsidR="002F7CE1" w:rsidRPr="00C6574B" w:rsidRDefault="00325A7C" w:rsidP="00620E84">
            <w:pPr>
              <w:ind w:left="31"/>
              <w:rPr>
                <w:rFonts w:ascii="Times New Roman" w:hAnsi="Times New Roman" w:cs="Times New Roman"/>
              </w:rPr>
            </w:pPr>
            <w:r w:rsidRPr="00C6574B">
              <w:rPr>
                <w:rFonts w:ascii="Times New Roman" w:hAnsi="Times New Roman" w:cs="Times New Roman"/>
              </w:rPr>
              <w:t xml:space="preserve">Contemporary country style living only minutes from shopping mall and </w:t>
            </w:r>
            <w:r w:rsidR="00D54751" w:rsidRPr="00C6574B">
              <w:rPr>
                <w:rFonts w:ascii="Times New Roman" w:hAnsi="Times New Roman" w:cs="Times New Roman"/>
              </w:rPr>
              <w:t>city cent</w:t>
            </w:r>
            <w:r w:rsidR="005F17B1" w:rsidRPr="00C6574B">
              <w:rPr>
                <w:rFonts w:ascii="Times New Roman" w:hAnsi="Times New Roman" w:cs="Times New Roman"/>
              </w:rPr>
              <w:t>er.</w:t>
            </w:r>
          </w:p>
          <w:p w14:paraId="15425A28" w14:textId="77777777" w:rsidR="00620E84" w:rsidRPr="00C6574B" w:rsidRDefault="00620E84" w:rsidP="00620E84">
            <w:pPr>
              <w:ind w:left="31"/>
              <w:rPr>
                <w:rFonts w:ascii="Times New Roman" w:hAnsi="Times New Roman" w:cs="Times New Roman"/>
              </w:rPr>
            </w:pPr>
          </w:p>
          <w:p w14:paraId="2C905E53" w14:textId="6A8A918A" w:rsidR="00620E84" w:rsidRPr="00C6574B" w:rsidRDefault="00620E84" w:rsidP="00620E84">
            <w:pPr>
              <w:ind w:left="31"/>
              <w:rPr>
                <w:rFonts w:ascii="Times New Roman" w:hAnsi="Times New Roman" w:cs="Times New Roman"/>
              </w:rPr>
            </w:pPr>
            <w:r w:rsidRPr="00C6574B">
              <w:rPr>
                <w:rFonts w:ascii="Times New Roman" w:hAnsi="Times New Roman" w:cs="Times New Roman"/>
              </w:rPr>
              <w:t>Located in urban area</w:t>
            </w:r>
            <w:r w:rsidR="006747B7" w:rsidRPr="00C6574B">
              <w:rPr>
                <w:rFonts w:ascii="Times New Roman" w:hAnsi="Times New Roman" w:cs="Times New Roman"/>
              </w:rPr>
              <w:t xml:space="preserve">. Property values here are increasing with high demand. </w:t>
            </w:r>
          </w:p>
        </w:tc>
      </w:tr>
      <w:tr w:rsidR="0048746B" w:rsidRPr="0048746B" w14:paraId="03664E40" w14:textId="77777777" w:rsidTr="008B1209">
        <w:tc>
          <w:tcPr>
            <w:tcW w:w="2694" w:type="dxa"/>
          </w:tcPr>
          <w:p w14:paraId="4DAC01C6" w14:textId="3B79DB35" w:rsidR="00594E06" w:rsidRPr="00C6574B" w:rsidRDefault="002D5C28" w:rsidP="00EA1A88">
            <w:pPr>
              <w:ind w:firstLine="39"/>
              <w:rPr>
                <w:rFonts w:ascii="Times New Roman" w:hAnsi="Times New Roman" w:cs="Times New Roman"/>
              </w:rPr>
            </w:pPr>
            <w:r w:rsidRPr="00C6574B">
              <w:rPr>
                <w:rFonts w:ascii="Times New Roman" w:hAnsi="Times New Roman" w:cs="Times New Roman"/>
              </w:rPr>
              <w:t>Owner</w:t>
            </w:r>
          </w:p>
        </w:tc>
        <w:tc>
          <w:tcPr>
            <w:tcW w:w="7938" w:type="dxa"/>
          </w:tcPr>
          <w:p w14:paraId="67FCA52B" w14:textId="549F7D73" w:rsidR="00F96E6B" w:rsidRPr="00C6574B" w:rsidRDefault="008A0B2E" w:rsidP="00EA1A88">
            <w:pPr>
              <w:pStyle w:val="Default"/>
              <w:ind w:left="31"/>
              <w:rPr>
                <w:color w:val="auto"/>
                <w:sz w:val="22"/>
                <w:szCs w:val="22"/>
              </w:rPr>
            </w:pPr>
            <w:r>
              <w:rPr>
                <w:color w:val="auto"/>
                <w:sz w:val="22"/>
                <w:szCs w:val="22"/>
              </w:rPr>
              <w:t>Emaar Properties</w:t>
            </w:r>
          </w:p>
          <w:p w14:paraId="5ACCF1D5" w14:textId="51B41945" w:rsidR="00594E06" w:rsidRPr="00C6574B" w:rsidRDefault="00F96E6B" w:rsidP="00EA1A88">
            <w:pPr>
              <w:ind w:left="31"/>
              <w:rPr>
                <w:rFonts w:ascii="Times New Roman" w:hAnsi="Times New Roman" w:cs="Times New Roman"/>
              </w:rPr>
            </w:pPr>
            <w:r w:rsidRPr="00C6574B">
              <w:rPr>
                <w:rFonts w:ascii="Times New Roman" w:hAnsi="Times New Roman" w:cs="Times New Roman"/>
              </w:rPr>
              <w:t xml:space="preserve">1234 </w:t>
            </w:r>
            <w:r w:rsidR="005F17B1" w:rsidRPr="00C6574B">
              <w:rPr>
                <w:rFonts w:ascii="Times New Roman" w:hAnsi="Times New Roman" w:cs="Times New Roman"/>
              </w:rPr>
              <w:t>Street, Dubai - 50001</w:t>
            </w:r>
            <w:r w:rsidRPr="00C6574B">
              <w:rPr>
                <w:rFonts w:ascii="Times New Roman" w:hAnsi="Times New Roman" w:cs="Times New Roman"/>
              </w:rPr>
              <w:t xml:space="preserve"> </w:t>
            </w:r>
          </w:p>
        </w:tc>
      </w:tr>
      <w:tr w:rsidR="0048746B" w:rsidRPr="0048746B" w14:paraId="4C5F95F4" w14:textId="77777777" w:rsidTr="008B1209">
        <w:tc>
          <w:tcPr>
            <w:tcW w:w="2694" w:type="dxa"/>
          </w:tcPr>
          <w:p w14:paraId="44ABE29D" w14:textId="20C248B6" w:rsidR="00454D1D" w:rsidRPr="00C6574B" w:rsidRDefault="00454D1D" w:rsidP="00EA1A88">
            <w:pPr>
              <w:ind w:firstLine="39"/>
              <w:rPr>
                <w:rFonts w:ascii="Times New Roman" w:hAnsi="Times New Roman" w:cs="Times New Roman"/>
              </w:rPr>
            </w:pPr>
            <w:r w:rsidRPr="00C6574B">
              <w:rPr>
                <w:rFonts w:ascii="Times New Roman" w:hAnsi="Times New Roman" w:cs="Times New Roman"/>
              </w:rPr>
              <w:t>Intended Users</w:t>
            </w:r>
          </w:p>
        </w:tc>
        <w:tc>
          <w:tcPr>
            <w:tcW w:w="7938" w:type="dxa"/>
          </w:tcPr>
          <w:p w14:paraId="11217A5A" w14:textId="198F0AA8" w:rsidR="00454D1D" w:rsidRPr="00C6574B" w:rsidRDefault="000E578E" w:rsidP="00EA1A88">
            <w:pPr>
              <w:pStyle w:val="Default"/>
              <w:ind w:left="31"/>
              <w:rPr>
                <w:color w:val="auto"/>
                <w:sz w:val="22"/>
                <w:szCs w:val="22"/>
              </w:rPr>
            </w:pPr>
            <w:r w:rsidRPr="00C6574B">
              <w:rPr>
                <w:color w:val="auto"/>
                <w:sz w:val="22"/>
                <w:szCs w:val="22"/>
              </w:rPr>
              <w:t xml:space="preserve">The intended user of this report is </w:t>
            </w:r>
            <w:r w:rsidR="005F17B1" w:rsidRPr="00C6574B">
              <w:rPr>
                <w:color w:val="auto"/>
                <w:sz w:val="22"/>
                <w:szCs w:val="22"/>
              </w:rPr>
              <w:t>Emaar Properties only</w:t>
            </w:r>
            <w:r w:rsidRPr="00C6574B">
              <w:rPr>
                <w:color w:val="auto"/>
                <w:sz w:val="22"/>
                <w:szCs w:val="22"/>
              </w:rPr>
              <w:t xml:space="preserve"> </w:t>
            </w:r>
          </w:p>
        </w:tc>
      </w:tr>
      <w:tr w:rsidR="0048746B" w:rsidRPr="0048746B" w14:paraId="0CC3FBF3" w14:textId="77777777" w:rsidTr="008B1209">
        <w:tc>
          <w:tcPr>
            <w:tcW w:w="2694" w:type="dxa"/>
          </w:tcPr>
          <w:p w14:paraId="06D4A6E0" w14:textId="7B4422B4" w:rsidR="00594E06" w:rsidRPr="00C6574B" w:rsidRDefault="00174C30" w:rsidP="00EA1A88">
            <w:pPr>
              <w:ind w:firstLine="39"/>
              <w:rPr>
                <w:rFonts w:ascii="Times New Roman" w:hAnsi="Times New Roman" w:cs="Times New Roman"/>
              </w:rPr>
            </w:pPr>
            <w:r w:rsidRPr="00C6574B">
              <w:rPr>
                <w:rFonts w:ascii="Times New Roman" w:hAnsi="Times New Roman" w:cs="Times New Roman"/>
              </w:rPr>
              <w:t>Date of Report</w:t>
            </w:r>
          </w:p>
        </w:tc>
        <w:tc>
          <w:tcPr>
            <w:tcW w:w="7938" w:type="dxa"/>
          </w:tcPr>
          <w:p w14:paraId="271286A4" w14:textId="69DEC007" w:rsidR="00594E06" w:rsidRPr="00C6574B" w:rsidRDefault="00F96E6B" w:rsidP="00EA1A88">
            <w:pPr>
              <w:ind w:left="31"/>
              <w:rPr>
                <w:rFonts w:ascii="Times New Roman" w:hAnsi="Times New Roman" w:cs="Times New Roman"/>
              </w:rPr>
            </w:pPr>
            <w:r w:rsidRPr="00C6574B">
              <w:rPr>
                <w:rFonts w:ascii="Times New Roman" w:hAnsi="Times New Roman" w:cs="Times New Roman"/>
              </w:rPr>
              <w:t>February 10, 2025</w:t>
            </w:r>
          </w:p>
        </w:tc>
      </w:tr>
      <w:tr w:rsidR="0048746B" w:rsidRPr="0048746B" w14:paraId="7F6AC786" w14:textId="77777777" w:rsidTr="008B1209">
        <w:tc>
          <w:tcPr>
            <w:tcW w:w="2694" w:type="dxa"/>
          </w:tcPr>
          <w:p w14:paraId="55A55FDC" w14:textId="6292B806" w:rsidR="00594E06" w:rsidRPr="00C6574B" w:rsidRDefault="00174C30" w:rsidP="00EA1A88">
            <w:pPr>
              <w:ind w:firstLine="39"/>
              <w:rPr>
                <w:rFonts w:ascii="Times New Roman" w:hAnsi="Times New Roman" w:cs="Times New Roman"/>
              </w:rPr>
            </w:pPr>
            <w:r w:rsidRPr="00C6574B">
              <w:rPr>
                <w:rFonts w:ascii="Times New Roman" w:hAnsi="Times New Roman" w:cs="Times New Roman"/>
              </w:rPr>
              <w:t>Date of Inspection</w:t>
            </w:r>
          </w:p>
        </w:tc>
        <w:tc>
          <w:tcPr>
            <w:tcW w:w="7938" w:type="dxa"/>
          </w:tcPr>
          <w:p w14:paraId="445B58CF" w14:textId="05696860" w:rsidR="00594E06" w:rsidRPr="00C6574B" w:rsidRDefault="00F96E6B" w:rsidP="00EA1A88">
            <w:pPr>
              <w:ind w:left="31"/>
              <w:rPr>
                <w:rFonts w:ascii="Times New Roman" w:hAnsi="Times New Roman" w:cs="Times New Roman"/>
              </w:rPr>
            </w:pPr>
            <w:r w:rsidRPr="00C6574B">
              <w:rPr>
                <w:rFonts w:ascii="Times New Roman" w:hAnsi="Times New Roman" w:cs="Times New Roman"/>
              </w:rPr>
              <w:t>January 21, 2025</w:t>
            </w:r>
          </w:p>
        </w:tc>
      </w:tr>
      <w:tr w:rsidR="0048746B" w:rsidRPr="0048746B" w14:paraId="55CF44B1" w14:textId="77777777" w:rsidTr="008B1209">
        <w:tc>
          <w:tcPr>
            <w:tcW w:w="2694" w:type="dxa"/>
          </w:tcPr>
          <w:p w14:paraId="3E756713" w14:textId="61DA9AC5" w:rsidR="00594E06" w:rsidRPr="00C6574B" w:rsidRDefault="00174C30" w:rsidP="00EA1A88">
            <w:pPr>
              <w:ind w:firstLine="39"/>
              <w:rPr>
                <w:rFonts w:ascii="Times New Roman" w:hAnsi="Times New Roman" w:cs="Times New Roman"/>
              </w:rPr>
            </w:pPr>
            <w:r w:rsidRPr="00C6574B">
              <w:rPr>
                <w:rFonts w:ascii="Times New Roman" w:hAnsi="Times New Roman" w:cs="Times New Roman"/>
              </w:rPr>
              <w:t>Assessed Value</w:t>
            </w:r>
          </w:p>
        </w:tc>
        <w:tc>
          <w:tcPr>
            <w:tcW w:w="7938" w:type="dxa"/>
          </w:tcPr>
          <w:p w14:paraId="2FDC39EC" w14:textId="263E7134" w:rsidR="001103C3" w:rsidRPr="00C6574B" w:rsidRDefault="001103C3" w:rsidP="001103C3">
            <w:pPr>
              <w:pStyle w:val="Default"/>
              <w:rPr>
                <w:color w:val="auto"/>
                <w:sz w:val="22"/>
                <w:szCs w:val="22"/>
              </w:rPr>
            </w:pPr>
            <w:r w:rsidRPr="00C6574B">
              <w:rPr>
                <w:color w:val="auto"/>
                <w:sz w:val="22"/>
                <w:szCs w:val="22"/>
              </w:rPr>
              <w:t>$</w:t>
            </w:r>
            <w:r w:rsidR="00E625A2" w:rsidRPr="00C6574B">
              <w:rPr>
                <w:color w:val="auto"/>
                <w:sz w:val="22"/>
                <w:szCs w:val="22"/>
              </w:rPr>
              <w:t>5,000,000</w:t>
            </w:r>
            <w:r w:rsidRPr="00C6574B">
              <w:rPr>
                <w:color w:val="auto"/>
                <w:sz w:val="22"/>
                <w:szCs w:val="22"/>
              </w:rPr>
              <w:t xml:space="preserve"> </w:t>
            </w:r>
          </w:p>
          <w:p w14:paraId="3900266F" w14:textId="3676A89D" w:rsidR="00594E06" w:rsidRPr="00C6574B" w:rsidRDefault="001103C3" w:rsidP="001103C3">
            <w:pPr>
              <w:ind w:left="31"/>
              <w:rPr>
                <w:rFonts w:ascii="Times New Roman" w:hAnsi="Times New Roman" w:cs="Times New Roman"/>
              </w:rPr>
            </w:pPr>
            <w:r w:rsidRPr="00C6574B">
              <w:rPr>
                <w:rFonts w:ascii="Times New Roman" w:hAnsi="Times New Roman" w:cs="Times New Roman"/>
              </w:rPr>
              <w:t xml:space="preserve">It is the appraiser’s opinion that assessed value has no direct correlation to </w:t>
            </w:r>
            <w:r w:rsidR="00B752C7" w:rsidRPr="00C6574B">
              <w:rPr>
                <w:rFonts w:ascii="Times New Roman" w:hAnsi="Times New Roman" w:cs="Times New Roman"/>
              </w:rPr>
              <w:t>current market value</w:t>
            </w:r>
            <w:r w:rsidRPr="00C6574B">
              <w:rPr>
                <w:rFonts w:ascii="Times New Roman" w:hAnsi="Times New Roman" w:cs="Times New Roman"/>
              </w:rPr>
              <w:t xml:space="preserve"> in the subject market area</w:t>
            </w:r>
          </w:p>
        </w:tc>
      </w:tr>
      <w:tr w:rsidR="0048746B" w:rsidRPr="0048746B" w14:paraId="31E5A88B" w14:textId="77777777" w:rsidTr="008B1209">
        <w:tc>
          <w:tcPr>
            <w:tcW w:w="2694" w:type="dxa"/>
          </w:tcPr>
          <w:p w14:paraId="6D3E3547" w14:textId="2D194989" w:rsidR="00A679B1" w:rsidRPr="00C6574B" w:rsidRDefault="00A679B1" w:rsidP="00EA1A88">
            <w:pPr>
              <w:ind w:firstLine="39"/>
              <w:rPr>
                <w:rFonts w:ascii="Times New Roman" w:hAnsi="Times New Roman" w:cs="Times New Roman"/>
              </w:rPr>
            </w:pPr>
            <w:r w:rsidRPr="00C6574B">
              <w:rPr>
                <w:rFonts w:ascii="Times New Roman" w:hAnsi="Times New Roman" w:cs="Times New Roman"/>
              </w:rPr>
              <w:t>Taxes</w:t>
            </w:r>
          </w:p>
        </w:tc>
        <w:tc>
          <w:tcPr>
            <w:tcW w:w="7938" w:type="dxa"/>
          </w:tcPr>
          <w:p w14:paraId="068EDDF5" w14:textId="5A65B9BB" w:rsidR="00A679B1" w:rsidRPr="00C6574B" w:rsidRDefault="00760250" w:rsidP="00E14DB2">
            <w:pPr>
              <w:pStyle w:val="Default"/>
              <w:ind w:left="31"/>
              <w:rPr>
                <w:color w:val="auto"/>
                <w:sz w:val="22"/>
                <w:szCs w:val="22"/>
              </w:rPr>
            </w:pPr>
            <w:r w:rsidRPr="00C6574B">
              <w:rPr>
                <w:color w:val="auto"/>
                <w:sz w:val="22"/>
                <w:szCs w:val="22"/>
              </w:rPr>
              <w:t>According to the City Tax Collector website, the 20</w:t>
            </w:r>
            <w:r w:rsidR="009F2FFB" w:rsidRPr="00C6574B">
              <w:rPr>
                <w:color w:val="auto"/>
                <w:sz w:val="22"/>
                <w:szCs w:val="22"/>
              </w:rPr>
              <w:t>23</w:t>
            </w:r>
            <w:r w:rsidRPr="00C6574B">
              <w:rPr>
                <w:color w:val="auto"/>
                <w:sz w:val="22"/>
                <w:szCs w:val="22"/>
              </w:rPr>
              <w:t xml:space="preserve"> taxes have been paid in full as of the effective date of this appraisal. No prior year taxes are reported delinquent. </w:t>
            </w:r>
          </w:p>
        </w:tc>
      </w:tr>
      <w:tr w:rsidR="0048746B" w:rsidRPr="0048746B" w14:paraId="1D059F9F" w14:textId="77777777" w:rsidTr="008B1209">
        <w:tc>
          <w:tcPr>
            <w:tcW w:w="2694" w:type="dxa"/>
          </w:tcPr>
          <w:p w14:paraId="0B8B2860" w14:textId="640C919C" w:rsidR="00594E06" w:rsidRPr="00C6574B" w:rsidRDefault="009835E0" w:rsidP="00EA1A88">
            <w:pPr>
              <w:ind w:firstLine="39"/>
              <w:rPr>
                <w:rFonts w:ascii="Times New Roman" w:hAnsi="Times New Roman" w:cs="Times New Roman"/>
              </w:rPr>
            </w:pPr>
            <w:r w:rsidRPr="00C6574B">
              <w:rPr>
                <w:rFonts w:ascii="Times New Roman" w:hAnsi="Times New Roman" w:cs="Times New Roman"/>
              </w:rPr>
              <w:t>Sale History</w:t>
            </w:r>
          </w:p>
        </w:tc>
        <w:tc>
          <w:tcPr>
            <w:tcW w:w="7938" w:type="dxa"/>
          </w:tcPr>
          <w:p w14:paraId="13CF358D" w14:textId="4A275F82" w:rsidR="005831D8" w:rsidRPr="00C6574B" w:rsidRDefault="005831D8" w:rsidP="00EA1A88">
            <w:pPr>
              <w:pStyle w:val="Default"/>
              <w:ind w:left="31"/>
              <w:rPr>
                <w:color w:val="auto"/>
                <w:sz w:val="22"/>
                <w:szCs w:val="22"/>
              </w:rPr>
            </w:pPr>
            <w:r w:rsidRPr="00C6574B">
              <w:rPr>
                <w:color w:val="auto"/>
                <w:sz w:val="22"/>
                <w:szCs w:val="22"/>
              </w:rPr>
              <w:t xml:space="preserve">As per city public records, the subject parcels were purchased by </w:t>
            </w:r>
            <w:r w:rsidR="00271CDC">
              <w:rPr>
                <w:color w:val="auto"/>
                <w:sz w:val="22"/>
                <w:szCs w:val="22"/>
              </w:rPr>
              <w:t>Emaar Properties</w:t>
            </w:r>
            <w:r w:rsidRPr="00C6574B">
              <w:rPr>
                <w:color w:val="auto"/>
                <w:sz w:val="22"/>
                <w:szCs w:val="22"/>
              </w:rPr>
              <w:t xml:space="preserve"> from </w:t>
            </w:r>
            <w:r w:rsidR="00B752C7" w:rsidRPr="00C6574B">
              <w:rPr>
                <w:color w:val="auto"/>
                <w:sz w:val="22"/>
                <w:szCs w:val="22"/>
              </w:rPr>
              <w:t>another real estate company</w:t>
            </w:r>
            <w:r w:rsidRPr="00C6574B">
              <w:rPr>
                <w:color w:val="auto"/>
                <w:sz w:val="22"/>
                <w:szCs w:val="22"/>
              </w:rPr>
              <w:t>,</w:t>
            </w:r>
            <w:r w:rsidR="00B752C7" w:rsidRPr="00C6574B">
              <w:rPr>
                <w:color w:val="auto"/>
                <w:sz w:val="22"/>
                <w:szCs w:val="22"/>
              </w:rPr>
              <w:t xml:space="preserve"> </w:t>
            </w:r>
            <w:r w:rsidRPr="00C6574B">
              <w:rPr>
                <w:color w:val="auto"/>
                <w:sz w:val="22"/>
                <w:szCs w:val="22"/>
              </w:rPr>
              <w:t xml:space="preserve">PQR </w:t>
            </w:r>
            <w:r w:rsidR="00B752C7" w:rsidRPr="00C6574B">
              <w:rPr>
                <w:color w:val="auto"/>
                <w:sz w:val="22"/>
                <w:szCs w:val="22"/>
              </w:rPr>
              <w:t>Real Estate</w:t>
            </w:r>
            <w:r w:rsidR="00C8635B" w:rsidRPr="00C6574B">
              <w:rPr>
                <w:color w:val="auto"/>
                <w:sz w:val="22"/>
                <w:szCs w:val="22"/>
              </w:rPr>
              <w:t xml:space="preserve"> Company </w:t>
            </w:r>
            <w:r w:rsidRPr="00C6574B">
              <w:rPr>
                <w:color w:val="auto"/>
                <w:sz w:val="22"/>
                <w:szCs w:val="22"/>
              </w:rPr>
              <w:t xml:space="preserve">on March 1, </w:t>
            </w:r>
            <w:proofErr w:type="gramStart"/>
            <w:r w:rsidRPr="00C6574B">
              <w:rPr>
                <w:color w:val="auto"/>
                <w:sz w:val="22"/>
                <w:szCs w:val="22"/>
              </w:rPr>
              <w:t>1997</w:t>
            </w:r>
            <w:proofErr w:type="gramEnd"/>
            <w:r w:rsidRPr="00C6574B">
              <w:rPr>
                <w:color w:val="auto"/>
                <w:sz w:val="22"/>
                <w:szCs w:val="22"/>
              </w:rPr>
              <w:t xml:space="preserve"> for a reported consideration of $785,000. This appears to have been an arm’s length transfer, at least nominally consistent with then-current market value. </w:t>
            </w:r>
          </w:p>
          <w:p w14:paraId="794FA1F3" w14:textId="77777777" w:rsidR="005831D8" w:rsidRPr="00C6574B" w:rsidRDefault="005831D8" w:rsidP="00EA1A88">
            <w:pPr>
              <w:pStyle w:val="Default"/>
              <w:ind w:left="31"/>
              <w:rPr>
                <w:color w:val="auto"/>
                <w:sz w:val="22"/>
                <w:szCs w:val="22"/>
              </w:rPr>
            </w:pPr>
          </w:p>
          <w:p w14:paraId="18530DCF" w14:textId="54070C8E" w:rsidR="005831D8" w:rsidRPr="00C6574B" w:rsidRDefault="005831D8" w:rsidP="00EA1A88">
            <w:pPr>
              <w:pStyle w:val="Default"/>
              <w:ind w:left="31"/>
              <w:rPr>
                <w:color w:val="auto"/>
                <w:sz w:val="22"/>
                <w:szCs w:val="22"/>
              </w:rPr>
            </w:pPr>
            <w:r w:rsidRPr="00C6574B">
              <w:rPr>
                <w:color w:val="auto"/>
                <w:sz w:val="22"/>
                <w:szCs w:val="22"/>
              </w:rPr>
              <w:t xml:space="preserve">Parcels 05-1S-22-256C-0009-0010 and 05-1S-22-256C-0004-0010 were improved at time of purchase with </w:t>
            </w:r>
            <w:r w:rsidR="00C8635B" w:rsidRPr="00C6574B">
              <w:rPr>
                <w:color w:val="auto"/>
                <w:sz w:val="22"/>
                <w:szCs w:val="22"/>
              </w:rPr>
              <w:t>some modifications.</w:t>
            </w:r>
          </w:p>
          <w:p w14:paraId="152F3FA0" w14:textId="77777777" w:rsidR="005831D8" w:rsidRPr="00C6574B" w:rsidRDefault="005831D8" w:rsidP="00EA1A88">
            <w:pPr>
              <w:pStyle w:val="Default"/>
              <w:ind w:left="31"/>
              <w:rPr>
                <w:color w:val="auto"/>
                <w:sz w:val="22"/>
                <w:szCs w:val="22"/>
              </w:rPr>
            </w:pPr>
          </w:p>
          <w:p w14:paraId="0F461F98" w14:textId="55042D39" w:rsidR="005831D8" w:rsidRPr="00C6574B" w:rsidRDefault="005831D8" w:rsidP="00EA1A88">
            <w:pPr>
              <w:pStyle w:val="Default"/>
              <w:ind w:left="31"/>
              <w:rPr>
                <w:color w:val="auto"/>
                <w:sz w:val="22"/>
                <w:szCs w:val="22"/>
              </w:rPr>
            </w:pPr>
            <w:r w:rsidRPr="00C6574B">
              <w:rPr>
                <w:color w:val="auto"/>
                <w:sz w:val="22"/>
                <w:szCs w:val="22"/>
              </w:rPr>
              <w:lastRenderedPageBreak/>
              <w:t xml:space="preserve">Parcel 05-1S-22-256C-0003-0010 (1.44 ac), was subsequently developed in 2007 with the </w:t>
            </w:r>
            <w:r w:rsidR="00C8635B" w:rsidRPr="00C6574B">
              <w:rPr>
                <w:color w:val="auto"/>
                <w:sz w:val="22"/>
                <w:szCs w:val="22"/>
              </w:rPr>
              <w:t>apartments</w:t>
            </w:r>
            <w:r w:rsidRPr="00C6574B">
              <w:rPr>
                <w:color w:val="auto"/>
                <w:sz w:val="22"/>
                <w:szCs w:val="22"/>
              </w:rPr>
              <w:t xml:space="preserve"> </w:t>
            </w:r>
          </w:p>
          <w:p w14:paraId="53751FD4" w14:textId="77777777" w:rsidR="00760250" w:rsidRPr="00C6574B" w:rsidRDefault="00760250" w:rsidP="00EA1A88">
            <w:pPr>
              <w:pStyle w:val="Default"/>
              <w:ind w:left="31"/>
              <w:rPr>
                <w:color w:val="auto"/>
                <w:sz w:val="22"/>
                <w:szCs w:val="22"/>
              </w:rPr>
            </w:pPr>
          </w:p>
          <w:p w14:paraId="749897D4" w14:textId="0E16178C" w:rsidR="00594E06" w:rsidRPr="00C6574B" w:rsidRDefault="005831D8" w:rsidP="00EA1A88">
            <w:pPr>
              <w:ind w:left="31"/>
              <w:rPr>
                <w:rFonts w:ascii="Times New Roman" w:hAnsi="Times New Roman" w:cs="Times New Roman"/>
              </w:rPr>
            </w:pPr>
            <w:r w:rsidRPr="00C6574B">
              <w:rPr>
                <w:rFonts w:ascii="Times New Roman" w:hAnsi="Times New Roman" w:cs="Times New Roman"/>
              </w:rPr>
              <w:t xml:space="preserve">No transfers of the subject property have occurred within the three years prior to the effective date of this appraisal </w:t>
            </w:r>
          </w:p>
        </w:tc>
      </w:tr>
      <w:tr w:rsidR="0048746B" w:rsidRPr="0048746B" w14:paraId="242EBC56" w14:textId="77777777" w:rsidTr="008B1209">
        <w:tc>
          <w:tcPr>
            <w:tcW w:w="2694" w:type="dxa"/>
          </w:tcPr>
          <w:p w14:paraId="7AA5DD49" w14:textId="24C1C9DD" w:rsidR="00067FF8" w:rsidRPr="00C6574B" w:rsidRDefault="00067FF8" w:rsidP="00EA1A88">
            <w:pPr>
              <w:ind w:firstLine="39"/>
              <w:rPr>
                <w:rFonts w:ascii="Times New Roman" w:hAnsi="Times New Roman" w:cs="Times New Roman"/>
              </w:rPr>
            </w:pPr>
            <w:r w:rsidRPr="00C6574B">
              <w:rPr>
                <w:rFonts w:ascii="Times New Roman" w:hAnsi="Times New Roman" w:cs="Times New Roman"/>
              </w:rPr>
              <w:lastRenderedPageBreak/>
              <w:t>Current listings/contracts</w:t>
            </w:r>
          </w:p>
        </w:tc>
        <w:tc>
          <w:tcPr>
            <w:tcW w:w="7938" w:type="dxa"/>
          </w:tcPr>
          <w:p w14:paraId="569B0555" w14:textId="77777777" w:rsidR="00B7372E" w:rsidRPr="00C6574B" w:rsidRDefault="00B7372E" w:rsidP="00EA1A88">
            <w:pPr>
              <w:pStyle w:val="Default"/>
              <w:ind w:left="31"/>
              <w:rPr>
                <w:color w:val="auto"/>
                <w:sz w:val="22"/>
                <w:szCs w:val="22"/>
              </w:rPr>
            </w:pPr>
            <w:r w:rsidRPr="00C6574B">
              <w:rPr>
                <w:color w:val="auto"/>
                <w:sz w:val="22"/>
                <w:szCs w:val="22"/>
              </w:rPr>
              <w:t xml:space="preserve">The subject property is not currently listed for sale nor has it been in the 12 months prior to the effective date of this appraisal. </w:t>
            </w:r>
          </w:p>
          <w:p w14:paraId="0986FB48" w14:textId="77777777" w:rsidR="00C8635B" w:rsidRPr="00C6574B" w:rsidRDefault="00C8635B" w:rsidP="00EA1A88">
            <w:pPr>
              <w:pStyle w:val="Default"/>
              <w:ind w:left="31"/>
              <w:rPr>
                <w:color w:val="auto"/>
                <w:sz w:val="22"/>
                <w:szCs w:val="22"/>
              </w:rPr>
            </w:pPr>
          </w:p>
          <w:p w14:paraId="48273BD2" w14:textId="195652D6" w:rsidR="00067FF8" w:rsidRPr="00C6574B" w:rsidRDefault="00B7372E" w:rsidP="00EA1A88">
            <w:pPr>
              <w:ind w:left="31"/>
              <w:rPr>
                <w:rFonts w:ascii="Times New Roman" w:hAnsi="Times New Roman" w:cs="Times New Roman"/>
              </w:rPr>
            </w:pPr>
            <w:r w:rsidRPr="00C6574B">
              <w:rPr>
                <w:rFonts w:ascii="Times New Roman" w:hAnsi="Times New Roman" w:cs="Times New Roman"/>
              </w:rPr>
              <w:t xml:space="preserve">Per </w:t>
            </w:r>
            <w:r w:rsidR="00385C05" w:rsidRPr="00C6574B">
              <w:rPr>
                <w:rFonts w:ascii="Times New Roman" w:hAnsi="Times New Roman" w:cs="Times New Roman"/>
              </w:rPr>
              <w:t xml:space="preserve">occupancy records </w:t>
            </w:r>
            <w:r w:rsidRPr="00C6574B">
              <w:rPr>
                <w:rFonts w:ascii="Times New Roman" w:hAnsi="Times New Roman" w:cs="Times New Roman"/>
              </w:rPr>
              <w:t xml:space="preserve">provided, the 30 housing units are 100% occupied by </w:t>
            </w:r>
            <w:r w:rsidR="00385C05" w:rsidRPr="00C6574B">
              <w:rPr>
                <w:rFonts w:ascii="Times New Roman" w:hAnsi="Times New Roman" w:cs="Times New Roman"/>
              </w:rPr>
              <w:t xml:space="preserve">residential owners </w:t>
            </w:r>
            <w:r w:rsidRPr="00C6574B">
              <w:rPr>
                <w:rFonts w:ascii="Times New Roman" w:hAnsi="Times New Roman" w:cs="Times New Roman"/>
              </w:rPr>
              <w:t xml:space="preserve">(non-income producing). </w:t>
            </w:r>
            <w:r w:rsidR="009D4E0F" w:rsidRPr="00C6574B">
              <w:rPr>
                <w:rFonts w:ascii="Times New Roman" w:hAnsi="Times New Roman" w:cs="Times New Roman"/>
              </w:rPr>
              <w:t xml:space="preserve">As per rent roll agreements received, </w:t>
            </w:r>
            <w:proofErr w:type="gramStart"/>
            <w:r w:rsidRPr="00C6574B">
              <w:rPr>
                <w:rFonts w:ascii="Times New Roman" w:hAnsi="Times New Roman" w:cs="Times New Roman"/>
              </w:rPr>
              <w:t>The</w:t>
            </w:r>
            <w:proofErr w:type="gramEnd"/>
            <w:r w:rsidRPr="00C6574B">
              <w:rPr>
                <w:rFonts w:ascii="Times New Roman" w:hAnsi="Times New Roman" w:cs="Times New Roman"/>
              </w:rPr>
              <w:t xml:space="preserve"> 32</w:t>
            </w:r>
            <w:r w:rsidR="009D4E0F" w:rsidRPr="00C6574B">
              <w:rPr>
                <w:rFonts w:ascii="Times New Roman" w:hAnsi="Times New Roman" w:cs="Times New Roman"/>
              </w:rPr>
              <w:t xml:space="preserve"> other</w:t>
            </w:r>
            <w:r w:rsidRPr="00C6574B">
              <w:rPr>
                <w:rFonts w:ascii="Times New Roman" w:hAnsi="Times New Roman" w:cs="Times New Roman"/>
              </w:rPr>
              <w:t xml:space="preserve"> courtyard apartment units are 100% occupied via short-term residential lease agreements (typical term of 12 months or less)</w:t>
            </w:r>
          </w:p>
        </w:tc>
      </w:tr>
    </w:tbl>
    <w:p w14:paraId="09540713" w14:textId="77777777" w:rsidR="00594E06" w:rsidRPr="0048746B" w:rsidRDefault="00594E06" w:rsidP="00EA1A88">
      <w:pPr>
        <w:ind w:hanging="567"/>
        <w:rPr>
          <w:rFonts w:ascii="Times New Roman" w:hAnsi="Times New Roman" w:cs="Times New Roman"/>
          <w:sz w:val="24"/>
          <w:szCs w:val="24"/>
        </w:rPr>
      </w:pPr>
    </w:p>
    <w:tbl>
      <w:tblPr>
        <w:tblStyle w:val="TableGrid"/>
        <w:tblW w:w="10632" w:type="dxa"/>
        <w:tblInd w:w="-572" w:type="dxa"/>
        <w:tblLook w:val="04A0" w:firstRow="1" w:lastRow="0" w:firstColumn="1" w:lastColumn="0" w:noHBand="0" w:noVBand="1"/>
      </w:tblPr>
      <w:tblGrid>
        <w:gridCol w:w="2694"/>
        <w:gridCol w:w="7938"/>
      </w:tblGrid>
      <w:tr w:rsidR="00CB108A" w:rsidRPr="0048746B" w14:paraId="437AAD5E" w14:textId="77777777" w:rsidTr="00CB108A">
        <w:tc>
          <w:tcPr>
            <w:tcW w:w="10632" w:type="dxa"/>
            <w:gridSpan w:val="2"/>
            <w:shd w:val="clear" w:color="auto" w:fill="0070C0"/>
          </w:tcPr>
          <w:p w14:paraId="743F8267" w14:textId="66519B78" w:rsidR="00CB108A" w:rsidRPr="00CB108A" w:rsidRDefault="00CB108A" w:rsidP="00CB108A">
            <w:pPr>
              <w:ind w:hanging="567"/>
              <w:jc w:val="center"/>
              <w:rPr>
                <w:rFonts w:ascii="Times New Roman" w:hAnsi="Times New Roman" w:cs="Times New Roman"/>
                <w:b/>
                <w:bCs/>
                <w:sz w:val="24"/>
                <w:szCs w:val="24"/>
              </w:rPr>
            </w:pPr>
            <w:r w:rsidRPr="00CB108A">
              <w:rPr>
                <w:rFonts w:ascii="Times New Roman" w:hAnsi="Times New Roman" w:cs="Times New Roman"/>
                <w:b/>
                <w:bCs/>
                <w:sz w:val="24"/>
                <w:szCs w:val="24"/>
              </w:rPr>
              <w:t>Local facts</w:t>
            </w:r>
          </w:p>
        </w:tc>
      </w:tr>
      <w:tr w:rsidR="0048746B" w:rsidRPr="0048746B" w14:paraId="3D3A3924" w14:textId="77777777" w:rsidTr="009D4E0F">
        <w:tc>
          <w:tcPr>
            <w:tcW w:w="2694" w:type="dxa"/>
          </w:tcPr>
          <w:p w14:paraId="6E8281D4" w14:textId="5A5FE15A" w:rsidR="000073E2" w:rsidRPr="00C6574B" w:rsidRDefault="004C39D4" w:rsidP="009D4E0F">
            <w:pPr>
              <w:ind w:firstLine="39"/>
              <w:rPr>
                <w:rFonts w:ascii="Times New Roman" w:hAnsi="Times New Roman" w:cs="Times New Roman"/>
              </w:rPr>
            </w:pPr>
            <w:r w:rsidRPr="00C6574B">
              <w:rPr>
                <w:rFonts w:ascii="Times New Roman" w:hAnsi="Times New Roman" w:cs="Times New Roman"/>
              </w:rPr>
              <w:t>Demographics</w:t>
            </w:r>
          </w:p>
        </w:tc>
        <w:tc>
          <w:tcPr>
            <w:tcW w:w="7938" w:type="dxa"/>
          </w:tcPr>
          <w:p w14:paraId="0BA0C970" w14:textId="757E637D" w:rsidR="000073E2" w:rsidRPr="00C6574B" w:rsidRDefault="004C39D4" w:rsidP="009D4E0F">
            <w:pPr>
              <w:ind w:left="34"/>
              <w:rPr>
                <w:rFonts w:ascii="Times New Roman" w:hAnsi="Times New Roman" w:cs="Times New Roman"/>
              </w:rPr>
            </w:pPr>
            <w:r w:rsidRPr="00C6574B">
              <w:rPr>
                <w:rFonts w:ascii="Times New Roman" w:hAnsi="Times New Roman" w:cs="Times New Roman"/>
              </w:rPr>
              <w:t xml:space="preserve">The property is located </w:t>
            </w:r>
            <w:r w:rsidR="009D4E0F" w:rsidRPr="00C6574B">
              <w:rPr>
                <w:rFonts w:ascii="Times New Roman" w:hAnsi="Times New Roman" w:cs="Times New Roman"/>
              </w:rPr>
              <w:t xml:space="preserve">four </w:t>
            </w:r>
            <w:r w:rsidRPr="00C6574B">
              <w:rPr>
                <w:rFonts w:ascii="Times New Roman" w:hAnsi="Times New Roman" w:cs="Times New Roman"/>
              </w:rPr>
              <w:t>km south-west of the</w:t>
            </w:r>
            <w:r w:rsidR="009D4E0F" w:rsidRPr="00C6574B">
              <w:rPr>
                <w:rFonts w:ascii="Times New Roman" w:hAnsi="Times New Roman" w:cs="Times New Roman"/>
              </w:rPr>
              <w:t xml:space="preserve"> city center</w:t>
            </w:r>
            <w:r w:rsidRPr="00C6574B">
              <w:rPr>
                <w:rFonts w:ascii="Times New Roman" w:hAnsi="Times New Roman" w:cs="Times New Roman"/>
              </w:rPr>
              <w:t xml:space="preserve">. </w:t>
            </w:r>
            <w:r w:rsidR="001278D0" w:rsidRPr="00C6574B">
              <w:rPr>
                <w:rFonts w:ascii="Times New Roman" w:hAnsi="Times New Roman" w:cs="Times New Roman"/>
              </w:rPr>
              <w:t xml:space="preserve">Business Bay is a central business district in Dubai, United Arab Emirates. The project features numerous skyscrapers located in an area where Dubai Creek has been dredged and extended, and located immediately south of Downtown Dubai. </w:t>
            </w:r>
          </w:p>
          <w:p w14:paraId="222A360D" w14:textId="77777777" w:rsidR="00D124D3" w:rsidRPr="00C6574B" w:rsidRDefault="00D124D3" w:rsidP="009D4E0F">
            <w:pPr>
              <w:ind w:left="34"/>
              <w:rPr>
                <w:rFonts w:ascii="Times New Roman" w:hAnsi="Times New Roman" w:cs="Times New Roman"/>
              </w:rPr>
            </w:pPr>
          </w:p>
          <w:p w14:paraId="7323DC86" w14:textId="77777777" w:rsidR="00D124D3" w:rsidRPr="00C6574B" w:rsidRDefault="00D124D3" w:rsidP="009D4E0F">
            <w:pPr>
              <w:ind w:left="34"/>
              <w:rPr>
                <w:rFonts w:ascii="Times New Roman" w:hAnsi="Times New Roman" w:cs="Times New Roman"/>
              </w:rPr>
            </w:pPr>
            <w:r w:rsidRPr="00C6574B">
              <w:rPr>
                <w:rFonts w:ascii="Times New Roman" w:hAnsi="Times New Roman" w:cs="Times New Roman"/>
              </w:rPr>
              <w:t>Bay Square is a single-use community within Business Bay. The entire development will be a pedestrian-only zone, and will include walkways over canals</w:t>
            </w:r>
          </w:p>
          <w:p w14:paraId="48814530" w14:textId="77777777" w:rsidR="009E3DF3" w:rsidRPr="00C6574B" w:rsidRDefault="009E3DF3" w:rsidP="009D4E0F">
            <w:pPr>
              <w:ind w:left="34"/>
              <w:rPr>
                <w:rFonts w:ascii="Times New Roman" w:hAnsi="Times New Roman" w:cs="Times New Roman"/>
              </w:rPr>
            </w:pPr>
          </w:p>
          <w:p w14:paraId="2A421030" w14:textId="41EEB850" w:rsidR="00D124D3" w:rsidRPr="00C6574B" w:rsidRDefault="009E3DF3" w:rsidP="009D4E0F">
            <w:pPr>
              <w:ind w:left="34"/>
              <w:rPr>
                <w:rFonts w:ascii="Times New Roman" w:hAnsi="Times New Roman" w:cs="Times New Roman"/>
              </w:rPr>
            </w:pPr>
            <w:r w:rsidRPr="00C6574B">
              <w:rPr>
                <w:rFonts w:ascii="Times New Roman" w:hAnsi="Times New Roman" w:cs="Times New Roman"/>
              </w:rPr>
              <w:t>The Executive Towers</w:t>
            </w:r>
            <w:r w:rsidR="00D124D3" w:rsidRPr="00C6574B">
              <w:rPr>
                <w:rFonts w:ascii="Times New Roman" w:hAnsi="Times New Roman" w:cs="Times New Roman"/>
              </w:rPr>
              <w:t> at Business Bay consist of 12 towers, which includes residential, commercial and office towers.</w:t>
            </w:r>
          </w:p>
          <w:p w14:paraId="17B76319" w14:textId="77777777" w:rsidR="009E3DF3" w:rsidRPr="00C6574B" w:rsidRDefault="009E3DF3" w:rsidP="009D4E0F">
            <w:pPr>
              <w:ind w:left="34"/>
              <w:rPr>
                <w:rFonts w:ascii="Times New Roman" w:hAnsi="Times New Roman" w:cs="Times New Roman"/>
              </w:rPr>
            </w:pPr>
          </w:p>
          <w:p w14:paraId="4FE271F2" w14:textId="02433FF6" w:rsidR="000517C6" w:rsidRPr="00C6574B" w:rsidRDefault="000517C6" w:rsidP="009D4E0F">
            <w:pPr>
              <w:ind w:left="34"/>
              <w:rPr>
                <w:rFonts w:ascii="Times New Roman" w:hAnsi="Times New Roman" w:cs="Times New Roman"/>
              </w:rPr>
            </w:pPr>
            <w:r w:rsidRPr="00C6574B">
              <w:rPr>
                <w:rFonts w:ascii="Times New Roman" w:hAnsi="Times New Roman" w:cs="Times New Roman"/>
              </w:rPr>
              <w:t xml:space="preserve">Upside Living </w:t>
            </w:r>
            <w:proofErr w:type="gramStart"/>
            <w:r w:rsidRPr="00C6574B">
              <w:rPr>
                <w:rFonts w:ascii="Times New Roman" w:hAnsi="Times New Roman" w:cs="Times New Roman"/>
              </w:rPr>
              <w:t>By</w:t>
            </w:r>
            <w:proofErr w:type="gramEnd"/>
            <w:r w:rsidRPr="00C6574B">
              <w:rPr>
                <w:rFonts w:ascii="Times New Roman" w:hAnsi="Times New Roman" w:cs="Times New Roman"/>
              </w:rPr>
              <w:t xml:space="preserve"> SRG is a high-end residential development located in the heart of Business Bay, one of the most sought-after business and residential areas of Dubai.</w:t>
            </w:r>
          </w:p>
        </w:tc>
      </w:tr>
      <w:tr w:rsidR="0048746B" w:rsidRPr="0048746B" w14:paraId="3C060060" w14:textId="77777777" w:rsidTr="009D4E0F">
        <w:tc>
          <w:tcPr>
            <w:tcW w:w="2694" w:type="dxa"/>
          </w:tcPr>
          <w:p w14:paraId="7DAEE6F3" w14:textId="4F40D741" w:rsidR="000073E2" w:rsidRPr="00C6574B" w:rsidRDefault="00992FC3" w:rsidP="009D4E0F">
            <w:pPr>
              <w:ind w:firstLine="39"/>
              <w:rPr>
                <w:rFonts w:ascii="Times New Roman" w:hAnsi="Times New Roman" w:cs="Times New Roman"/>
              </w:rPr>
            </w:pPr>
            <w:r w:rsidRPr="00C6574B">
              <w:rPr>
                <w:rFonts w:ascii="Times New Roman" w:hAnsi="Times New Roman" w:cs="Times New Roman"/>
              </w:rPr>
              <w:t>Population</w:t>
            </w:r>
          </w:p>
        </w:tc>
        <w:tc>
          <w:tcPr>
            <w:tcW w:w="7938" w:type="dxa"/>
          </w:tcPr>
          <w:p w14:paraId="39DF066B" w14:textId="21EF24C7" w:rsidR="000073E2" w:rsidRPr="00C6574B" w:rsidRDefault="00E625A2" w:rsidP="009D4E0F">
            <w:pPr>
              <w:ind w:left="34"/>
              <w:rPr>
                <w:rFonts w:ascii="Times New Roman" w:hAnsi="Times New Roman" w:cs="Times New Roman"/>
              </w:rPr>
            </w:pPr>
            <w:r w:rsidRPr="00C6574B">
              <w:rPr>
                <w:rFonts w:ascii="Times New Roman" w:hAnsi="Times New Roman" w:cs="Times New Roman"/>
              </w:rPr>
              <w:t>As of March 2025, the population of Dubai is 3.8 million. More than 90% of Dubai's population are expatriates.</w:t>
            </w:r>
          </w:p>
        </w:tc>
      </w:tr>
    </w:tbl>
    <w:p w14:paraId="47257F68" w14:textId="5614EE90" w:rsidR="006B25EF" w:rsidRPr="0048746B" w:rsidRDefault="006B25EF" w:rsidP="00C6574B">
      <w:pPr>
        <w:rPr>
          <w:rFonts w:ascii="Times New Roman" w:hAnsi="Times New Roman" w:cs="Times New Roman"/>
          <w:b/>
          <w:bCs/>
          <w:sz w:val="24"/>
          <w:szCs w:val="24"/>
          <w:u w:val="single"/>
        </w:rPr>
      </w:pPr>
    </w:p>
    <w:tbl>
      <w:tblPr>
        <w:tblStyle w:val="TableGrid"/>
        <w:tblW w:w="10632" w:type="dxa"/>
        <w:tblInd w:w="-572" w:type="dxa"/>
        <w:tblLook w:val="04A0" w:firstRow="1" w:lastRow="0" w:firstColumn="1" w:lastColumn="0" w:noHBand="0" w:noVBand="1"/>
      </w:tblPr>
      <w:tblGrid>
        <w:gridCol w:w="2694"/>
        <w:gridCol w:w="7938"/>
      </w:tblGrid>
      <w:tr w:rsidR="00CB108A" w:rsidRPr="0048746B" w14:paraId="48917734" w14:textId="77777777" w:rsidTr="00CB108A">
        <w:tc>
          <w:tcPr>
            <w:tcW w:w="10632" w:type="dxa"/>
            <w:gridSpan w:val="2"/>
            <w:shd w:val="clear" w:color="auto" w:fill="0070C0"/>
          </w:tcPr>
          <w:p w14:paraId="75EE0DB9" w14:textId="2C5977C9" w:rsidR="00CB108A" w:rsidRPr="00CB108A" w:rsidRDefault="00CB108A" w:rsidP="00CB108A">
            <w:pPr>
              <w:ind w:left="34"/>
              <w:jc w:val="center"/>
              <w:rPr>
                <w:rFonts w:ascii="Times New Roman" w:hAnsi="Times New Roman" w:cs="Times New Roman"/>
                <w:b/>
                <w:bCs/>
                <w:sz w:val="24"/>
                <w:szCs w:val="24"/>
              </w:rPr>
            </w:pPr>
            <w:r w:rsidRPr="00CB108A">
              <w:rPr>
                <w:rFonts w:ascii="Times New Roman" w:hAnsi="Times New Roman" w:cs="Times New Roman"/>
                <w:b/>
                <w:bCs/>
                <w:sz w:val="24"/>
                <w:szCs w:val="24"/>
              </w:rPr>
              <w:t>P</w:t>
            </w:r>
            <w:r>
              <w:rPr>
                <w:rFonts w:ascii="Times New Roman" w:hAnsi="Times New Roman" w:cs="Times New Roman"/>
                <w:b/>
                <w:bCs/>
                <w:sz w:val="24"/>
                <w:szCs w:val="24"/>
              </w:rPr>
              <w:t>r</w:t>
            </w:r>
            <w:r w:rsidRPr="00CB108A">
              <w:rPr>
                <w:rFonts w:ascii="Times New Roman" w:hAnsi="Times New Roman" w:cs="Times New Roman"/>
                <w:b/>
                <w:bCs/>
                <w:sz w:val="24"/>
                <w:szCs w:val="24"/>
              </w:rPr>
              <w:t>operty</w:t>
            </w:r>
            <w:r w:rsidR="004B4ABC">
              <w:rPr>
                <w:rFonts w:ascii="Times New Roman" w:hAnsi="Times New Roman" w:cs="Times New Roman"/>
                <w:b/>
                <w:bCs/>
                <w:sz w:val="24"/>
                <w:szCs w:val="24"/>
              </w:rPr>
              <w:t xml:space="preserve"> Site</w:t>
            </w:r>
          </w:p>
        </w:tc>
      </w:tr>
      <w:tr w:rsidR="0048746B" w:rsidRPr="00C6574B" w14:paraId="422B0A74" w14:textId="77777777" w:rsidTr="00FC48A1">
        <w:tc>
          <w:tcPr>
            <w:tcW w:w="2694" w:type="dxa"/>
          </w:tcPr>
          <w:p w14:paraId="5710F89C" w14:textId="77777777" w:rsidR="00B67A89" w:rsidRPr="00C6574B" w:rsidRDefault="00B67A89" w:rsidP="00FC48A1">
            <w:pPr>
              <w:ind w:left="39"/>
              <w:rPr>
                <w:rFonts w:ascii="Times New Roman" w:hAnsi="Times New Roman" w:cs="Times New Roman"/>
              </w:rPr>
            </w:pPr>
            <w:r w:rsidRPr="00C6574B">
              <w:rPr>
                <w:rFonts w:ascii="Times New Roman" w:hAnsi="Times New Roman" w:cs="Times New Roman"/>
              </w:rPr>
              <w:t>Land Area</w:t>
            </w:r>
          </w:p>
        </w:tc>
        <w:tc>
          <w:tcPr>
            <w:tcW w:w="7938" w:type="dxa"/>
          </w:tcPr>
          <w:p w14:paraId="1CEEAE94" w14:textId="6DCF069A" w:rsidR="00B67A89" w:rsidRPr="00C6574B" w:rsidRDefault="007F5DEA" w:rsidP="00FC48A1">
            <w:pPr>
              <w:ind w:left="34"/>
              <w:rPr>
                <w:rFonts w:ascii="Times New Roman" w:hAnsi="Times New Roman" w:cs="Times New Roman"/>
              </w:rPr>
            </w:pPr>
            <w:r w:rsidRPr="00C6574B">
              <w:rPr>
                <w:rFonts w:ascii="Times New Roman" w:hAnsi="Times New Roman" w:cs="Times New Roman"/>
              </w:rPr>
              <w:t>Total: 4</w:t>
            </w:r>
            <w:r w:rsidR="00FC48A1" w:rsidRPr="00C6574B">
              <w:rPr>
                <w:rFonts w:ascii="Times New Roman" w:hAnsi="Times New Roman" w:cs="Times New Roman"/>
              </w:rPr>
              <w:t>.84</w:t>
            </w:r>
            <w:r w:rsidRPr="00C6574B">
              <w:rPr>
                <w:rFonts w:ascii="Times New Roman" w:hAnsi="Times New Roman" w:cs="Times New Roman"/>
              </w:rPr>
              <w:t xml:space="preserve"> acre</w:t>
            </w:r>
          </w:p>
          <w:p w14:paraId="5CF326B4" w14:textId="54F22B1C" w:rsidR="007F5DEA" w:rsidRPr="00C6574B" w:rsidRDefault="007F5DEA" w:rsidP="00FC48A1">
            <w:pPr>
              <w:ind w:left="34"/>
              <w:rPr>
                <w:rFonts w:ascii="Times New Roman" w:hAnsi="Times New Roman" w:cs="Times New Roman"/>
              </w:rPr>
            </w:pPr>
            <w:r w:rsidRPr="00C6574B">
              <w:rPr>
                <w:rFonts w:ascii="Times New Roman" w:hAnsi="Times New Roman" w:cs="Times New Roman"/>
              </w:rPr>
              <w:t>Usable: 4</w:t>
            </w:r>
            <w:r w:rsidR="00FC48A1" w:rsidRPr="00C6574B">
              <w:rPr>
                <w:rFonts w:ascii="Times New Roman" w:hAnsi="Times New Roman" w:cs="Times New Roman"/>
              </w:rPr>
              <w:t>.84</w:t>
            </w:r>
            <w:r w:rsidRPr="00C6574B">
              <w:rPr>
                <w:rFonts w:ascii="Times New Roman" w:hAnsi="Times New Roman" w:cs="Times New Roman"/>
              </w:rPr>
              <w:t xml:space="preserve"> acre</w:t>
            </w:r>
          </w:p>
          <w:p w14:paraId="411E4ADE" w14:textId="25181F63" w:rsidR="007F5DEA" w:rsidRPr="00C6574B" w:rsidRDefault="007F5DEA" w:rsidP="00FC48A1">
            <w:pPr>
              <w:ind w:left="34"/>
              <w:rPr>
                <w:rFonts w:ascii="Times New Roman" w:hAnsi="Times New Roman" w:cs="Times New Roman"/>
              </w:rPr>
            </w:pPr>
            <w:r w:rsidRPr="00C6574B">
              <w:rPr>
                <w:rFonts w:ascii="Times New Roman" w:hAnsi="Times New Roman" w:cs="Times New Roman"/>
              </w:rPr>
              <w:t>Excess: 0 acre</w:t>
            </w:r>
          </w:p>
        </w:tc>
      </w:tr>
      <w:tr w:rsidR="0048746B" w:rsidRPr="00C6574B" w14:paraId="7231A779" w14:textId="77777777" w:rsidTr="00FC48A1">
        <w:tc>
          <w:tcPr>
            <w:tcW w:w="2694" w:type="dxa"/>
          </w:tcPr>
          <w:p w14:paraId="4B00C707" w14:textId="40F034A7" w:rsidR="00067FF8" w:rsidRPr="00C6574B" w:rsidRDefault="00067FF8" w:rsidP="00FC48A1">
            <w:pPr>
              <w:ind w:left="39"/>
              <w:rPr>
                <w:rFonts w:ascii="Times New Roman" w:hAnsi="Times New Roman" w:cs="Times New Roman"/>
              </w:rPr>
            </w:pPr>
            <w:r w:rsidRPr="00C6574B">
              <w:rPr>
                <w:rFonts w:ascii="Times New Roman" w:hAnsi="Times New Roman" w:cs="Times New Roman"/>
              </w:rPr>
              <w:t>Zoning</w:t>
            </w:r>
          </w:p>
        </w:tc>
        <w:tc>
          <w:tcPr>
            <w:tcW w:w="7938" w:type="dxa"/>
          </w:tcPr>
          <w:p w14:paraId="77E047DB" w14:textId="7FFCA018" w:rsidR="00067FF8" w:rsidRPr="00C6574B" w:rsidRDefault="006B0909" w:rsidP="00FC48A1">
            <w:pPr>
              <w:ind w:left="34"/>
              <w:rPr>
                <w:rFonts w:ascii="Times New Roman" w:hAnsi="Times New Roman" w:cs="Times New Roman"/>
              </w:rPr>
            </w:pPr>
            <w:r w:rsidRPr="00C6574B">
              <w:rPr>
                <w:rFonts w:ascii="Times New Roman" w:hAnsi="Times New Roman" w:cs="Times New Roman"/>
              </w:rPr>
              <w:t>A-2</w:t>
            </w:r>
            <w:r w:rsidR="00096909" w:rsidRPr="00C6574B">
              <w:rPr>
                <w:rFonts w:ascii="Times New Roman" w:hAnsi="Times New Roman" w:cs="Times New Roman"/>
              </w:rPr>
              <w:t xml:space="preserve"> </w:t>
            </w:r>
            <w:r w:rsidR="00EC7416" w:rsidRPr="00C6574B">
              <w:rPr>
                <w:rFonts w:ascii="Times New Roman" w:hAnsi="Times New Roman" w:cs="Times New Roman"/>
              </w:rPr>
              <w:t xml:space="preserve">residential district </w:t>
            </w:r>
            <w:r w:rsidRPr="00C6574B">
              <w:rPr>
                <w:rFonts w:ascii="Times New Roman" w:hAnsi="Times New Roman" w:cs="Times New Roman"/>
              </w:rPr>
              <w:t>of</w:t>
            </w:r>
            <w:r w:rsidR="00EC7416" w:rsidRPr="00C6574B">
              <w:rPr>
                <w:rFonts w:ascii="Times New Roman" w:hAnsi="Times New Roman" w:cs="Times New Roman"/>
              </w:rPr>
              <w:t xml:space="preserve"> city </w:t>
            </w:r>
          </w:p>
        </w:tc>
      </w:tr>
      <w:tr w:rsidR="004B4ABC" w:rsidRPr="00C6574B" w14:paraId="76508C34" w14:textId="77777777" w:rsidTr="00FC48A1">
        <w:tc>
          <w:tcPr>
            <w:tcW w:w="2694" w:type="dxa"/>
          </w:tcPr>
          <w:p w14:paraId="3E64D392" w14:textId="46BADA2E" w:rsidR="004B4ABC" w:rsidRPr="00C6574B" w:rsidRDefault="004B4ABC" w:rsidP="00FC48A1">
            <w:pPr>
              <w:ind w:left="39"/>
              <w:rPr>
                <w:rFonts w:ascii="Times New Roman" w:hAnsi="Times New Roman" w:cs="Times New Roman"/>
              </w:rPr>
            </w:pPr>
            <w:r w:rsidRPr="00C6574B">
              <w:rPr>
                <w:rFonts w:ascii="Times New Roman" w:hAnsi="Times New Roman" w:cs="Times New Roman"/>
              </w:rPr>
              <w:t>Utilities</w:t>
            </w:r>
          </w:p>
        </w:tc>
        <w:tc>
          <w:tcPr>
            <w:tcW w:w="7938" w:type="dxa"/>
          </w:tcPr>
          <w:p w14:paraId="482088AC" w14:textId="77777777" w:rsidR="004B4ABC" w:rsidRPr="00C6574B" w:rsidRDefault="004B4ABC" w:rsidP="00FC48A1">
            <w:pPr>
              <w:ind w:left="34"/>
              <w:rPr>
                <w:rFonts w:ascii="Times New Roman" w:hAnsi="Times New Roman" w:cs="Times New Roman"/>
              </w:rPr>
            </w:pPr>
            <w:r w:rsidRPr="00C6574B">
              <w:rPr>
                <w:rFonts w:ascii="Times New Roman" w:hAnsi="Times New Roman" w:cs="Times New Roman"/>
              </w:rPr>
              <w:t>Its not a flood hazard area.</w:t>
            </w:r>
          </w:p>
          <w:p w14:paraId="069B4A4A" w14:textId="77777777" w:rsidR="004B4ABC" w:rsidRPr="00C6574B" w:rsidRDefault="004B4ABC" w:rsidP="00FC48A1">
            <w:pPr>
              <w:ind w:left="34"/>
              <w:rPr>
                <w:rFonts w:ascii="Times New Roman" w:hAnsi="Times New Roman" w:cs="Times New Roman"/>
              </w:rPr>
            </w:pPr>
            <w:r w:rsidRPr="00C6574B">
              <w:rPr>
                <w:rFonts w:ascii="Times New Roman" w:hAnsi="Times New Roman" w:cs="Times New Roman"/>
              </w:rPr>
              <w:t>Public source for supply of electricity, water, gas and sanitary sewer</w:t>
            </w:r>
            <w:r w:rsidR="000A68A7" w:rsidRPr="00C6574B">
              <w:rPr>
                <w:rFonts w:ascii="Times New Roman" w:hAnsi="Times New Roman" w:cs="Times New Roman"/>
              </w:rPr>
              <w:t>.</w:t>
            </w:r>
          </w:p>
          <w:p w14:paraId="3D155451" w14:textId="53DCB69E" w:rsidR="000A68A7" w:rsidRPr="00C6574B" w:rsidRDefault="000A68A7" w:rsidP="00FC48A1">
            <w:pPr>
              <w:ind w:left="34"/>
              <w:rPr>
                <w:rFonts w:ascii="Times New Roman" w:hAnsi="Times New Roman" w:cs="Times New Roman"/>
              </w:rPr>
            </w:pPr>
            <w:r w:rsidRPr="00C6574B">
              <w:rPr>
                <w:rFonts w:ascii="Times New Roman" w:hAnsi="Times New Roman" w:cs="Times New Roman"/>
              </w:rPr>
              <w:t>No adverse site conditions or external factors like encroachments or environmental conditions reported.</w:t>
            </w:r>
          </w:p>
        </w:tc>
      </w:tr>
      <w:tr w:rsidR="0048746B" w:rsidRPr="00C6574B" w14:paraId="33129103" w14:textId="77777777" w:rsidTr="00FC48A1">
        <w:tc>
          <w:tcPr>
            <w:tcW w:w="2694" w:type="dxa"/>
          </w:tcPr>
          <w:p w14:paraId="4DF9AE5D" w14:textId="77777777" w:rsidR="00E625A2" w:rsidRPr="00C6574B" w:rsidRDefault="00B67A89" w:rsidP="00FC48A1">
            <w:pPr>
              <w:ind w:left="39"/>
              <w:rPr>
                <w:rFonts w:ascii="Times New Roman" w:hAnsi="Times New Roman" w:cs="Times New Roman"/>
              </w:rPr>
            </w:pPr>
            <w:r w:rsidRPr="00C6574B">
              <w:rPr>
                <w:rFonts w:ascii="Times New Roman" w:hAnsi="Times New Roman" w:cs="Times New Roman"/>
              </w:rPr>
              <w:t xml:space="preserve">Highest and Best Use </w:t>
            </w:r>
          </w:p>
          <w:p w14:paraId="083CDBE3" w14:textId="0B6B9F77" w:rsidR="00B67A89" w:rsidRPr="00C6574B" w:rsidRDefault="00E625A2" w:rsidP="00FC48A1">
            <w:pPr>
              <w:ind w:left="39"/>
              <w:rPr>
                <w:rFonts w:ascii="Times New Roman" w:hAnsi="Times New Roman" w:cs="Times New Roman"/>
              </w:rPr>
            </w:pPr>
            <w:r w:rsidRPr="00C6574B">
              <w:rPr>
                <w:rFonts w:ascii="Times New Roman" w:hAnsi="Times New Roman" w:cs="Times New Roman"/>
              </w:rPr>
              <w:t>“</w:t>
            </w:r>
            <w:proofErr w:type="gramStart"/>
            <w:r w:rsidRPr="00C6574B">
              <w:rPr>
                <w:rFonts w:ascii="Times New Roman" w:hAnsi="Times New Roman" w:cs="Times New Roman"/>
              </w:rPr>
              <w:t>as</w:t>
            </w:r>
            <w:proofErr w:type="gramEnd"/>
            <w:r w:rsidRPr="00C6574B">
              <w:rPr>
                <w:rFonts w:ascii="Times New Roman" w:hAnsi="Times New Roman" w:cs="Times New Roman"/>
              </w:rPr>
              <w:t xml:space="preserve"> if vacant”</w:t>
            </w:r>
          </w:p>
        </w:tc>
        <w:tc>
          <w:tcPr>
            <w:tcW w:w="7938" w:type="dxa"/>
          </w:tcPr>
          <w:p w14:paraId="21CC3B7B" w14:textId="78AF65D6" w:rsidR="00B67A89" w:rsidRPr="00C6574B" w:rsidRDefault="006B0909" w:rsidP="00FC48A1">
            <w:pPr>
              <w:pStyle w:val="Default"/>
              <w:ind w:left="34"/>
              <w:rPr>
                <w:color w:val="auto"/>
                <w:sz w:val="22"/>
                <w:szCs w:val="22"/>
              </w:rPr>
            </w:pPr>
            <w:r w:rsidRPr="00C6574B">
              <w:rPr>
                <w:color w:val="auto"/>
                <w:sz w:val="22"/>
                <w:szCs w:val="22"/>
              </w:rPr>
              <w:t>Development of multi-family improvements is estimated to be the highest and best use for the subject property</w:t>
            </w:r>
            <w:r w:rsidR="00E625A2" w:rsidRPr="00C6574B">
              <w:rPr>
                <w:color w:val="auto"/>
                <w:sz w:val="22"/>
                <w:szCs w:val="22"/>
              </w:rPr>
              <w:t xml:space="preserve"> </w:t>
            </w:r>
            <w:r w:rsidRPr="00C6574B">
              <w:rPr>
                <w:color w:val="auto"/>
                <w:sz w:val="22"/>
                <w:szCs w:val="22"/>
              </w:rPr>
              <w:t xml:space="preserve">as this use provides a higher return to the underlying land than any other use analyzed. </w:t>
            </w:r>
          </w:p>
        </w:tc>
      </w:tr>
      <w:tr w:rsidR="0048746B" w:rsidRPr="00C6574B" w14:paraId="612478FE" w14:textId="77777777" w:rsidTr="00FC48A1">
        <w:tc>
          <w:tcPr>
            <w:tcW w:w="2694" w:type="dxa"/>
          </w:tcPr>
          <w:p w14:paraId="448039B2" w14:textId="77777777" w:rsidR="00E625A2" w:rsidRPr="00C6574B" w:rsidRDefault="00B67A89" w:rsidP="00FC48A1">
            <w:pPr>
              <w:ind w:left="39"/>
              <w:rPr>
                <w:rFonts w:ascii="Times New Roman" w:hAnsi="Times New Roman" w:cs="Times New Roman"/>
              </w:rPr>
            </w:pPr>
            <w:r w:rsidRPr="00C6574B">
              <w:rPr>
                <w:rFonts w:ascii="Times New Roman" w:hAnsi="Times New Roman" w:cs="Times New Roman"/>
              </w:rPr>
              <w:t xml:space="preserve">Highest and Best use </w:t>
            </w:r>
          </w:p>
          <w:p w14:paraId="6A51E3D3" w14:textId="7BE2BD2C" w:rsidR="00B67A89" w:rsidRPr="00C6574B" w:rsidRDefault="00351F01" w:rsidP="00FC48A1">
            <w:pPr>
              <w:ind w:left="39"/>
              <w:rPr>
                <w:rFonts w:ascii="Times New Roman" w:hAnsi="Times New Roman" w:cs="Times New Roman"/>
              </w:rPr>
            </w:pPr>
            <w:r w:rsidRPr="00C6574B">
              <w:rPr>
                <w:rFonts w:ascii="Times New Roman" w:hAnsi="Times New Roman" w:cs="Times New Roman"/>
              </w:rPr>
              <w:t>“</w:t>
            </w:r>
            <w:proofErr w:type="gramStart"/>
            <w:r w:rsidR="00B67A89" w:rsidRPr="00C6574B">
              <w:rPr>
                <w:rFonts w:ascii="Times New Roman" w:hAnsi="Times New Roman" w:cs="Times New Roman"/>
              </w:rPr>
              <w:t>as</w:t>
            </w:r>
            <w:proofErr w:type="gramEnd"/>
            <w:r w:rsidR="00B67A89" w:rsidRPr="00C6574B">
              <w:rPr>
                <w:rFonts w:ascii="Times New Roman" w:hAnsi="Times New Roman" w:cs="Times New Roman"/>
              </w:rPr>
              <w:t xml:space="preserve"> is</w:t>
            </w:r>
            <w:r w:rsidRPr="00C6574B">
              <w:rPr>
                <w:rFonts w:ascii="Times New Roman" w:hAnsi="Times New Roman" w:cs="Times New Roman"/>
              </w:rPr>
              <w:t>”</w:t>
            </w:r>
          </w:p>
        </w:tc>
        <w:tc>
          <w:tcPr>
            <w:tcW w:w="7938" w:type="dxa"/>
          </w:tcPr>
          <w:p w14:paraId="629DF748" w14:textId="21ADBA78" w:rsidR="00B67A89" w:rsidRPr="00C6574B" w:rsidRDefault="007F5DEA" w:rsidP="00FC48A1">
            <w:pPr>
              <w:ind w:left="34"/>
              <w:rPr>
                <w:rFonts w:ascii="Times New Roman" w:hAnsi="Times New Roman" w:cs="Times New Roman"/>
              </w:rPr>
            </w:pPr>
            <w:r w:rsidRPr="00C6574B">
              <w:rPr>
                <w:rFonts w:ascii="Times New Roman" w:hAnsi="Times New Roman" w:cs="Times New Roman"/>
              </w:rPr>
              <w:t xml:space="preserve">Continued use of the subject improvements as a multi-family property with ongoing maintenance and continued replacement of major components as necessary </w:t>
            </w:r>
            <w:proofErr w:type="gramStart"/>
            <w:r w:rsidRPr="00C6574B">
              <w:rPr>
                <w:rFonts w:ascii="Times New Roman" w:hAnsi="Times New Roman" w:cs="Times New Roman"/>
              </w:rPr>
              <w:t>is considered to be</w:t>
            </w:r>
            <w:proofErr w:type="gramEnd"/>
            <w:r w:rsidRPr="00C6574B">
              <w:rPr>
                <w:rFonts w:ascii="Times New Roman" w:hAnsi="Times New Roman" w:cs="Times New Roman"/>
              </w:rPr>
              <w:t xml:space="preserve"> the maximally productive use of the property </w:t>
            </w:r>
            <w:r w:rsidR="00E625A2" w:rsidRPr="00C6574B">
              <w:rPr>
                <w:rFonts w:ascii="Times New Roman" w:hAnsi="Times New Roman" w:cs="Times New Roman"/>
              </w:rPr>
              <w:t>a</w:t>
            </w:r>
            <w:r w:rsidRPr="00C6574B">
              <w:rPr>
                <w:rFonts w:ascii="Times New Roman" w:hAnsi="Times New Roman" w:cs="Times New Roman"/>
              </w:rPr>
              <w:t>s this use provides a higher return to the owner / investor than any other option analyzed.</w:t>
            </w:r>
          </w:p>
        </w:tc>
      </w:tr>
    </w:tbl>
    <w:p w14:paraId="32F59920" w14:textId="18ADA7B7" w:rsidR="00B67A89" w:rsidRPr="00C6574B" w:rsidRDefault="00B67A89" w:rsidP="00CB108A">
      <w:pPr>
        <w:rPr>
          <w:rFonts w:ascii="Times New Roman" w:hAnsi="Times New Roman" w:cs="Times New Roman"/>
          <w:b/>
          <w:bCs/>
          <w:u w:val="single"/>
        </w:rPr>
      </w:pPr>
    </w:p>
    <w:tbl>
      <w:tblPr>
        <w:tblStyle w:val="TableGrid"/>
        <w:tblW w:w="10632" w:type="dxa"/>
        <w:tblInd w:w="-572" w:type="dxa"/>
        <w:tblLook w:val="04A0" w:firstRow="1" w:lastRow="0" w:firstColumn="1" w:lastColumn="0" w:noHBand="0" w:noVBand="1"/>
      </w:tblPr>
      <w:tblGrid>
        <w:gridCol w:w="2694"/>
        <w:gridCol w:w="7938"/>
      </w:tblGrid>
      <w:tr w:rsidR="00CB108A" w:rsidRPr="00C6574B" w14:paraId="50AE2752" w14:textId="77777777" w:rsidTr="00CB108A">
        <w:tc>
          <w:tcPr>
            <w:tcW w:w="10632" w:type="dxa"/>
            <w:gridSpan w:val="2"/>
            <w:shd w:val="clear" w:color="auto" w:fill="0070C0"/>
            <w:vAlign w:val="center"/>
          </w:tcPr>
          <w:p w14:paraId="4B0317A0" w14:textId="63D5B5D5" w:rsidR="00CB108A" w:rsidRPr="00C6574B" w:rsidRDefault="00CB108A" w:rsidP="00CB108A">
            <w:pPr>
              <w:ind w:firstLine="31"/>
              <w:jc w:val="center"/>
              <w:rPr>
                <w:rFonts w:ascii="Times New Roman" w:hAnsi="Times New Roman" w:cs="Times New Roman"/>
                <w:b/>
                <w:bCs/>
              </w:rPr>
            </w:pPr>
            <w:r w:rsidRPr="00C6574B">
              <w:rPr>
                <w:rFonts w:ascii="Times New Roman" w:hAnsi="Times New Roman" w:cs="Times New Roman"/>
                <w:b/>
                <w:bCs/>
              </w:rPr>
              <w:t>Value</w:t>
            </w:r>
          </w:p>
        </w:tc>
      </w:tr>
      <w:tr w:rsidR="0048746B" w:rsidRPr="00C6574B" w14:paraId="3E5794C4" w14:textId="77777777" w:rsidTr="00653520">
        <w:tc>
          <w:tcPr>
            <w:tcW w:w="2694" w:type="dxa"/>
            <w:vAlign w:val="center"/>
          </w:tcPr>
          <w:p w14:paraId="03325DC2" w14:textId="7122A199" w:rsidR="002C174D" w:rsidRPr="00C6574B" w:rsidRDefault="002C174D" w:rsidP="00653520">
            <w:pPr>
              <w:rPr>
                <w:rFonts w:ascii="Times New Roman" w:hAnsi="Times New Roman" w:cs="Times New Roman"/>
              </w:rPr>
            </w:pPr>
            <w:r w:rsidRPr="00C6574B">
              <w:rPr>
                <w:rFonts w:ascii="Times New Roman" w:hAnsi="Times New Roman" w:cs="Times New Roman"/>
              </w:rPr>
              <w:lastRenderedPageBreak/>
              <w:t>Land value</w:t>
            </w:r>
          </w:p>
        </w:tc>
        <w:tc>
          <w:tcPr>
            <w:tcW w:w="7938" w:type="dxa"/>
            <w:vAlign w:val="center"/>
          </w:tcPr>
          <w:p w14:paraId="3E437E78" w14:textId="638C28CE" w:rsidR="002C174D" w:rsidRPr="00C6574B" w:rsidRDefault="002C174D" w:rsidP="00653520">
            <w:pPr>
              <w:ind w:firstLine="31"/>
              <w:rPr>
                <w:rFonts w:ascii="Times New Roman" w:hAnsi="Times New Roman" w:cs="Times New Roman"/>
              </w:rPr>
            </w:pPr>
            <w:r w:rsidRPr="00C6574B">
              <w:rPr>
                <w:rFonts w:ascii="Times New Roman" w:hAnsi="Times New Roman" w:cs="Times New Roman"/>
              </w:rPr>
              <w:t>Not utilized</w:t>
            </w:r>
          </w:p>
        </w:tc>
      </w:tr>
      <w:tr w:rsidR="0048746B" w:rsidRPr="00C6574B" w14:paraId="68B81727" w14:textId="77777777" w:rsidTr="00653520">
        <w:tc>
          <w:tcPr>
            <w:tcW w:w="2694" w:type="dxa"/>
            <w:vAlign w:val="center"/>
          </w:tcPr>
          <w:p w14:paraId="40F30582" w14:textId="48C8E776" w:rsidR="002C174D" w:rsidRPr="00C6574B" w:rsidRDefault="002C174D" w:rsidP="00653520">
            <w:pPr>
              <w:rPr>
                <w:rFonts w:ascii="Times New Roman" w:hAnsi="Times New Roman" w:cs="Times New Roman"/>
              </w:rPr>
            </w:pPr>
            <w:r w:rsidRPr="00C6574B">
              <w:rPr>
                <w:rFonts w:ascii="Times New Roman" w:hAnsi="Times New Roman" w:cs="Times New Roman"/>
              </w:rPr>
              <w:t>Cost approach</w:t>
            </w:r>
          </w:p>
        </w:tc>
        <w:tc>
          <w:tcPr>
            <w:tcW w:w="7938" w:type="dxa"/>
            <w:vAlign w:val="center"/>
          </w:tcPr>
          <w:p w14:paraId="4627320E" w14:textId="66624DD4" w:rsidR="002C174D" w:rsidRPr="00C6574B" w:rsidRDefault="002C174D" w:rsidP="00653520">
            <w:pPr>
              <w:ind w:firstLine="31"/>
              <w:rPr>
                <w:rFonts w:ascii="Times New Roman" w:hAnsi="Times New Roman" w:cs="Times New Roman"/>
              </w:rPr>
            </w:pPr>
            <w:r w:rsidRPr="00C6574B">
              <w:rPr>
                <w:rFonts w:ascii="Times New Roman" w:hAnsi="Times New Roman" w:cs="Times New Roman"/>
              </w:rPr>
              <w:t>Not utilized</w:t>
            </w:r>
          </w:p>
        </w:tc>
      </w:tr>
      <w:tr w:rsidR="0048746B" w:rsidRPr="00C6574B" w14:paraId="2DC1D49E" w14:textId="77777777" w:rsidTr="00653520">
        <w:tc>
          <w:tcPr>
            <w:tcW w:w="2694" w:type="dxa"/>
            <w:vAlign w:val="center"/>
          </w:tcPr>
          <w:p w14:paraId="795D2BB9" w14:textId="033A7A19" w:rsidR="002C174D" w:rsidRPr="00C6574B" w:rsidRDefault="002C174D" w:rsidP="00653520">
            <w:pPr>
              <w:rPr>
                <w:rFonts w:ascii="Times New Roman" w:hAnsi="Times New Roman" w:cs="Times New Roman"/>
              </w:rPr>
            </w:pPr>
            <w:r w:rsidRPr="00C6574B">
              <w:rPr>
                <w:rFonts w:ascii="Times New Roman" w:hAnsi="Times New Roman" w:cs="Times New Roman"/>
              </w:rPr>
              <w:t>Improved Sales comparison approach</w:t>
            </w:r>
          </w:p>
        </w:tc>
        <w:tc>
          <w:tcPr>
            <w:tcW w:w="7938" w:type="dxa"/>
            <w:vAlign w:val="center"/>
          </w:tcPr>
          <w:p w14:paraId="06636261" w14:textId="63631DE1" w:rsidR="002C174D" w:rsidRPr="00C6574B" w:rsidRDefault="002C174D" w:rsidP="00653520">
            <w:pPr>
              <w:ind w:firstLine="31"/>
              <w:rPr>
                <w:rFonts w:ascii="Times New Roman" w:hAnsi="Times New Roman" w:cs="Times New Roman"/>
              </w:rPr>
            </w:pPr>
            <w:r w:rsidRPr="00C6574B">
              <w:rPr>
                <w:rFonts w:ascii="Times New Roman" w:hAnsi="Times New Roman" w:cs="Times New Roman"/>
              </w:rPr>
              <w:t>$4,650,000</w:t>
            </w:r>
          </w:p>
        </w:tc>
      </w:tr>
      <w:tr w:rsidR="0048746B" w:rsidRPr="00C6574B" w14:paraId="6E953E6A" w14:textId="77777777" w:rsidTr="00653520">
        <w:tc>
          <w:tcPr>
            <w:tcW w:w="2694" w:type="dxa"/>
            <w:vAlign w:val="center"/>
          </w:tcPr>
          <w:p w14:paraId="1AA5E93C" w14:textId="53772064" w:rsidR="005A305F" w:rsidRPr="00C6574B" w:rsidRDefault="005A305F" w:rsidP="00653520">
            <w:pPr>
              <w:rPr>
                <w:rFonts w:ascii="Times New Roman" w:hAnsi="Times New Roman" w:cs="Times New Roman"/>
              </w:rPr>
            </w:pPr>
            <w:r w:rsidRPr="00C6574B">
              <w:rPr>
                <w:rFonts w:ascii="Times New Roman" w:hAnsi="Times New Roman" w:cs="Times New Roman"/>
              </w:rPr>
              <w:t>Insurable replacement cost new</w:t>
            </w:r>
          </w:p>
        </w:tc>
        <w:tc>
          <w:tcPr>
            <w:tcW w:w="7938" w:type="dxa"/>
            <w:vAlign w:val="center"/>
          </w:tcPr>
          <w:p w14:paraId="78DFAA01" w14:textId="4970F30A"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1 – $455,000</w:t>
            </w:r>
          </w:p>
          <w:p w14:paraId="339FEBB9" w14:textId="0D28B42E"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2 – $455,000</w:t>
            </w:r>
          </w:p>
          <w:p w14:paraId="6987AC3E" w14:textId="6D95119D"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3 – $455,000</w:t>
            </w:r>
          </w:p>
          <w:p w14:paraId="33E62A31" w14:textId="0AD1AA20"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4 – $455,000</w:t>
            </w:r>
          </w:p>
          <w:p w14:paraId="2CED9A6C" w14:textId="17524014"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5 - $40,000</w:t>
            </w:r>
          </w:p>
          <w:p w14:paraId="29ED4288" w14:textId="1C97EDF1"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6 - $470,000</w:t>
            </w:r>
          </w:p>
          <w:p w14:paraId="2AE9A207" w14:textId="59019695"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7 – $470,000</w:t>
            </w:r>
          </w:p>
          <w:p w14:paraId="2C304664" w14:textId="43AA0D26"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8 - $435,000</w:t>
            </w:r>
          </w:p>
          <w:p w14:paraId="0B5A99ED" w14:textId="504E34CF"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Building 9 - $325,000</w:t>
            </w:r>
          </w:p>
          <w:p w14:paraId="69F17152" w14:textId="38FDCDD5" w:rsidR="005A305F" w:rsidRPr="00C6574B" w:rsidRDefault="005A305F" w:rsidP="00653520">
            <w:pPr>
              <w:ind w:firstLine="31"/>
              <w:rPr>
                <w:rFonts w:ascii="Times New Roman" w:hAnsi="Times New Roman" w:cs="Times New Roman"/>
              </w:rPr>
            </w:pPr>
          </w:p>
        </w:tc>
      </w:tr>
      <w:tr w:rsidR="0048746B" w:rsidRPr="00C6574B" w14:paraId="5B319F7F" w14:textId="77777777" w:rsidTr="00653520">
        <w:tc>
          <w:tcPr>
            <w:tcW w:w="2694" w:type="dxa"/>
            <w:vAlign w:val="center"/>
          </w:tcPr>
          <w:p w14:paraId="00067FC7" w14:textId="19D9E2DB" w:rsidR="005A305F" w:rsidRPr="00C6574B" w:rsidRDefault="005A305F" w:rsidP="00653520">
            <w:pPr>
              <w:rPr>
                <w:rFonts w:ascii="Times New Roman" w:hAnsi="Times New Roman" w:cs="Times New Roman"/>
              </w:rPr>
            </w:pPr>
            <w:r w:rsidRPr="00C6574B">
              <w:rPr>
                <w:rFonts w:ascii="Times New Roman" w:hAnsi="Times New Roman" w:cs="Times New Roman"/>
              </w:rPr>
              <w:t>Income approach</w:t>
            </w:r>
          </w:p>
        </w:tc>
        <w:tc>
          <w:tcPr>
            <w:tcW w:w="7938" w:type="dxa"/>
            <w:vAlign w:val="center"/>
          </w:tcPr>
          <w:p w14:paraId="1460A89F" w14:textId="63AA47C2"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$ 5,222,000</w:t>
            </w:r>
          </w:p>
        </w:tc>
      </w:tr>
      <w:tr w:rsidR="0048746B" w:rsidRPr="00C6574B" w14:paraId="13F3D4AC" w14:textId="77777777" w:rsidTr="00653520">
        <w:tc>
          <w:tcPr>
            <w:tcW w:w="2694" w:type="dxa"/>
            <w:vAlign w:val="center"/>
          </w:tcPr>
          <w:p w14:paraId="6D3238E4" w14:textId="05FF8101" w:rsidR="005A305F" w:rsidRPr="00C6574B" w:rsidRDefault="005A305F" w:rsidP="00653520">
            <w:pPr>
              <w:rPr>
                <w:rFonts w:ascii="Times New Roman" w:hAnsi="Times New Roman" w:cs="Times New Roman"/>
              </w:rPr>
            </w:pPr>
            <w:r w:rsidRPr="00C6574B">
              <w:rPr>
                <w:rFonts w:ascii="Times New Roman" w:hAnsi="Times New Roman" w:cs="Times New Roman"/>
              </w:rPr>
              <w:t>Reconciled opinion of value</w:t>
            </w:r>
          </w:p>
        </w:tc>
        <w:tc>
          <w:tcPr>
            <w:tcW w:w="7938" w:type="dxa"/>
            <w:vAlign w:val="center"/>
          </w:tcPr>
          <w:p w14:paraId="24C86328" w14:textId="70109185"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Premise: Current market value ‘as is’</w:t>
            </w:r>
          </w:p>
          <w:p w14:paraId="2CAFDF6E" w14:textId="7565A3C5"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Value conclusion: $5,000,000</w:t>
            </w:r>
          </w:p>
          <w:p w14:paraId="3ABD8714" w14:textId="6CBC0823"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Five million dollars</w:t>
            </w:r>
          </w:p>
        </w:tc>
      </w:tr>
      <w:tr w:rsidR="0048746B" w:rsidRPr="00C6574B" w14:paraId="7CECF776" w14:textId="77777777" w:rsidTr="00653520">
        <w:tc>
          <w:tcPr>
            <w:tcW w:w="2694" w:type="dxa"/>
            <w:vAlign w:val="center"/>
          </w:tcPr>
          <w:p w14:paraId="32652AB5" w14:textId="07ABECDA" w:rsidR="005A305F" w:rsidRPr="00C6574B" w:rsidRDefault="005A305F" w:rsidP="00653520">
            <w:pPr>
              <w:rPr>
                <w:rFonts w:ascii="Times New Roman" w:hAnsi="Times New Roman" w:cs="Times New Roman"/>
              </w:rPr>
            </w:pPr>
            <w:r w:rsidRPr="00C6574B">
              <w:rPr>
                <w:rFonts w:ascii="Times New Roman" w:hAnsi="Times New Roman" w:cs="Times New Roman"/>
              </w:rPr>
              <w:t>Marketing time estimated</w:t>
            </w:r>
          </w:p>
        </w:tc>
        <w:tc>
          <w:tcPr>
            <w:tcW w:w="7938" w:type="dxa"/>
            <w:vAlign w:val="center"/>
          </w:tcPr>
          <w:p w14:paraId="6E242D5B" w14:textId="0B9ED0D5" w:rsidR="005A305F" w:rsidRPr="00C6574B" w:rsidRDefault="005A305F" w:rsidP="00653520">
            <w:pPr>
              <w:ind w:firstLine="31"/>
              <w:rPr>
                <w:rFonts w:ascii="Times New Roman" w:hAnsi="Times New Roman" w:cs="Times New Roman"/>
              </w:rPr>
            </w:pPr>
            <w:r w:rsidRPr="00C6574B">
              <w:rPr>
                <w:rFonts w:ascii="Times New Roman" w:hAnsi="Times New Roman" w:cs="Times New Roman"/>
              </w:rPr>
              <w:t>9 to 12 months</w:t>
            </w:r>
          </w:p>
        </w:tc>
      </w:tr>
    </w:tbl>
    <w:p w14:paraId="25273839" w14:textId="77777777" w:rsidR="00D52493" w:rsidRPr="0048746B" w:rsidRDefault="00D52493" w:rsidP="00EA1A88">
      <w:pPr>
        <w:ind w:hanging="567"/>
        <w:jc w:val="center"/>
        <w:rPr>
          <w:rFonts w:ascii="Times New Roman" w:hAnsi="Times New Roman" w:cs="Times New Roman"/>
          <w:b/>
          <w:bCs/>
          <w:sz w:val="24"/>
          <w:szCs w:val="24"/>
          <w:u w:val="single"/>
        </w:rPr>
      </w:pPr>
    </w:p>
    <w:tbl>
      <w:tblPr>
        <w:tblStyle w:val="TableGrid"/>
        <w:tblW w:w="10632" w:type="dxa"/>
        <w:tblInd w:w="-572" w:type="dxa"/>
        <w:tblLook w:val="04A0" w:firstRow="1" w:lastRow="0" w:firstColumn="1" w:lastColumn="0" w:noHBand="0" w:noVBand="1"/>
      </w:tblPr>
      <w:tblGrid>
        <w:gridCol w:w="10632"/>
      </w:tblGrid>
      <w:tr w:rsidR="00CB108A" w14:paraId="4E199424" w14:textId="77777777" w:rsidTr="00CB108A">
        <w:tc>
          <w:tcPr>
            <w:tcW w:w="10632" w:type="dxa"/>
          </w:tcPr>
          <w:p w14:paraId="3F662EAE" w14:textId="206DFD13" w:rsidR="00CB108A" w:rsidRPr="00CB108A" w:rsidRDefault="00CB108A" w:rsidP="00EA1A88">
            <w:pPr>
              <w:jc w:val="center"/>
              <w:rPr>
                <w:rFonts w:ascii="Times New Roman" w:hAnsi="Times New Roman" w:cs="Times New Roman"/>
                <w:b/>
                <w:bCs/>
                <w:sz w:val="24"/>
                <w:szCs w:val="24"/>
              </w:rPr>
            </w:pPr>
            <w:r w:rsidRPr="00CB108A">
              <w:rPr>
                <w:rFonts w:ascii="Times New Roman" w:hAnsi="Times New Roman" w:cs="Times New Roman"/>
                <w:b/>
                <w:bCs/>
                <w:sz w:val="24"/>
                <w:szCs w:val="24"/>
              </w:rPr>
              <w:t>Photos</w:t>
            </w:r>
          </w:p>
        </w:tc>
      </w:tr>
      <w:tr w:rsidR="00CB108A" w14:paraId="444CDAD7" w14:textId="77777777" w:rsidTr="00CB108A">
        <w:trPr>
          <w:trHeight w:val="2816"/>
        </w:trPr>
        <w:tc>
          <w:tcPr>
            <w:tcW w:w="10632" w:type="dxa"/>
          </w:tcPr>
          <w:p w14:paraId="0D698C41" w14:textId="77777777" w:rsidR="00CB108A" w:rsidRDefault="00CB108A" w:rsidP="00EA1A88">
            <w:pPr>
              <w:jc w:val="center"/>
              <w:rPr>
                <w:rFonts w:ascii="Times New Roman" w:hAnsi="Times New Roman" w:cs="Times New Roman"/>
                <w:b/>
                <w:bCs/>
                <w:sz w:val="24"/>
                <w:szCs w:val="24"/>
                <w:u w:val="single"/>
              </w:rPr>
            </w:pPr>
          </w:p>
          <w:p w14:paraId="4654F521" w14:textId="4EF0F811" w:rsidR="00CB108A" w:rsidRDefault="00CB108A" w:rsidP="00EA1A88">
            <w:pPr>
              <w:jc w:val="center"/>
              <w:rPr>
                <w:rFonts w:ascii="Times New Roman" w:hAnsi="Times New Roman" w:cs="Times New Roman"/>
                <w:b/>
                <w:bCs/>
                <w:sz w:val="24"/>
                <w:szCs w:val="24"/>
                <w:u w:val="single"/>
              </w:rPr>
            </w:pPr>
            <w:r>
              <w:rPr>
                <w:noProof/>
              </w:rPr>
              <w:drawing>
                <wp:inline distT="0" distB="0" distL="0" distR="0" wp14:anchorId="76E2021B" wp14:editId="30F0093E">
                  <wp:extent cx="2745656" cy="1542965"/>
                  <wp:effectExtent l="0" t="0" r="0" b="635"/>
                  <wp:docPr id="12973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7786" cy="1549781"/>
                          </a:xfrm>
                          <a:prstGeom prst="rect">
                            <a:avLst/>
                          </a:prstGeom>
                          <a:noFill/>
                          <a:ln>
                            <a:noFill/>
                          </a:ln>
                        </pic:spPr>
                      </pic:pic>
                    </a:graphicData>
                  </a:graphic>
                </wp:inline>
              </w:drawing>
            </w:r>
            <w:r>
              <w:rPr>
                <w:rFonts w:ascii="Times New Roman" w:hAnsi="Times New Roman" w:cs="Times New Roman"/>
                <w:b/>
                <w:bCs/>
                <w:sz w:val="24"/>
                <w:szCs w:val="24"/>
                <w:u w:val="single"/>
              </w:rPr>
              <w:t xml:space="preserve"> </w:t>
            </w:r>
            <w:r>
              <w:rPr>
                <w:noProof/>
              </w:rPr>
              <w:drawing>
                <wp:inline distT="0" distB="0" distL="0" distR="0" wp14:anchorId="4CF32B14" wp14:editId="2536588E">
                  <wp:extent cx="2760345" cy="1533525"/>
                  <wp:effectExtent l="0" t="0" r="1905" b="9525"/>
                  <wp:docPr id="196546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0345" cy="1533525"/>
                          </a:xfrm>
                          <a:prstGeom prst="rect">
                            <a:avLst/>
                          </a:prstGeom>
                          <a:noFill/>
                          <a:ln>
                            <a:noFill/>
                          </a:ln>
                        </pic:spPr>
                      </pic:pic>
                    </a:graphicData>
                  </a:graphic>
                </wp:inline>
              </w:drawing>
            </w:r>
          </w:p>
        </w:tc>
      </w:tr>
    </w:tbl>
    <w:p w14:paraId="51D25C41" w14:textId="77777777" w:rsidR="00D52493" w:rsidRPr="0048746B" w:rsidRDefault="00D52493" w:rsidP="00EA1A88">
      <w:pPr>
        <w:ind w:hanging="567"/>
        <w:jc w:val="center"/>
        <w:rPr>
          <w:rFonts w:ascii="Times New Roman" w:hAnsi="Times New Roman" w:cs="Times New Roman"/>
          <w:b/>
          <w:bCs/>
          <w:sz w:val="24"/>
          <w:szCs w:val="24"/>
          <w:u w:val="single"/>
        </w:rPr>
      </w:pPr>
    </w:p>
    <w:sectPr w:rsidR="00D52493" w:rsidRPr="0048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04"/>
    <w:rsid w:val="000073E2"/>
    <w:rsid w:val="000517C6"/>
    <w:rsid w:val="00067FF8"/>
    <w:rsid w:val="00096909"/>
    <w:rsid w:val="000A68A7"/>
    <w:rsid w:val="000C7EC7"/>
    <w:rsid w:val="000E578E"/>
    <w:rsid w:val="001103C3"/>
    <w:rsid w:val="001135DF"/>
    <w:rsid w:val="001278D0"/>
    <w:rsid w:val="00147DE1"/>
    <w:rsid w:val="00174C30"/>
    <w:rsid w:val="00180411"/>
    <w:rsid w:val="00185130"/>
    <w:rsid w:val="001B2926"/>
    <w:rsid w:val="001B538A"/>
    <w:rsid w:val="001C36AD"/>
    <w:rsid w:val="00202E26"/>
    <w:rsid w:val="00215360"/>
    <w:rsid w:val="00221012"/>
    <w:rsid w:val="002546BF"/>
    <w:rsid w:val="00255022"/>
    <w:rsid w:val="00271CDC"/>
    <w:rsid w:val="0029015E"/>
    <w:rsid w:val="002C174D"/>
    <w:rsid w:val="002D5C28"/>
    <w:rsid w:val="002F3B1F"/>
    <w:rsid w:val="002F7CE1"/>
    <w:rsid w:val="00325A7C"/>
    <w:rsid w:val="00351F01"/>
    <w:rsid w:val="00364141"/>
    <w:rsid w:val="00375AD1"/>
    <w:rsid w:val="00385C05"/>
    <w:rsid w:val="003D4A12"/>
    <w:rsid w:val="00407C0F"/>
    <w:rsid w:val="004133F9"/>
    <w:rsid w:val="00440B15"/>
    <w:rsid w:val="00454D1D"/>
    <w:rsid w:val="00473027"/>
    <w:rsid w:val="0048746B"/>
    <w:rsid w:val="004A39D2"/>
    <w:rsid w:val="004B4ABC"/>
    <w:rsid w:val="004C39D4"/>
    <w:rsid w:val="004E7CD9"/>
    <w:rsid w:val="004F7951"/>
    <w:rsid w:val="00551F63"/>
    <w:rsid w:val="005734C6"/>
    <w:rsid w:val="005831D8"/>
    <w:rsid w:val="00594E06"/>
    <w:rsid w:val="005A305F"/>
    <w:rsid w:val="005F17B1"/>
    <w:rsid w:val="00620E84"/>
    <w:rsid w:val="00653520"/>
    <w:rsid w:val="006747B7"/>
    <w:rsid w:val="006B0909"/>
    <w:rsid w:val="006B25EF"/>
    <w:rsid w:val="007171F2"/>
    <w:rsid w:val="00760250"/>
    <w:rsid w:val="007B0877"/>
    <w:rsid w:val="007C39EF"/>
    <w:rsid w:val="007E33E4"/>
    <w:rsid w:val="007F5DEA"/>
    <w:rsid w:val="00802FBD"/>
    <w:rsid w:val="00831002"/>
    <w:rsid w:val="0083456F"/>
    <w:rsid w:val="00836AF6"/>
    <w:rsid w:val="0086327B"/>
    <w:rsid w:val="008A0B2E"/>
    <w:rsid w:val="008B1209"/>
    <w:rsid w:val="009741C0"/>
    <w:rsid w:val="00976CB2"/>
    <w:rsid w:val="009835E0"/>
    <w:rsid w:val="00992FC3"/>
    <w:rsid w:val="00994BC9"/>
    <w:rsid w:val="009D4E0F"/>
    <w:rsid w:val="009E3DF3"/>
    <w:rsid w:val="009F2FFB"/>
    <w:rsid w:val="009F3CB9"/>
    <w:rsid w:val="00A2311D"/>
    <w:rsid w:val="00A4461A"/>
    <w:rsid w:val="00A679B1"/>
    <w:rsid w:val="00A70C0E"/>
    <w:rsid w:val="00A81290"/>
    <w:rsid w:val="00AA14B9"/>
    <w:rsid w:val="00AE6CB0"/>
    <w:rsid w:val="00AF16E4"/>
    <w:rsid w:val="00B11E61"/>
    <w:rsid w:val="00B67A89"/>
    <w:rsid w:val="00B7107A"/>
    <w:rsid w:val="00B7372E"/>
    <w:rsid w:val="00B752C7"/>
    <w:rsid w:val="00BF7945"/>
    <w:rsid w:val="00C41C6D"/>
    <w:rsid w:val="00C6574B"/>
    <w:rsid w:val="00C8635B"/>
    <w:rsid w:val="00CA1951"/>
    <w:rsid w:val="00CA4C04"/>
    <w:rsid w:val="00CB108A"/>
    <w:rsid w:val="00D124D3"/>
    <w:rsid w:val="00D52493"/>
    <w:rsid w:val="00D54751"/>
    <w:rsid w:val="00D63E1F"/>
    <w:rsid w:val="00DB365F"/>
    <w:rsid w:val="00DD022D"/>
    <w:rsid w:val="00E14DB2"/>
    <w:rsid w:val="00E625A2"/>
    <w:rsid w:val="00EA1A88"/>
    <w:rsid w:val="00EB55B0"/>
    <w:rsid w:val="00EC7416"/>
    <w:rsid w:val="00F51E43"/>
    <w:rsid w:val="00F96E6B"/>
    <w:rsid w:val="00FA3C9D"/>
    <w:rsid w:val="00FC48A1"/>
    <w:rsid w:val="00FD3BE0"/>
    <w:rsid w:val="00FD5D1C"/>
    <w:rsid w:val="00FF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7049"/>
  <w15:chartTrackingRefBased/>
  <w15:docId w15:val="{458B2846-2536-41D4-BAB8-51692033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4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4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C04"/>
    <w:rPr>
      <w:rFonts w:eastAsiaTheme="majorEastAsia" w:cstheme="majorBidi"/>
      <w:color w:val="272727" w:themeColor="text1" w:themeTint="D8"/>
    </w:rPr>
  </w:style>
  <w:style w:type="paragraph" w:styleId="Title">
    <w:name w:val="Title"/>
    <w:basedOn w:val="Normal"/>
    <w:next w:val="Normal"/>
    <w:link w:val="TitleChar"/>
    <w:uiPriority w:val="10"/>
    <w:qFormat/>
    <w:rsid w:val="00CA4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C04"/>
    <w:pPr>
      <w:spacing w:before="160"/>
      <w:jc w:val="center"/>
    </w:pPr>
    <w:rPr>
      <w:i/>
      <w:iCs/>
      <w:color w:val="404040" w:themeColor="text1" w:themeTint="BF"/>
    </w:rPr>
  </w:style>
  <w:style w:type="character" w:customStyle="1" w:styleId="QuoteChar">
    <w:name w:val="Quote Char"/>
    <w:basedOn w:val="DefaultParagraphFont"/>
    <w:link w:val="Quote"/>
    <w:uiPriority w:val="29"/>
    <w:rsid w:val="00CA4C04"/>
    <w:rPr>
      <w:i/>
      <w:iCs/>
      <w:color w:val="404040" w:themeColor="text1" w:themeTint="BF"/>
    </w:rPr>
  </w:style>
  <w:style w:type="paragraph" w:styleId="ListParagraph">
    <w:name w:val="List Paragraph"/>
    <w:basedOn w:val="Normal"/>
    <w:uiPriority w:val="34"/>
    <w:qFormat/>
    <w:rsid w:val="00CA4C04"/>
    <w:pPr>
      <w:ind w:left="720"/>
      <w:contextualSpacing/>
    </w:pPr>
  </w:style>
  <w:style w:type="character" w:styleId="IntenseEmphasis">
    <w:name w:val="Intense Emphasis"/>
    <w:basedOn w:val="DefaultParagraphFont"/>
    <w:uiPriority w:val="21"/>
    <w:qFormat/>
    <w:rsid w:val="00CA4C04"/>
    <w:rPr>
      <w:i/>
      <w:iCs/>
      <w:color w:val="0F4761" w:themeColor="accent1" w:themeShade="BF"/>
    </w:rPr>
  </w:style>
  <w:style w:type="paragraph" w:styleId="IntenseQuote">
    <w:name w:val="Intense Quote"/>
    <w:basedOn w:val="Normal"/>
    <w:next w:val="Normal"/>
    <w:link w:val="IntenseQuoteChar"/>
    <w:uiPriority w:val="30"/>
    <w:qFormat/>
    <w:rsid w:val="00CA4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C04"/>
    <w:rPr>
      <w:i/>
      <w:iCs/>
      <w:color w:val="0F4761" w:themeColor="accent1" w:themeShade="BF"/>
    </w:rPr>
  </w:style>
  <w:style w:type="character" w:styleId="IntenseReference">
    <w:name w:val="Intense Reference"/>
    <w:basedOn w:val="DefaultParagraphFont"/>
    <w:uiPriority w:val="32"/>
    <w:qFormat/>
    <w:rsid w:val="00CA4C04"/>
    <w:rPr>
      <w:b/>
      <w:bCs/>
      <w:smallCaps/>
      <w:color w:val="0F4761" w:themeColor="accent1" w:themeShade="BF"/>
      <w:spacing w:val="5"/>
    </w:rPr>
  </w:style>
  <w:style w:type="table" w:styleId="TableGrid">
    <w:name w:val="Table Grid"/>
    <w:basedOn w:val="TableNormal"/>
    <w:uiPriority w:val="39"/>
    <w:rsid w:val="0059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909"/>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D124D3"/>
    <w:rPr>
      <w:color w:val="467886" w:themeColor="hyperlink"/>
      <w:u w:val="single"/>
    </w:rPr>
  </w:style>
  <w:style w:type="character" w:styleId="UnresolvedMention">
    <w:name w:val="Unresolved Mention"/>
    <w:basedOn w:val="DefaultParagraphFont"/>
    <w:uiPriority w:val="99"/>
    <w:semiHidden/>
    <w:unhideWhenUsed/>
    <w:rsid w:val="00D12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Normal.dotm</Template>
  <TotalTime>103</TotalTime>
  <Pages>3</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Iyer</dc:creator>
  <cp:keywords/>
  <dc:description/>
  <cp:lastModifiedBy>Radhika Iyer</cp:lastModifiedBy>
  <cp:revision>117</cp:revision>
  <dcterms:created xsi:type="dcterms:W3CDTF">2025-03-21T02:29:00Z</dcterms:created>
  <dcterms:modified xsi:type="dcterms:W3CDTF">2025-03-23T05:49:00Z</dcterms:modified>
</cp:coreProperties>
</file>