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Georgia" w:cs="Georgia" w:eastAsia="Georgia" w:hAnsi="Georgia"/>
          <w:b/>
          <w:bCs/>
          <w:color w:val="1F3D3A"/>
          <w:sz w:val="44"/>
          <w:szCs w:val="44"/>
        </w:rPr>
        <w:t xml:space="preserve">PLAN DE NEGOCIO</w:t>
      </w:r>
    </w:p>
    <w:p>
      <w:pPr>
        <w:spacing w:after="100" w:before="200"/>
        <w:jc w:val="center"/>
      </w:pPr>
      <w:r>
        <w:rPr>
          <w:rFonts w:ascii="Georgia" w:cs="Georgia" w:eastAsia="Georgia" w:hAnsi="Georgia"/>
          <w:b/>
          <w:bCs/>
          <w:color w:val="3E7C77"/>
          <w:sz w:val="30"/>
          <w:szCs w:val="30"/>
        </w:rPr>
        <w:t xml:space="preserve">[NOMBRE DE LA RESIDENCIA]</w:t>
      </w:r>
    </w:p>
    <w:p>
      <w:pPr>
        <w:jc w:val="center"/>
      </w:pPr>
      <w:r>
        <w:rPr>
          <w:rFonts w:ascii="Georgia" w:cs="Georgia" w:eastAsia="Georgia" w:hAnsi="Georgia"/>
          <w:i/>
          <w:iCs/>
          <w:color w:val="5A4A2A"/>
          <w:sz w:val="24"/>
          <w:szCs w:val="24"/>
        </w:rPr>
        <w:t xml:space="preserve">Establecimiento de Larga Estadía para Adultos Mayores (ELEAM)</w:t>
      </w:r>
    </w:p>
    <w:p>
      <w:pPr>
        <w:spacing w:before="800"/>
        <w:jc w:val="center"/>
      </w:pPr>
      <w:r>
        <w:rPr>
          <w:rFonts w:ascii="Georgia" w:cs="Georgia" w:eastAsia="Georgia" w:hAnsi="Georgia"/>
          <w:sz w:val="21"/>
          <w:szCs w:val="21"/>
        </w:rPr>
        <w:t xml:space="preserve">[CIUDAD], [FECHA]</w:t>
      </w:r>
    </w:p>
    <w:p>
      <w:pPr>
        <w:spacing w:before="2400"/>
        <w:jc w:val="center"/>
      </w:pPr>
      <w:r>
        <w:rPr>
          <w:rFonts w:ascii="Georgia" w:cs="Georgia" w:eastAsia="Georgia" w:hAnsi="Georgia"/>
          <w:i/>
          <w:iCs/>
          <w:color w:val="8A8A8A"/>
          <w:sz w:val="19"/>
          <w:szCs w:val="19"/>
        </w:rPr>
        <w:t xml:space="preserve">Documento de trabajo interno — no constituye asesoría financiera, legal ni regulatoria formal.</w:t>
      </w:r>
    </w:p>
    <w:p>
      <w:r>
        <w:br w:type="page"/>
      </w:r>
    </w:p>
    <w:p>
      <w:pPr>
        <w:pStyle w:val="Heading1"/>
      </w:pPr>
      <w:r>
        <w:rPr>
          <w:rFonts w:ascii="Georgia" w:cs="Georgia" w:eastAsia="Georgia" w:hAnsi="Georgia"/>
          <w:color w:val="1F3D3A"/>
        </w:rPr>
        <w:t xml:space="preserve">Índice</w:t>
      </w:r>
    </w:p>
    <w:p>
      <w:r>
        <w:rPr>
          <w:rFonts w:ascii="Georgia" w:cs="Georgia" w:eastAsia="Georgia" w:hAnsi="Georgia"/>
          <w:i/>
          <w:iCs/>
          <w:color w:val="8A8A8A"/>
          <w:sz w:val="19"/>
          <w:szCs w:val="19"/>
        </w:rPr>
        <w:t xml:space="preserve">Clic derecho sobre el índice → Actualizar campos, para que se generen los números de página.</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Georgia" w:cs="Georgia" w:eastAsia="Georgia" w:hAnsi="Georgia"/>
          <w:color w:val="1F3D3A"/>
        </w:rPr>
        <w:t xml:space="preserve">1. Resumen ejecutivo</w:t>
      </w:r>
    </w:p>
    <w:p>
      <w:pPr>
        <w:spacing w:after="140" w:line="300"/>
        <w:jc w:val="both"/>
      </w:pPr>
      <w:r>
        <w:rPr>
          <w:rFonts w:ascii="Georgia" w:cs="Georgia" w:eastAsia="Georgia" w:hAnsi="Georgia"/>
          <w:b w:val="false"/>
          <w:bCs w:val="false"/>
          <w:i w:val="false"/>
          <w:iCs w:val="false"/>
          <w:sz w:val="21"/>
          <w:szCs w:val="21"/>
        </w:rPr>
        <w:t xml:space="preserve">[NOMBRE DE LA RESIDENCIA] es un Establecimiento de Larga Estadía para Adultos Mayores (ELEAM) que opera actualmente con 11 residentes y capacidad física para crecer hasta 40, sin más inversión que la contratación de personal adicional, sujeto a ampliar la autorización sanitaria vigente ante la SEREMI de Salud.</w:t>
      </w:r>
    </w:p>
    <w:p>
      <w:pPr>
        <w:spacing w:after="140" w:line="300"/>
        <w:jc w:val="both"/>
      </w:pPr>
      <w:r>
        <w:rPr>
          <w:rFonts w:ascii="Georgia" w:cs="Georgia" w:eastAsia="Georgia" w:hAnsi="Georgia"/>
          <w:b w:val="false"/>
          <w:bCs w:val="false"/>
          <w:i w:val="false"/>
          <w:iCs w:val="false"/>
          <w:sz w:val="21"/>
          <w:szCs w:val="21"/>
        </w:rPr>
        <w:t xml:space="preserve">El objetivo del negocio es generar una ganancia mensual de al menos $3.000.000 para el administrador, además de cubrir un pago fijo de $2.000.000 mensuales al dueño del inmueble y los sueldos de una dotación de cuatro perfiles: cuidadores por turnos, TENS, cocinera y personal de aseo.</w:t>
      </w:r>
    </w:p>
    <w:p>
      <w:pPr>
        <w:pBdr>
          <w:left w:val="single" w:color="9C7A3C" w:sz="18"/>
        </w:pBdr>
        <w:shd w:fill="F2EFE6" w:val="clear"/>
        <w:spacing w:after="200" w:before="160" w:line="280"/>
        <w:jc w:val="both"/>
      </w:pPr>
      <w:r>
        <w:rPr>
          <w:rFonts w:ascii="Georgia" w:cs="Georgia" w:eastAsia="Georgia" w:hAnsi="Georgia"/>
          <w:b/>
          <w:bCs/>
          <w:color w:val="5A4A2A"/>
          <w:sz w:val="21"/>
          <w:szCs w:val="21"/>
        </w:rPr>
        <w:t xml:space="preserve">Hallazgo central de este plan: con la estructura de sueldos y bonos definida y la tarifa promedio actual ($1.050.000), el negocio no alcanza el punto de equilibrio ni siquiera a su capacidad máxima de 40 residentes. La Sección 2 diagnostica por qué y plantea las opciones concretas para cerrar esa brecha antes de invertir en crecer la ocupación.</w:t>
      </w:r>
    </w:p>
    <w:p>
      <w:pPr>
        <w:spacing w:after="140" w:line="300"/>
        <w:jc w:val="both"/>
      </w:pPr>
      <w:r>
        <w:rPr>
          <w:rFonts w:ascii="Georgia" w:cs="Georgia" w:eastAsia="Georgia" w:hAnsi="Georgia"/>
          <w:b w:val="false"/>
          <w:bCs w:val="false"/>
          <w:i w:val="false"/>
          <w:iCs w:val="false"/>
          <w:sz w:val="21"/>
          <w:szCs w:val="21"/>
        </w:rPr>
        <w:t xml:space="preserve">Este documento se apoya en tres archivos de trabajo adjuntos: el simulador financiero interactivo (para proyectar escenarios), la base de gastos de alimentación e insumos (para calibrar el costo variable por residente), y los cuatro contratos de trabajo por perfil. Los tres deben mantenerse alineados con este plan a medida que cambien los supuestos.</w:t>
      </w:r>
    </w:p>
    <w:p>
      <w:pPr>
        <w:pStyle w:val="Heading1"/>
        <w:spacing w:after="200" w:before="400"/>
      </w:pPr>
      <w:r>
        <w:rPr>
          <w:rFonts w:ascii="Georgia" w:cs="Georgia" w:eastAsia="Georgia" w:hAnsi="Georgia"/>
          <w:color w:val="1F3D3A"/>
        </w:rPr>
        <w:t xml:space="preserve">2. Diagnóstico financiero: el problema por resolver</w:t>
      </w:r>
    </w:p>
    <w:p>
      <w:pPr>
        <w:pStyle w:val="Heading2"/>
        <w:spacing w:after="140" w:before="260"/>
      </w:pPr>
      <w:r>
        <w:rPr>
          <w:rFonts w:ascii="Georgia" w:cs="Georgia" w:eastAsia="Georgia" w:hAnsi="Georgia"/>
          <w:color w:val="3E7C77"/>
        </w:rPr>
        <w:t xml:space="preserve">2.1 La brecha actual</w:t>
      </w:r>
    </w:p>
    <w:p>
      <w:pPr>
        <w:spacing w:after="140" w:line="300"/>
        <w:jc w:val="both"/>
      </w:pPr>
      <w:r>
        <w:rPr>
          <w:rFonts w:ascii="Georgia" w:cs="Georgia" w:eastAsia="Georgia" w:hAnsi="Georgia"/>
          <w:b w:val="false"/>
          <w:bCs w:val="false"/>
          <w:i w:val="false"/>
          <w:iCs w:val="false"/>
          <w:sz w:val="21"/>
          <w:szCs w:val="21"/>
        </w:rPr>
        <w:t xml:space="preserve">Con los supuestos vigentes — cuidador $650.000 líquido + $50.000 de bono de asistencia, TENS $800.000, cocinera y aseo $600.000 cada uno, más un bono general de $40.000 para los cuatro roles, tarifa promedio $1.050.000 y costo variable de $150.000 por residente — la ganancia mensual proyectada es negativa en todo el rango de ocupación posible:</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1452"/>
        <w:gridCol w:w="1633"/>
        <w:gridCol w:w="1996"/>
        <w:gridCol w:w="1996"/>
        <w:gridCol w:w="1996"/>
      </w:tblGrid>
      <w:tr>
        <w:trPr>
          <w:tblHeader/>
        </w:trPr>
        <w:tc>
          <w:tcPr>
            <w:tcW w:type="dxa" w:w="145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Residentes</w:t>
            </w:r>
          </w:p>
        </w:tc>
        <w:tc>
          <w:tcPr>
            <w:tcW w:type="dxa" w:w="1633"/>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Cuidadores necesarios</w:t>
            </w:r>
          </w:p>
        </w:tc>
        <w:tc>
          <w:tcPr>
            <w:tcW w:type="dxa" w:w="1996"/>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Costos totales/mes</w:t>
            </w:r>
          </w:p>
        </w:tc>
        <w:tc>
          <w:tcPr>
            <w:tcW w:type="dxa" w:w="1996"/>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Ingresos/mes</w:t>
            </w:r>
          </w:p>
        </w:tc>
        <w:tc>
          <w:tcPr>
            <w:tcW w:type="dxa" w:w="1996"/>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Ganancia/mes</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11 (actual)</w:t>
            </w:r>
          </w:p>
        </w:tc>
        <w:tc>
          <w:tcPr>
            <w:tcW w:type="dxa" w:w="1633"/>
            <w:shd w:fill="FFFFFF" w:val="clear"/>
            <w:tcMar>
              <w:top w:type="dxa" w:w="70"/>
              <w:left w:type="dxa" w:w="100"/>
              <w:bottom w:type="dxa" w:w="70"/>
              <w:right w:type="dxa" w:w="100"/>
            </w:tcMar>
            <w:vAlign w:val="center"/>
          </w:tcPr>
          <w:p>
            <w:r>
              <w:rPr>
                <w:rFonts w:ascii="Calibri" w:cs="Calibri" w:eastAsia="Calibri" w:hAnsi="Calibri"/>
                <w:sz w:val="20"/>
                <w:szCs w:val="20"/>
              </w:rPr>
              <w:t xml:space="preserve">8</w:t>
            </w:r>
          </w:p>
        </w:tc>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$18.872.000</w:t>
            </w:r>
          </w:p>
        </w:tc>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$11.550.000</w:t>
            </w:r>
          </w:p>
        </w:tc>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-$7.322.000</w:t>
            </w:r>
          </w:p>
        </w:tc>
      </w:tr>
      <w:tr>
        <w:tc>
          <w:tcPr>
            <w:tcW w:type="dxa" w:w="1452"/>
            <w:shd w:fill="F2F6F5" w:val="clear"/>
            <w:tcMar>
              <w:top w:type="dxa" w:w="70"/>
              <w:left w:type="dxa" w:w="100"/>
              <w:bottom w:type="dxa" w:w="70"/>
              <w:right w:type="dxa" w:w="100"/>
            </w:tcMar>
            <w:vAlign w:val="center"/>
          </w:tcPr>
          <w:p>
            <w:r>
              <w:rPr>
                <w:rFonts w:ascii="Calibri" w:cs="Calibri" w:eastAsia="Calibri" w:hAnsi="Calibri"/>
                <w:sz w:val="20"/>
                <w:szCs w:val="20"/>
              </w:rPr>
              <w:t xml:space="preserve">25</w:t>
            </w:r>
          </w:p>
        </w:tc>
        <w:tc>
          <w:tcPr>
            <w:tcW w:type="dxa" w:w="1633"/>
            <w:shd w:fill="F2F6F5" w:val="clear"/>
            <w:tcMar>
              <w:top w:type="dxa" w:w="70"/>
              <w:left w:type="dxa" w:w="100"/>
              <w:bottom w:type="dxa" w:w="70"/>
              <w:right w:type="dxa" w:w="100"/>
            </w:tcMar>
            <w:vAlign w:val="center"/>
          </w:tcPr>
          <w:p>
            <w:r>
              <w:rPr>
                <w:rFonts w:ascii="Calibri" w:cs="Calibri" w:eastAsia="Calibri" w:hAnsi="Calibri"/>
                <w:sz w:val="20"/>
                <w:szCs w:val="20"/>
              </w:rPr>
              <w:t xml:space="preserve">18</w:t>
            </w:r>
          </w:p>
        </w:tc>
        <w:tc>
          <w:tcPr>
            <w:tcW w:type="dxa" w:w="1996"/>
            <w:shd w:fill="F2F6F5" w:val="clear"/>
            <w:tcMar>
              <w:top w:type="dxa" w:w="70"/>
              <w:left w:type="dxa" w:w="100"/>
              <w:bottom w:type="dxa" w:w="70"/>
              <w:right w:type="dxa" w:w="100"/>
            </w:tcMar>
            <w:vAlign w:val="center"/>
          </w:tcPr>
          <w:p>
            <w:r>
              <w:rPr>
                <w:rFonts w:ascii="Calibri" w:cs="Calibri" w:eastAsia="Calibri" w:hAnsi="Calibri"/>
                <w:sz w:val="20"/>
                <w:szCs w:val="20"/>
              </w:rPr>
              <w:t xml:space="preserve">$33.182.000</w:t>
            </w:r>
          </w:p>
        </w:tc>
        <w:tc>
          <w:tcPr>
            <w:tcW w:type="dxa" w:w="1996"/>
            <w:shd w:fill="F2F6F5" w:val="clear"/>
            <w:tcMar>
              <w:top w:type="dxa" w:w="70"/>
              <w:left w:type="dxa" w:w="100"/>
              <w:bottom w:type="dxa" w:w="70"/>
              <w:right w:type="dxa" w:w="100"/>
            </w:tcMar>
            <w:vAlign w:val="center"/>
          </w:tcPr>
          <w:p>
            <w:r>
              <w:rPr>
                <w:rFonts w:ascii="Calibri" w:cs="Calibri" w:eastAsia="Calibri" w:hAnsi="Calibri"/>
                <w:sz w:val="20"/>
                <w:szCs w:val="20"/>
              </w:rPr>
              <w:t xml:space="preserve">$26.250.000</w:t>
            </w:r>
          </w:p>
        </w:tc>
        <w:tc>
          <w:tcPr>
            <w:tcW w:type="dxa" w:w="1996"/>
            <w:shd w:fill="F2F6F5" w:val="clear"/>
            <w:tcMar>
              <w:top w:type="dxa" w:w="70"/>
              <w:left w:type="dxa" w:w="100"/>
              <w:bottom w:type="dxa" w:w="70"/>
              <w:right w:type="dxa" w:w="100"/>
            </w:tcMar>
            <w:vAlign w:val="center"/>
          </w:tcPr>
          <w:p>
            <w:r>
              <w:rPr>
                <w:rFonts w:ascii="Calibri" w:cs="Calibri" w:eastAsia="Calibri" w:hAnsi="Calibri"/>
                <w:sz w:val="20"/>
                <w:szCs w:val="20"/>
              </w:rPr>
              <w:t xml:space="preserve">-$6.932.000</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40 (capacidad máxima)</w:t>
            </w:r>
          </w:p>
        </w:tc>
        <w:tc>
          <w:tcPr>
            <w:tcW w:type="dxa" w:w="1633"/>
            <w:shd w:fill="FFFFFF" w:val="clear"/>
            <w:tcMar>
              <w:top w:type="dxa" w:w="70"/>
              <w:left w:type="dxa" w:w="100"/>
              <w:bottom w:type="dxa" w:w="70"/>
              <w:right w:type="dxa" w:w="100"/>
            </w:tcMar>
            <w:vAlign w:val="center"/>
          </w:tcPr>
          <w:p>
            <w:r>
              <w:rPr>
                <w:rFonts w:ascii="Calibri" w:cs="Calibri" w:eastAsia="Calibri" w:hAnsi="Calibri"/>
                <w:sz w:val="20"/>
                <w:szCs w:val="20"/>
              </w:rPr>
              <w:t xml:space="preserve">29</w:t>
            </w:r>
          </w:p>
        </w:tc>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$48.863.000</w:t>
            </w:r>
          </w:p>
        </w:tc>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$42.000.000</w:t>
            </w:r>
          </w:p>
        </w:tc>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-$6.863.000</w:t>
            </w:r>
          </w:p>
        </w:tc>
      </w:tr>
    </w:tbl>
    <w:p>
      <w:pPr>
        <w:spacing w:after="140" w:line="300"/>
        <w:jc w:val="both"/>
      </w:pPr>
      <w:r>
        <w:rPr>
          <w:rFonts w:ascii="Georgia" w:cs="Georgia" w:eastAsia="Georgia" w:hAnsi="Georgia"/>
          <w:b w:val="false"/>
          <w:bCs w:val="false"/>
          <w:i/>
          <w:iCs/>
          <w:sz w:val="21"/>
          <w:szCs w:val="21"/>
        </w:rPr>
        <w:t xml:space="preserve">El punto de equilibrio real bajo estos supuestos se alcanza recién alrededor de 273 residentes, y la meta de $3.000.000 de ganancia alrededor de 378 — ambos muy por sobre el máximo físico de 40 cupos.</w:t>
      </w:r>
    </w:p>
    <w:p>
      <w:pPr>
        <w:pStyle w:val="Heading2"/>
        <w:spacing w:after="140" w:before="260"/>
      </w:pPr>
      <w:r>
        <w:rPr>
          <w:rFonts w:ascii="Georgia" w:cs="Georgia" w:eastAsia="Georgia" w:hAnsi="Georgia"/>
          <w:color w:val="3E7C77"/>
        </w:rPr>
        <w:t xml:space="preserve">2.2 Por qué ocurre</w:t>
      </w:r>
    </w:p>
    <w:p>
      <w:pPr>
        <w:spacing w:after="140" w:line="300"/>
        <w:jc w:val="both"/>
      </w:pPr>
      <w:r>
        <w:rPr>
          <w:rFonts w:ascii="Georgia" w:cs="Georgia" w:eastAsia="Georgia" w:hAnsi="Georgia"/>
          <w:b w:val="false"/>
          <w:bCs w:val="false"/>
          <w:i w:val="false"/>
          <w:iCs w:val="false"/>
          <w:sz w:val="21"/>
          <w:szCs w:val="21"/>
        </w:rPr>
        <w:t xml:space="preserve">Cada residente nuevo aporta $1.050.000 de ingreso, pero también cuesta $150.000 en insumos variables y, en promedio, cerca de $1.022.000 adicionales en dotación de cuidadores (siguiendo la razón de 1,4 residentes por cuidador). El margen que deja cada residente adicional es de solo unos $27.900 mensuales — insuficiente para cubrir los cerca de $7.450.000 de costos fijos mensuales que no dependen de la ocupación (TENS, cocinera, aseo, costos operacionales fijos y el pago al dueño).</w:t>
      </w:r>
    </w:p>
    <w:p>
      <w:pPr>
        <w:spacing w:after="140" w:line="300"/>
        <w:jc w:val="both"/>
      </w:pPr>
      <w:r>
        <w:rPr>
          <w:rFonts w:ascii="Georgia" w:cs="Georgia" w:eastAsia="Georgia" w:hAnsi="Georgia"/>
          <w:b w:val="false"/>
          <w:bCs w:val="false"/>
          <w:i w:val="false"/>
          <w:iCs w:val="false"/>
          <w:sz w:val="21"/>
          <w:szCs w:val="21"/>
        </w:rPr>
        <w:t xml:space="preserve">El bono general de $20.000 a $70.000 agregado a los cuatro roles fue, en este cálculo, el ajuste que terminó de cerrar un margen que ya era estrecho: antes de incorporarlo, con los mismos sueldos base, el negocio llegaba a punto de equilibrio alrededor de 105 residentes — igual de inviable dentro de la capacidad física, pero menos lejos.</w:t>
      </w:r>
    </w:p>
    <w:p>
      <w:pPr>
        <w:pStyle w:val="Heading2"/>
        <w:spacing w:after="140" w:before="260"/>
      </w:pPr>
      <w:r>
        <w:rPr>
          <w:rFonts w:ascii="Georgia" w:cs="Georgia" w:eastAsia="Georgia" w:hAnsi="Georgia"/>
          <w:color w:val="3E7C77"/>
        </w:rPr>
        <w:t xml:space="preserve">2.3 Opciones para cerrar la brecha</w:t>
      </w:r>
    </w:p>
    <w:p>
      <w:pPr>
        <w:spacing w:after="140" w:line="300"/>
        <w:jc w:val="both"/>
      </w:pPr>
      <w:r>
        <w:rPr>
          <w:rFonts w:ascii="Georgia" w:cs="Georgia" w:eastAsia="Georgia" w:hAnsi="Georgia"/>
          <w:b w:val="false"/>
          <w:bCs w:val="false"/>
          <w:i w:val="false"/>
          <w:iCs w:val="false"/>
          <w:sz w:val="21"/>
          <w:szCs w:val="21"/>
        </w:rPr>
        <w:t xml:space="preserve">Las siguientes son palancas individuales evaluadas a 40 residentes (capacidad máxima), manteniendo el resto de los supuestos sin cambio salvo lo indicado en cada fila:</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1996"/>
        <w:gridCol w:w="4173"/>
        <w:gridCol w:w="2903"/>
      </w:tblGrid>
      <w:tr>
        <w:trPr>
          <w:tblHeader/>
        </w:trPr>
        <w:tc>
          <w:tcPr>
            <w:tcW w:type="dxa" w:w="1996"/>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Opción</w:t>
            </w:r>
          </w:p>
        </w:tc>
        <w:tc>
          <w:tcPr>
            <w:tcW w:type="dxa" w:w="4173"/>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Cambio propuesto</w:t>
            </w:r>
          </w:p>
        </w:tc>
        <w:tc>
          <w:tcPr>
            <w:tcW w:type="dxa" w:w="2903"/>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Ganancia a 40 residentes</w:t>
            </w:r>
          </w:p>
        </w:tc>
      </w:tr>
      <w:tr>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A — Escenario actual</w:t>
            </w:r>
          </w:p>
        </w:tc>
        <w:tc>
          <w:tcPr>
            <w:tcW w:type="dxa" w:w="4173"/>
            <w:shd w:fill="FFFFFF" w:val="clear"/>
            <w:tcMar>
              <w:top w:type="dxa" w:w="70"/>
              <w:left w:type="dxa" w:w="100"/>
              <w:bottom w:type="dxa" w:w="70"/>
              <w:right w:type="dxa" w:w="100"/>
            </w:tcMar>
            <w:vAlign w:val="center"/>
          </w:tcPr>
          <w:p>
            <w:r>
              <w:rPr>
                <w:rFonts w:ascii="Calibri" w:cs="Calibri" w:eastAsia="Calibri" w:hAnsi="Calibri"/>
                <w:sz w:val="20"/>
                <w:szCs w:val="20"/>
              </w:rPr>
              <w:t xml:space="preserve">Sin cambios</w:t>
            </w:r>
          </w:p>
        </w:tc>
        <w:tc>
          <w:tcPr>
            <w:tcW w:type="dxa" w:w="2903"/>
            <w:shd w:fill="FFFFFF" w:val="clear"/>
            <w:tcMar>
              <w:top w:type="dxa" w:w="70"/>
              <w:left w:type="dxa" w:w="100"/>
              <w:bottom w:type="dxa" w:w="70"/>
              <w:right w:type="dxa" w:w="100"/>
            </w:tcMar>
            <w:vAlign w:val="center"/>
          </w:tcPr>
          <w:p>
            <w:r>
              <w:rPr>
                <w:rFonts w:ascii="Calibri" w:cs="Calibri" w:eastAsia="Calibri" w:hAnsi="Calibri"/>
                <w:sz w:val="20"/>
                <w:szCs w:val="20"/>
              </w:rPr>
              <w:t xml:space="preserve">-$6.863.000</w:t>
            </w:r>
          </w:p>
        </w:tc>
      </w:tr>
      <w:tr>
        <w:tc>
          <w:tcPr>
            <w:tcW w:type="dxa" w:w="1996"/>
            <w:shd w:fill="F2F6F5" w:val="clear"/>
            <w:tcMar>
              <w:top w:type="dxa" w:w="70"/>
              <w:left w:type="dxa" w:w="100"/>
              <w:bottom w:type="dxa" w:w="70"/>
              <w:right w:type="dxa" w:w="100"/>
            </w:tcMar>
            <w:vAlign w:val="center"/>
          </w:tcPr>
          <w:p>
            <w:r>
              <w:rPr>
                <w:rFonts w:ascii="Calibri" w:cs="Calibri" w:eastAsia="Calibri" w:hAnsi="Calibri"/>
                <w:sz w:val="20"/>
                <w:szCs w:val="20"/>
              </w:rPr>
              <w:t xml:space="preserve">B — Subir tarifa promedio</w:t>
            </w:r>
          </w:p>
        </w:tc>
        <w:tc>
          <w:tcPr>
            <w:tcW w:type="dxa" w:w="4173"/>
            <w:shd w:fill="F2F6F5" w:val="clear"/>
            <w:tcMar>
              <w:top w:type="dxa" w:w="70"/>
              <w:left w:type="dxa" w:w="100"/>
              <w:bottom w:type="dxa" w:w="70"/>
              <w:right w:type="dxa" w:w="100"/>
            </w:tcMar>
            <w:vAlign w:val="center"/>
          </w:tcPr>
          <w:p>
            <w:r>
              <w:rPr>
                <w:rFonts w:ascii="Calibri" w:cs="Calibri" w:eastAsia="Calibri" w:hAnsi="Calibri"/>
                <w:sz w:val="20"/>
                <w:szCs w:val="20"/>
              </w:rPr>
              <w:t xml:space="preserve">Tarifa a $1.221.575 (equilibrio) o $1.296.575 (meta $3M)</w:t>
            </w:r>
          </w:p>
        </w:tc>
        <w:tc>
          <w:tcPr>
            <w:tcW w:type="dxa" w:w="2903"/>
            <w:shd w:fill="F2F6F5" w:val="clear"/>
            <w:tcMar>
              <w:top w:type="dxa" w:w="70"/>
              <w:left w:type="dxa" w:w="100"/>
              <w:bottom w:type="dxa" w:w="70"/>
              <w:right w:type="dxa" w:w="100"/>
            </w:tcMar>
            <w:vAlign w:val="center"/>
          </w:tcPr>
          <w:p>
            <w:r>
              <w:rPr>
                <w:rFonts w:ascii="Calibri" w:cs="Calibri" w:eastAsia="Calibri" w:hAnsi="Calibri"/>
                <w:sz w:val="20"/>
                <w:szCs w:val="20"/>
              </w:rPr>
              <w:t xml:space="preserve">$0 / $3.000.000</w:t>
            </w:r>
          </w:p>
        </w:tc>
      </w:tr>
      <w:tr>
        <w:tc>
          <w:tcPr>
            <w:tcW w:type="dxa" w:w="1996"/>
            <w:shd w:fill="FFFFFF" w:val="clear"/>
            <w:tcMar>
              <w:top w:type="dxa" w:w="70"/>
              <w:left w:type="dxa" w:w="100"/>
              <w:bottom w:type="dxa" w:w="70"/>
              <w:right w:type="dxa" w:w="100"/>
            </w:tcMar>
            <w:vAlign w:val="center"/>
          </w:tcPr>
          <w:p>
            <w:r>
              <w:rPr>
                <w:rFonts w:ascii="Calibri" w:cs="Calibri" w:eastAsia="Calibri" w:hAnsi="Calibri"/>
                <w:sz w:val="20"/>
                <w:szCs w:val="20"/>
              </w:rPr>
              <w:t xml:space="preserve">C — Mejorar razón cuidador/residente</w:t>
            </w:r>
          </w:p>
        </w:tc>
        <w:tc>
          <w:tcPr>
            <w:tcW w:type="dxa" w:w="4173"/>
            <w:shd w:fill="FFFFFF" w:val="clear"/>
            <w:tcMar>
              <w:top w:type="dxa" w:w="70"/>
              <w:left w:type="dxa" w:w="100"/>
              <w:bottom w:type="dxa" w:w="70"/>
              <w:right w:type="dxa" w:w="100"/>
            </w:tcMar>
            <w:vAlign w:val="center"/>
          </w:tcPr>
          <w:p>
            <w:r>
              <w:rPr>
                <w:rFonts w:ascii="Calibri" w:cs="Calibri" w:eastAsia="Calibri" w:hAnsi="Calibri"/>
                <w:sz w:val="20"/>
                <w:szCs w:val="20"/>
              </w:rPr>
              <w:t xml:space="preserve">Razón a ~1,74 (equilibrio) o ~1,9 (meta $3M), dentro del mínimo legal según dependencia</w:t>
            </w:r>
          </w:p>
        </w:tc>
        <w:tc>
          <w:tcPr>
            <w:tcW w:type="dxa" w:w="2903"/>
            <w:shd w:fill="FFFFFF" w:val="clear"/>
            <w:tcMar>
              <w:top w:type="dxa" w:w="70"/>
              <w:left w:type="dxa" w:w="100"/>
              <w:bottom w:type="dxa" w:w="70"/>
              <w:right w:type="dxa" w:w="100"/>
            </w:tcMar>
            <w:vAlign w:val="center"/>
          </w:tcPr>
          <w:p>
            <w:r>
              <w:rPr>
                <w:rFonts w:ascii="Calibri" w:cs="Calibri" w:eastAsia="Calibri" w:hAnsi="Calibri"/>
                <w:sz w:val="20"/>
                <w:szCs w:val="20"/>
              </w:rPr>
              <w:t xml:space="preserve">$0 / ~$3.000.000</w:t>
            </w:r>
          </w:p>
        </w:tc>
      </w:tr>
      <w:tr>
        <w:tc>
          <w:tcPr>
            <w:tcW w:type="dxa" w:w="1996"/>
            <w:shd w:fill="F2F6F5" w:val="clear"/>
            <w:tcMar>
              <w:top w:type="dxa" w:w="70"/>
              <w:left w:type="dxa" w:w="100"/>
              <w:bottom w:type="dxa" w:w="70"/>
              <w:right w:type="dxa" w:w="100"/>
            </w:tcMar>
            <w:vAlign w:val="center"/>
          </w:tcPr>
          <w:p>
            <w:r>
              <w:rPr>
                <w:rFonts w:ascii="Calibri" w:cs="Calibri" w:eastAsia="Calibri" w:hAnsi="Calibri"/>
                <w:sz w:val="20"/>
                <w:szCs w:val="20"/>
              </w:rPr>
              <w:t xml:space="preserve">D — Combinación moderada</w:t>
            </w:r>
          </w:p>
        </w:tc>
        <w:tc>
          <w:tcPr>
            <w:tcW w:type="dxa" w:w="4173"/>
            <w:shd w:fill="F2F6F5" w:val="clear"/>
            <w:tcMar>
              <w:top w:type="dxa" w:w="70"/>
              <w:left w:type="dxa" w:w="100"/>
              <w:bottom w:type="dxa" w:w="70"/>
              <w:right w:type="dxa" w:w="100"/>
            </w:tcMar>
            <w:vAlign w:val="center"/>
          </w:tcPr>
          <w:p>
            <w:r>
              <w:rPr>
                <w:rFonts w:ascii="Calibri" w:cs="Calibri" w:eastAsia="Calibri" w:hAnsi="Calibri"/>
                <w:sz w:val="20"/>
                <w:szCs w:val="20"/>
              </w:rPr>
              <w:t xml:space="preserve">Tarifa $1.150.000 + razón 1,6 + bono general $20.000</w:t>
            </w:r>
          </w:p>
        </w:tc>
        <w:tc>
          <w:tcPr>
            <w:tcW w:type="dxa" w:w="2903"/>
            <w:shd w:fill="F2F6F5" w:val="clear"/>
            <w:tcMar>
              <w:top w:type="dxa" w:w="70"/>
              <w:left w:type="dxa" w:w="100"/>
              <w:bottom w:type="dxa" w:w="70"/>
              <w:right w:type="dxa" w:w="100"/>
            </w:tcMar>
            <w:vAlign w:val="center"/>
          </w:tcPr>
          <w:p>
            <w:r>
              <w:rPr>
                <w:rFonts w:ascii="Calibri" w:cs="Calibri" w:eastAsia="Calibri" w:hAnsi="Calibri"/>
                <w:sz w:val="20"/>
                <w:szCs w:val="20"/>
              </w:rPr>
              <w:t xml:space="preserve">$2.978.000</w:t>
            </w:r>
          </w:p>
        </w:tc>
      </w:tr>
    </w:tbl>
    <w:p>
      <w:pPr>
        <w:spacing w:after="140" w:line="300"/>
        <w:jc w:val="both"/>
      </w:pPr>
      <w:r>
        <w:rPr>
          <w:rFonts w:ascii="Georgia" w:cs="Georgia" w:eastAsia="Georgia" w:hAnsi="Georgia"/>
          <w:b w:val="false"/>
          <w:bCs w:val="false"/>
          <w:i w:val="false"/>
          <w:iCs w:val="false"/>
          <w:sz w:val="21"/>
          <w:szCs w:val="21"/>
        </w:rPr>
        <w:t xml:space="preserve">La opción D combina ajustes moderados en las tres palancas y por sí sola llega prácticamente a la meta de $3.000.000 a capacidad máxima, sin depender de un solo cambio extremo. Su viabilidad depende de dos condiciones que hay que confirmar antes de adoptarla: que el mercado sostenga una tarifa promedio de $1.150.000 (dentro del rango $800.000–$1.300.000 ya usado), y que la mezcla real de dependencia de los residentes permita subir la razón de 1,4 a 1,6 residentes por cuidador sin incumplir el Decreto 20/2022.</w:t>
      </w:r>
    </w:p>
    <w:p>
      <w:pPr>
        <w:pBdr>
          <w:left w:val="single" w:color="1F5F5B" w:sz="18"/>
        </w:pBdr>
        <w:shd w:fill="F2EFE6" w:val="clear"/>
        <w:spacing w:after="200" w:before="160" w:line="280"/>
        <w:jc w:val="both"/>
      </w:pPr>
      <w:r>
        <w:rPr>
          <w:rFonts w:ascii="Georgia" w:cs="Georgia" w:eastAsia="Georgia" w:hAnsi="Georgia"/>
          <w:b/>
          <w:bCs/>
          <w:color w:val="5A4A2A"/>
          <w:sz w:val="21"/>
          <w:szCs w:val="21"/>
        </w:rPr>
        <w:t xml:space="preserve">Recomendación: antes de ejecutar el plan de crecimiento de la Sección 8, definir y probar en el simulador interactivo adjunto una combinación de tarifa, razón de cuidadores y bonos que alcance al menos el punto de equilibrio a la ocupación actual (11 residentes), no solo a capacidad máxima — de lo contrario, cada residente que se suma en el camino sigue generando pérdida.</w:t>
      </w:r>
    </w:p>
    <w:p>
      <w:pPr>
        <w:pStyle w:val="Heading1"/>
        <w:spacing w:after="200" w:before="400"/>
      </w:pPr>
      <w:r>
        <w:rPr>
          <w:rFonts w:ascii="Georgia" w:cs="Georgia" w:eastAsia="Georgia" w:hAnsi="Georgia"/>
          <w:color w:val="1F3D3A"/>
        </w:rPr>
        <w:t xml:space="preserve">3. Descripción del negocio</w:t>
      </w:r>
    </w:p>
    <w:p>
      <w:pPr>
        <w:pStyle w:val="Heading2"/>
        <w:spacing w:after="140" w:before="260"/>
      </w:pPr>
      <w:r>
        <w:rPr>
          <w:rFonts w:ascii="Georgia" w:cs="Georgia" w:eastAsia="Georgia" w:hAnsi="Georgia"/>
          <w:color w:val="3E7C77"/>
        </w:rPr>
        <w:t xml:space="preserve">3.1 Tipo de establecimiento y ubicación</w:t>
      </w:r>
    </w:p>
    <w:p>
      <w:pPr>
        <w:spacing w:after="140" w:line="300"/>
        <w:jc w:val="both"/>
      </w:pPr>
      <w:r>
        <w:rPr>
          <w:rFonts w:ascii="Georgia" w:cs="Georgia" w:eastAsia="Georgia" w:hAnsi="Georgia"/>
          <w:b w:val="false"/>
          <w:bCs w:val="false"/>
          <w:i w:val="false"/>
          <w:iCs w:val="false"/>
          <w:sz w:val="21"/>
          <w:szCs w:val="21"/>
        </w:rPr>
        <w:t xml:space="preserve">[NOMBRE DE LA RESIDENCIA] es un ELEAM ubicado en [DIRECCIÓN DE LA RESIDENCIA], [CIUDAD]. Opera bajo autorización sanitaria de la SEREMI de Salud, la que debe verificarse vigente y a nombre del administrador actual, o traspasarse formalmente si corresponde.</w:t>
      </w:r>
    </w:p>
    <w:p>
      <w:pPr>
        <w:pStyle w:val="Heading2"/>
        <w:spacing w:after="140" w:before="260"/>
      </w:pPr>
      <w:r>
        <w:rPr>
          <w:rFonts w:ascii="Georgia" w:cs="Georgia" w:eastAsia="Georgia" w:hAnsi="Georgia"/>
          <w:color w:val="3E7C77"/>
        </w:rPr>
        <w:t xml:space="preserve">3.2 Capacidad y servicios</w:t>
      </w:r>
    </w:p>
    <w:p>
      <w:pPr>
        <w:spacing w:after="140" w:line="300"/>
        <w:jc w:val="both"/>
      </w:pPr>
      <w:r>
        <w:rPr>
          <w:rFonts w:ascii="Georgia" w:cs="Georgia" w:eastAsia="Georgia" w:hAnsi="Georgia"/>
          <w:b w:val="false"/>
          <w:bCs w:val="false"/>
          <w:i w:val="false"/>
          <w:iCs w:val="false"/>
          <w:sz w:val="21"/>
          <w:szCs w:val="21"/>
        </w:rPr>
        <w:t xml:space="preserve">Capacidad actual: 11 residentes. Capacidad física ampliable hasta 40 residentes sin más inversión que la contratación de personal, sujeto a que la autorización sanitaria y el espacio disponible (m² por residente exigidos por la SEREMI) lo permitan para el número final de cupos.</w:t>
      </w:r>
    </w:p>
    <w:p>
      <w:pPr>
        <w:pStyle w:val="ListParagraph"/>
        <w:numPr>
          <w:ilvl w:val="0"/>
          <w:numId w:val="2"/>
        </w:numPr>
        <w:spacing w:after="90" w:line="300"/>
        <w:jc w:val="both"/>
      </w:pPr>
      <w:r>
        <w:rPr>
          <w:rFonts w:ascii="Georgia" w:cs="Georgia" w:eastAsia="Georgia" w:hAnsi="Georgia"/>
          <w:sz w:val="21"/>
          <w:szCs w:val="21"/>
        </w:rPr>
        <w:t xml:space="preserve">Alojamiento y alimentación (4 a 5 tiempos de comida diarios).</w:t>
      </w:r>
    </w:p>
    <w:p>
      <w:pPr>
        <w:pStyle w:val="ListParagraph"/>
        <w:numPr>
          <w:ilvl w:val="0"/>
          <w:numId w:val="2"/>
        </w:numPr>
        <w:spacing w:after="90" w:line="300"/>
        <w:jc w:val="both"/>
      </w:pPr>
      <w:r>
        <w:rPr>
          <w:rFonts w:ascii="Georgia" w:cs="Georgia" w:eastAsia="Georgia" w:hAnsi="Georgia"/>
          <w:sz w:val="21"/>
          <w:szCs w:val="21"/>
        </w:rPr>
        <w:t xml:space="preserve">Cuidado y supervisión permanente, con dotación mínima de 2 cuidadores simultáneos las 24 horas.</w:t>
      </w:r>
    </w:p>
    <w:p>
      <w:pPr>
        <w:pStyle w:val="ListParagraph"/>
        <w:numPr>
          <w:ilvl w:val="0"/>
          <w:numId w:val="2"/>
        </w:numPr>
        <w:spacing w:after="90" w:line="300"/>
        <w:jc w:val="both"/>
      </w:pPr>
      <w:r>
        <w:rPr>
          <w:rFonts w:ascii="Georgia" w:cs="Georgia" w:eastAsia="Georgia" w:hAnsi="Georgia"/>
          <w:sz w:val="21"/>
          <w:szCs w:val="21"/>
        </w:rPr>
        <w:t xml:space="preserve">Administración de medicamentos y atención de salud básica a cargo de un TENS.</w:t>
      </w:r>
    </w:p>
    <w:p>
      <w:pPr>
        <w:pStyle w:val="ListParagraph"/>
        <w:numPr>
          <w:ilvl w:val="0"/>
          <w:numId w:val="2"/>
        </w:numPr>
        <w:spacing w:after="90" w:line="300"/>
        <w:jc w:val="both"/>
      </w:pPr>
      <w:r>
        <w:rPr>
          <w:rFonts w:ascii="Georgia" w:cs="Georgia" w:eastAsia="Georgia" w:hAnsi="Georgia"/>
          <w:sz w:val="21"/>
          <w:szCs w:val="21"/>
        </w:rPr>
        <w:t xml:space="preserve">Aseo, higiene y mantención de las dependencias.</w:t>
      </w:r>
    </w:p>
    <w:p>
      <w:pPr>
        <w:pStyle w:val="Heading1"/>
        <w:spacing w:after="200" w:before="400"/>
      </w:pPr>
      <w:r>
        <w:rPr>
          <w:rFonts w:ascii="Georgia" w:cs="Georgia" w:eastAsia="Georgia" w:hAnsi="Georgia"/>
          <w:color w:val="1F3D3A"/>
        </w:rPr>
        <w:t xml:space="preserve">4. Marco legal y regulatorio</w:t>
      </w:r>
    </w:p>
    <w:p>
      <w:pPr>
        <w:spacing w:after="140" w:line="300"/>
        <w:jc w:val="both"/>
      </w:pPr>
      <w:r>
        <w:rPr>
          <w:rFonts w:ascii="Georgia" w:cs="Georgia" w:eastAsia="Georgia" w:hAnsi="Georgia"/>
          <w:b w:val="false"/>
          <w:bCs w:val="false"/>
          <w:i w:val="false"/>
          <w:iCs w:val="false"/>
          <w:sz w:val="21"/>
          <w:szCs w:val="21"/>
        </w:rPr>
        <w:t xml:space="preserve">Checklist de trámites — completar la columna Estado a medida que se confirme cada uno:</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4269"/>
        <w:gridCol w:w="3202"/>
        <w:gridCol w:w="1601"/>
      </w:tblGrid>
      <w:tr>
        <w:trPr>
          <w:tblHeader/>
        </w:trPr>
        <w:tc>
          <w:tcPr>
            <w:tcW w:type="dxa" w:w="4269"/>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Trámite</w:t>
            </w:r>
          </w:p>
        </w:tc>
        <w:tc>
          <w:tcPr>
            <w:tcW w:type="dxa" w:w="320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Organismo</w:t>
            </w:r>
          </w:p>
        </w:tc>
        <w:tc>
          <w:tcPr>
            <w:tcW w:type="dxa" w:w="1601"/>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Estado</w:t>
            </w:r>
          </w:p>
        </w:tc>
      </w:tr>
      <w:tr>
        <w:tc>
          <w:tcPr>
            <w:tcW w:type="dxa" w:w="4269"/>
            <w:shd w:fill="FFFFFF" w:val="clear"/>
            <w:tcMar>
              <w:top w:type="dxa" w:w="70"/>
              <w:left w:type="dxa" w:w="100"/>
              <w:bottom w:type="dxa" w:w="70"/>
              <w:right w:type="dxa" w:w="100"/>
            </w:tcMar>
            <w:vAlign w:val="center"/>
          </w:tcPr>
          <w:p>
            <w:r>
              <w:rPr>
                <w:rFonts w:ascii="Calibri" w:cs="Calibri" w:eastAsia="Calibri" w:hAnsi="Calibri"/>
                <w:sz w:val="20"/>
                <w:szCs w:val="20"/>
              </w:rPr>
              <w:t xml:space="preserve">Inicio de actividades</w:t>
            </w:r>
          </w:p>
        </w:tc>
        <w:tc>
          <w:tcPr>
            <w:tcW w:type="dxa" w:w="3202"/>
            <w:shd w:fill="FFFFFF" w:val="clear"/>
            <w:tcMar>
              <w:top w:type="dxa" w:w="70"/>
              <w:left w:type="dxa" w:w="100"/>
              <w:bottom w:type="dxa" w:w="70"/>
              <w:right w:type="dxa" w:w="100"/>
            </w:tcMar>
            <w:vAlign w:val="center"/>
          </w:tcPr>
          <w:p>
            <w:r>
              <w:rPr>
                <w:rFonts w:ascii="Calibri" w:cs="Calibri" w:eastAsia="Calibri" w:hAnsi="Calibri"/>
                <w:sz w:val="20"/>
                <w:szCs w:val="20"/>
              </w:rPr>
              <w:t xml:space="preserve">SII</w:t>
            </w:r>
          </w:p>
        </w:tc>
        <w:tc>
          <w:tcPr>
            <w:tcW w:type="dxa" w:w="1601"/>
            <w:shd w:fill="FFFFFF"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2F6F5" w:val="clear"/>
            <w:tcMar>
              <w:top w:type="dxa" w:w="70"/>
              <w:left w:type="dxa" w:w="100"/>
              <w:bottom w:type="dxa" w:w="70"/>
              <w:right w:type="dxa" w:w="100"/>
            </w:tcMar>
            <w:vAlign w:val="center"/>
          </w:tcPr>
          <w:p>
            <w:r>
              <w:rPr>
                <w:rFonts w:ascii="Calibri" w:cs="Calibri" w:eastAsia="Calibri" w:hAnsi="Calibri"/>
                <w:sz w:val="20"/>
                <w:szCs w:val="20"/>
              </w:rPr>
              <w:t xml:space="preserve">Patente municipal (giro ELEAM)</w:t>
            </w:r>
          </w:p>
        </w:tc>
        <w:tc>
          <w:tcPr>
            <w:tcW w:type="dxa" w:w="3202"/>
            <w:shd w:fill="F2F6F5" w:val="clear"/>
            <w:tcMar>
              <w:top w:type="dxa" w:w="70"/>
              <w:left w:type="dxa" w:w="100"/>
              <w:bottom w:type="dxa" w:w="70"/>
              <w:right w:type="dxa" w:w="100"/>
            </w:tcMar>
            <w:vAlign w:val="center"/>
          </w:tcPr>
          <w:p>
            <w:r>
              <w:rPr>
                <w:rFonts w:ascii="Calibri" w:cs="Calibri" w:eastAsia="Calibri" w:hAnsi="Calibri"/>
                <w:sz w:val="20"/>
                <w:szCs w:val="20"/>
              </w:rPr>
              <w:t xml:space="preserve">Municipalidad</w:t>
            </w:r>
          </w:p>
        </w:tc>
        <w:tc>
          <w:tcPr>
            <w:tcW w:type="dxa" w:w="1601"/>
            <w:shd w:fill="F2F6F5"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FFFFF" w:val="clear"/>
            <w:tcMar>
              <w:top w:type="dxa" w:w="70"/>
              <w:left w:type="dxa" w:w="100"/>
              <w:bottom w:type="dxa" w:w="70"/>
              <w:right w:type="dxa" w:w="100"/>
            </w:tcMar>
            <w:vAlign w:val="center"/>
          </w:tcPr>
          <w:p>
            <w:r>
              <w:rPr>
                <w:rFonts w:ascii="Calibri" w:cs="Calibri" w:eastAsia="Calibri" w:hAnsi="Calibri"/>
                <w:sz w:val="20"/>
                <w:szCs w:val="20"/>
              </w:rPr>
              <w:t xml:space="preserve">Afiliación Ley 16.744</w:t>
            </w:r>
          </w:p>
        </w:tc>
        <w:tc>
          <w:tcPr>
            <w:tcW w:type="dxa" w:w="3202"/>
            <w:shd w:fill="FFFFFF" w:val="clear"/>
            <w:tcMar>
              <w:top w:type="dxa" w:w="70"/>
              <w:left w:type="dxa" w:w="100"/>
              <w:bottom w:type="dxa" w:w="70"/>
              <w:right w:type="dxa" w:w="100"/>
            </w:tcMar>
            <w:vAlign w:val="center"/>
          </w:tcPr>
          <w:p>
            <w:r>
              <w:rPr>
                <w:rFonts w:ascii="Calibri" w:cs="Calibri" w:eastAsia="Calibri" w:hAnsi="Calibri"/>
                <w:sz w:val="20"/>
                <w:szCs w:val="20"/>
              </w:rPr>
              <w:t xml:space="preserve">Mutual de Seguridad</w:t>
            </w:r>
          </w:p>
        </w:tc>
        <w:tc>
          <w:tcPr>
            <w:tcW w:type="dxa" w:w="1601"/>
            <w:shd w:fill="FFFFFF"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2F6F5" w:val="clear"/>
            <w:tcMar>
              <w:top w:type="dxa" w:w="70"/>
              <w:left w:type="dxa" w:w="100"/>
              <w:bottom w:type="dxa" w:w="70"/>
              <w:right w:type="dxa" w:w="100"/>
            </w:tcMar>
            <w:vAlign w:val="center"/>
          </w:tcPr>
          <w:p>
            <w:r>
              <w:rPr>
                <w:rFonts w:ascii="Calibri" w:cs="Calibri" w:eastAsia="Calibri" w:hAnsi="Calibri"/>
                <w:sz w:val="20"/>
                <w:szCs w:val="20"/>
              </w:rPr>
              <w:t xml:space="preserve">Reglamento Interno de Orden, Higiene y Seguridad</w:t>
            </w:r>
          </w:p>
        </w:tc>
        <w:tc>
          <w:tcPr>
            <w:tcW w:type="dxa" w:w="3202"/>
            <w:shd w:fill="F2F6F5" w:val="clear"/>
            <w:tcMar>
              <w:top w:type="dxa" w:w="70"/>
              <w:left w:type="dxa" w:w="100"/>
              <w:bottom w:type="dxa" w:w="70"/>
              <w:right w:type="dxa" w:w="100"/>
            </w:tcMar>
            <w:vAlign w:val="center"/>
          </w:tcPr>
          <w:p>
            <w:r>
              <w:rPr>
                <w:rFonts w:ascii="Calibri" w:cs="Calibri" w:eastAsia="Calibri" w:hAnsi="Calibri"/>
                <w:sz w:val="20"/>
                <w:szCs w:val="20"/>
              </w:rPr>
              <w:t xml:space="preserve">Dirección del Trabajo</w:t>
            </w:r>
          </w:p>
        </w:tc>
        <w:tc>
          <w:tcPr>
            <w:tcW w:type="dxa" w:w="1601"/>
            <w:shd w:fill="F2F6F5"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FFFFF" w:val="clear"/>
            <w:tcMar>
              <w:top w:type="dxa" w:w="70"/>
              <w:left w:type="dxa" w:w="100"/>
              <w:bottom w:type="dxa" w:w="70"/>
              <w:right w:type="dxa" w:w="100"/>
            </w:tcMar>
            <w:vAlign w:val="center"/>
          </w:tcPr>
          <w:p>
            <w:r>
              <w:rPr>
                <w:rFonts w:ascii="Calibri" w:cs="Calibri" w:eastAsia="Calibri" w:hAnsi="Calibri"/>
                <w:sz w:val="20"/>
                <w:szCs w:val="20"/>
              </w:rPr>
              <w:t xml:space="preserve">Autorización sanitaria de instalación y funcionamiento</w:t>
            </w:r>
          </w:p>
        </w:tc>
        <w:tc>
          <w:tcPr>
            <w:tcW w:type="dxa" w:w="3202"/>
            <w:shd w:fill="FFFFFF" w:val="clear"/>
            <w:tcMar>
              <w:top w:type="dxa" w:w="70"/>
              <w:left w:type="dxa" w:w="100"/>
              <w:bottom w:type="dxa" w:w="70"/>
              <w:right w:type="dxa" w:w="100"/>
            </w:tcMar>
            <w:vAlign w:val="center"/>
          </w:tcPr>
          <w:p>
            <w:r>
              <w:rPr>
                <w:rFonts w:ascii="Calibri" w:cs="Calibri" w:eastAsia="Calibri" w:hAnsi="Calibri"/>
                <w:sz w:val="20"/>
                <w:szCs w:val="20"/>
              </w:rPr>
              <w:t xml:space="preserve">SEREMI de Salud</w:t>
            </w:r>
          </w:p>
        </w:tc>
        <w:tc>
          <w:tcPr>
            <w:tcW w:type="dxa" w:w="1601"/>
            <w:shd w:fill="FFFFFF"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2F6F5" w:val="clear"/>
            <w:tcMar>
              <w:top w:type="dxa" w:w="70"/>
              <w:left w:type="dxa" w:w="100"/>
              <w:bottom w:type="dxa" w:w="70"/>
              <w:right w:type="dxa" w:w="100"/>
            </w:tcMar>
            <w:vAlign w:val="center"/>
          </w:tcPr>
          <w:p>
            <w:r>
              <w:rPr>
                <w:rFonts w:ascii="Calibri" w:cs="Calibri" w:eastAsia="Calibri" w:hAnsi="Calibri"/>
                <w:sz w:val="20"/>
                <w:szCs w:val="20"/>
              </w:rPr>
              <w:t xml:space="preserve">Modificación de autorización sanitaria (si se amplía sobre 11 cupos)</w:t>
            </w:r>
          </w:p>
        </w:tc>
        <w:tc>
          <w:tcPr>
            <w:tcW w:type="dxa" w:w="3202"/>
            <w:shd w:fill="F2F6F5" w:val="clear"/>
            <w:tcMar>
              <w:top w:type="dxa" w:w="70"/>
              <w:left w:type="dxa" w:w="100"/>
              <w:bottom w:type="dxa" w:w="70"/>
              <w:right w:type="dxa" w:w="100"/>
            </w:tcMar>
            <w:vAlign w:val="center"/>
          </w:tcPr>
          <w:p>
            <w:r>
              <w:rPr>
                <w:rFonts w:ascii="Calibri" w:cs="Calibri" w:eastAsia="Calibri" w:hAnsi="Calibri"/>
                <w:sz w:val="20"/>
                <w:szCs w:val="20"/>
              </w:rPr>
              <w:t xml:space="preserve">SEREMI de Salud</w:t>
            </w:r>
          </w:p>
        </w:tc>
        <w:tc>
          <w:tcPr>
            <w:tcW w:type="dxa" w:w="1601"/>
            <w:shd w:fill="F2F6F5"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FFFFF" w:val="clear"/>
            <w:tcMar>
              <w:top w:type="dxa" w:w="70"/>
              <w:left w:type="dxa" w:w="100"/>
              <w:bottom w:type="dxa" w:w="70"/>
              <w:right w:type="dxa" w:w="100"/>
            </w:tcMar>
            <w:vAlign w:val="center"/>
          </w:tcPr>
          <w:p>
            <w:r>
              <w:rPr>
                <w:rFonts w:ascii="Calibri" w:cs="Calibri" w:eastAsia="Calibri" w:hAnsi="Calibri"/>
                <w:sz w:val="20"/>
                <w:szCs w:val="20"/>
              </w:rPr>
              <w:t xml:space="preserve">Registro de prestadores de servicios a adultos mayores</w:t>
            </w:r>
          </w:p>
        </w:tc>
        <w:tc>
          <w:tcPr>
            <w:tcW w:type="dxa" w:w="3202"/>
            <w:shd w:fill="FFFFFF" w:val="clear"/>
            <w:tcMar>
              <w:top w:type="dxa" w:w="70"/>
              <w:left w:type="dxa" w:w="100"/>
              <w:bottom w:type="dxa" w:w="70"/>
              <w:right w:type="dxa" w:w="100"/>
            </w:tcMar>
            <w:vAlign w:val="center"/>
          </w:tcPr>
          <w:p>
            <w:r>
              <w:rPr>
                <w:rFonts w:ascii="Calibri" w:cs="Calibri" w:eastAsia="Calibri" w:hAnsi="Calibri"/>
                <w:sz w:val="20"/>
                <w:szCs w:val="20"/>
              </w:rPr>
              <w:t xml:space="preserve">SENAMA</w:t>
            </w:r>
          </w:p>
        </w:tc>
        <w:tc>
          <w:tcPr>
            <w:tcW w:type="dxa" w:w="1601"/>
            <w:shd w:fill="FFFFFF"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2F6F5" w:val="clear"/>
            <w:tcMar>
              <w:top w:type="dxa" w:w="70"/>
              <w:left w:type="dxa" w:w="100"/>
              <w:bottom w:type="dxa" w:w="70"/>
              <w:right w:type="dxa" w:w="100"/>
            </w:tcMar>
            <w:vAlign w:val="center"/>
          </w:tcPr>
          <w:p>
            <w:r>
              <w:rPr>
                <w:rFonts w:ascii="Calibri" w:cs="Calibri" w:eastAsia="Calibri" w:hAnsi="Calibri"/>
                <w:sz w:val="20"/>
                <w:szCs w:val="20"/>
              </w:rPr>
              <w:t xml:space="preserve">Informe de factibilidad y plan de seguridad</w:t>
            </w:r>
          </w:p>
        </w:tc>
        <w:tc>
          <w:tcPr>
            <w:tcW w:type="dxa" w:w="3202"/>
            <w:shd w:fill="F2F6F5" w:val="clear"/>
            <w:tcMar>
              <w:top w:type="dxa" w:w="70"/>
              <w:left w:type="dxa" w:w="100"/>
              <w:bottom w:type="dxa" w:w="70"/>
              <w:right w:type="dxa" w:w="100"/>
            </w:tcMar>
            <w:vAlign w:val="center"/>
          </w:tcPr>
          <w:p>
            <w:r>
              <w:rPr>
                <w:rFonts w:ascii="Calibri" w:cs="Calibri" w:eastAsia="Calibri" w:hAnsi="Calibri"/>
                <w:sz w:val="20"/>
                <w:szCs w:val="20"/>
              </w:rPr>
              <w:t xml:space="preserve">Bomberos</w:t>
            </w:r>
          </w:p>
        </w:tc>
        <w:tc>
          <w:tcPr>
            <w:tcW w:type="dxa" w:w="1601"/>
            <w:shd w:fill="F2F6F5" w:val="clear"/>
            <w:tcMar>
              <w:top w:type="dxa" w:w="70"/>
              <w:left w:type="dxa" w:w="100"/>
              <w:bottom w:type="dxa" w:w="70"/>
              <w:right w:type="dxa" w:w="100"/>
            </w:tcMar>
            <w:vAlign w:val="center"/>
          </w:tcPr>
          <w:p>
            <w:r>
              <w:rPr>
                <w:rFonts w:ascii="Calibri" w:cs="Calibri" w:eastAsia="Calibri" w:hAnsi="Calibri"/>
                <w:sz w:val="20"/>
                <w:szCs w:val="20"/>
              </w:rPr>
              <w:t xml:space="preserve">[ ]</w:t>
            </w:r>
          </w:p>
        </w:tc>
      </w:tr>
      <w:tr>
        <w:tc>
          <w:tcPr>
            <w:tcW w:type="dxa" w:w="4269"/>
            <w:shd w:fill="FFFFFF" w:val="clear"/>
            <w:tcMar>
              <w:top w:type="dxa" w:w="70"/>
              <w:left w:type="dxa" w:w="100"/>
              <w:bottom w:type="dxa" w:w="70"/>
              <w:right w:type="dxa" w:w="100"/>
            </w:tcMar>
            <w:vAlign w:val="center"/>
          </w:tcPr>
          <w:p>
            <w:r>
              <w:rPr>
                <w:rFonts w:ascii="Calibri" w:cs="Calibri" w:eastAsia="Calibri" w:hAnsi="Calibri"/>
                <w:sz w:val="20"/>
                <w:szCs w:val="20"/>
              </w:rPr>
              <w:t xml:space="preserve">Certificado de recepción / uso de suelo</w:t>
            </w:r>
          </w:p>
        </w:tc>
        <w:tc>
          <w:tcPr>
            <w:tcW w:type="dxa" w:w="3202"/>
            <w:shd w:fill="FFFFFF" w:val="clear"/>
            <w:tcMar>
              <w:top w:type="dxa" w:w="70"/>
              <w:left w:type="dxa" w:w="100"/>
              <w:bottom w:type="dxa" w:w="70"/>
              <w:right w:type="dxa" w:w="100"/>
            </w:tcMar>
            <w:vAlign w:val="center"/>
          </w:tcPr>
          <w:p>
            <w:r>
              <w:rPr>
                <w:rFonts w:ascii="Calibri" w:cs="Calibri" w:eastAsia="Calibri" w:hAnsi="Calibri"/>
                <w:sz w:val="20"/>
                <w:szCs w:val="20"/>
              </w:rPr>
              <w:t xml:space="preserve">Municipalidad</w:t>
            </w:r>
          </w:p>
        </w:tc>
        <w:tc>
          <w:tcPr>
            <w:tcW w:type="dxa" w:w="1601"/>
            <w:shd w:fill="FFFFFF" w:val="clear"/>
            <w:tcMar>
              <w:top w:type="dxa" w:w="70"/>
              <w:left w:type="dxa" w:w="100"/>
              <w:bottom w:type="dxa" w:w="70"/>
              <w:right w:type="dxa" w:w="100"/>
            </w:tcMar>
            <w:vAlign w:val="center"/>
          </w:tcPr>
          <w:p>
            <w:r>
              <w:rPr>
                <w:rFonts w:ascii="Calibri" w:cs="Calibri" w:eastAsia="Calibri" w:hAnsi="Calibri"/>
                <w:sz w:val="20"/>
                <w:szCs w:val="20"/>
              </w:rPr>
              <w:t xml:space="preserve">[ ]</w:t>
            </w:r>
          </w:p>
        </w:tc>
      </w:tr>
    </w:tbl>
    <w:p>
      <w:pPr>
        <w:spacing w:after="140" w:line="300"/>
        <w:jc w:val="both"/>
      </w:pPr>
      <w:r>
        <w:rPr>
          <w:rFonts w:ascii="Georgia" w:cs="Georgia" w:eastAsia="Georgia" w:hAnsi="Georgia"/>
          <w:b w:val="false"/>
          <w:bCs w:val="false"/>
          <w:i w:val="false"/>
          <w:iCs w:val="false"/>
          <w:sz w:val="21"/>
          <w:szCs w:val="21"/>
        </w:rPr>
        <w:t xml:space="preserve">La dotación mínima de cuidadores se rige por el Decreto 20/2022 (modificado por el Decreto 23/2023): 1 cuidador diurno por cada 20 residentes autovalentes, 1 cuidador nocturno por cada 15 en dependencia leve o moderada, y en dependencia severa 1 cuidador diurno por hasta 6 residentes más 1 nocturno por hasta 10, con un técnico de enfermería 12 horas diurnas. En todos los casos, mínimo 2 cuidadores en turno nocturno.</w:t>
      </w:r>
    </w:p>
    <w:p>
      <w:pPr>
        <w:pStyle w:val="Heading1"/>
        <w:spacing w:after="200" w:before="400"/>
      </w:pPr>
      <w:r>
        <w:rPr>
          <w:rFonts w:ascii="Georgia" w:cs="Georgia" w:eastAsia="Georgia" w:hAnsi="Georgia"/>
          <w:color w:val="1F3D3A"/>
        </w:rPr>
        <w:t xml:space="preserve">5. Análisis de mercado y tarifas</w:t>
      </w:r>
    </w:p>
    <w:p>
      <w:pPr>
        <w:spacing w:after="140" w:line="300"/>
        <w:jc w:val="both"/>
      </w:pPr>
      <w:r>
        <w:rPr>
          <w:rFonts w:ascii="Georgia" w:cs="Georgia" w:eastAsia="Georgia" w:hAnsi="Georgia"/>
          <w:b w:val="false"/>
          <w:bCs w:val="false"/>
          <w:i w:val="false"/>
          <w:iCs w:val="false"/>
          <w:sz w:val="21"/>
          <w:szCs w:val="21"/>
        </w:rPr>
        <w:t xml:space="preserve">El rango de tarifas manejado va desde un piso de $800.000 (mínimo para aceptar un residente) hasta $1.300.000 en el segmento más alto. Al crecer la ocupación, mantener una mezcla que incluya residentes en el rango superior evita que el punto de equilibrio se desplace hacia arriba solo por llenar cupos con tarifas mínimas.</w:t>
      </w:r>
    </w:p>
    <w:p>
      <w:pPr>
        <w:pStyle w:val="Heading1"/>
        <w:spacing w:after="200" w:before="400"/>
      </w:pPr>
      <w:r>
        <w:rPr>
          <w:rFonts w:ascii="Georgia" w:cs="Georgia" w:eastAsia="Georgia" w:hAnsi="Georgia"/>
          <w:color w:val="1F3D3A"/>
        </w:rPr>
        <w:t xml:space="preserve">6. Plan de operaciones</w:t>
      </w:r>
    </w:p>
    <w:p>
      <w:pPr>
        <w:pStyle w:val="Heading2"/>
        <w:spacing w:after="140" w:before="260"/>
      </w:pPr>
      <w:r>
        <w:rPr>
          <w:rFonts w:ascii="Georgia" w:cs="Georgia" w:eastAsia="Georgia" w:hAnsi="Georgia"/>
          <w:color w:val="3E7C77"/>
        </w:rPr>
        <w:t xml:space="preserve">6.1 Dotación de personal</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1452"/>
        <w:gridCol w:w="2722"/>
        <w:gridCol w:w="2359"/>
        <w:gridCol w:w="2540"/>
      </w:tblGrid>
      <w:tr>
        <w:trPr>
          <w:tblHeader/>
        </w:trPr>
        <w:tc>
          <w:tcPr>
            <w:tcW w:type="dxa" w:w="145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w:t>
            </w:r>
          </w:p>
        </w:tc>
        <w:tc>
          <w:tcPr>
            <w:tcW w:type="dxa" w:w="272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Dotación base</w:t>
            </w:r>
          </w:p>
        </w:tc>
        <w:tc>
          <w:tcPr>
            <w:tcW w:type="dxa" w:w="2359"/>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Sueldo líquido</w:t>
            </w:r>
          </w:p>
        </w:tc>
        <w:tc>
          <w:tcPr>
            <w:tcW w:type="dxa" w:w="2540"/>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Jornada</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Cuidador</w:t>
            </w:r>
          </w:p>
        </w:tc>
        <w:tc>
          <w:tcPr>
            <w:tcW w:type="dxa" w:w="2722"/>
            <w:shd w:fill="FFFFFF" w:val="clear"/>
            <w:tcMar>
              <w:top w:type="dxa" w:w="70"/>
              <w:left w:type="dxa" w:w="100"/>
              <w:bottom w:type="dxa" w:w="70"/>
              <w:right w:type="dxa" w:w="100"/>
            </w:tcMar>
            <w:vAlign w:val="center"/>
          </w:tcPr>
          <w:p>
            <w:r>
              <w:rPr>
                <w:rFonts w:ascii="Calibri" w:cs="Calibri" w:eastAsia="Calibri" w:hAnsi="Calibri"/>
                <w:sz w:val="20"/>
                <w:szCs w:val="20"/>
              </w:rPr>
              <w:t xml:space="preserve">8 (sube con la razón residentes/cuidador)</w:t>
            </w:r>
          </w:p>
        </w:tc>
        <w:tc>
          <w:tcPr>
            <w:tcW w:type="dxa" w:w="2359"/>
            <w:shd w:fill="FFFFFF" w:val="clear"/>
            <w:tcMar>
              <w:top w:type="dxa" w:w="70"/>
              <w:left w:type="dxa" w:w="100"/>
              <w:bottom w:type="dxa" w:w="70"/>
              <w:right w:type="dxa" w:w="100"/>
            </w:tcMar>
            <w:vAlign w:val="center"/>
          </w:tcPr>
          <w:p>
            <w:r>
              <w:rPr>
                <w:rFonts w:ascii="Calibri" w:cs="Calibri" w:eastAsia="Calibri" w:hAnsi="Calibri"/>
                <w:sz w:val="20"/>
                <w:szCs w:val="20"/>
              </w:rPr>
              <w:t xml:space="preserve">$650.000 + bono asistencia $50.000</w:t>
            </w:r>
          </w:p>
        </w:tc>
        <w:tc>
          <w:tcPr>
            <w:tcW w:type="dxa" w:w="2540"/>
            <w:shd w:fill="FFFFFF" w:val="clear"/>
            <w:tcMar>
              <w:top w:type="dxa" w:w="70"/>
              <w:left w:type="dxa" w:w="100"/>
              <w:bottom w:type="dxa" w:w="70"/>
              <w:right w:type="dxa" w:w="100"/>
            </w:tcMar>
            <w:vAlign w:val="center"/>
          </w:tcPr>
          <w:p>
            <w:r>
              <w:rPr>
                <w:rFonts w:ascii="Calibri" w:cs="Calibri" w:eastAsia="Calibri" w:hAnsi="Calibri"/>
                <w:sz w:val="20"/>
                <w:szCs w:val="20"/>
              </w:rPr>
              <w:t xml:space="preserve">Turnos rotativos, mínimo 2 simultáneos las 24 h</w:t>
            </w:r>
          </w:p>
        </w:tc>
      </w:tr>
      <w:tr>
        <w:tc>
          <w:tcPr>
            <w:tcW w:type="dxa" w:w="1452"/>
            <w:shd w:fill="F2F6F5" w:val="clear"/>
            <w:tcMar>
              <w:top w:type="dxa" w:w="70"/>
              <w:left w:type="dxa" w:w="100"/>
              <w:bottom w:type="dxa" w:w="70"/>
              <w:right w:type="dxa" w:w="100"/>
            </w:tcMar>
            <w:vAlign w:val="center"/>
          </w:tcPr>
          <w:p>
            <w:r>
              <w:rPr>
                <w:rFonts w:ascii="Calibri" w:cs="Calibri" w:eastAsia="Calibri" w:hAnsi="Calibri"/>
                <w:sz w:val="20"/>
                <w:szCs w:val="20"/>
              </w:rPr>
              <w:t xml:space="preserve">TENS</w:t>
            </w:r>
          </w:p>
        </w:tc>
        <w:tc>
          <w:tcPr>
            <w:tcW w:type="dxa" w:w="2722"/>
            <w:shd w:fill="F2F6F5" w:val="clear"/>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2359"/>
            <w:shd w:fill="F2F6F5" w:val="clear"/>
            <w:tcMar>
              <w:top w:type="dxa" w:w="70"/>
              <w:left w:type="dxa" w:w="100"/>
              <w:bottom w:type="dxa" w:w="70"/>
              <w:right w:type="dxa" w:w="100"/>
            </w:tcMar>
            <w:vAlign w:val="center"/>
          </w:tcPr>
          <w:p>
            <w:r>
              <w:rPr>
                <w:rFonts w:ascii="Calibri" w:cs="Calibri" w:eastAsia="Calibri" w:hAnsi="Calibri"/>
                <w:sz w:val="20"/>
                <w:szCs w:val="20"/>
              </w:rPr>
              <w:t xml:space="preserve">$800.000</w:t>
            </w:r>
          </w:p>
        </w:tc>
        <w:tc>
          <w:tcPr>
            <w:tcW w:type="dxa" w:w="2540"/>
            <w:shd w:fill="F2F6F5" w:val="clear"/>
            <w:tcMar>
              <w:top w:type="dxa" w:w="70"/>
              <w:left w:type="dxa" w:w="100"/>
              <w:bottom w:type="dxa" w:w="70"/>
              <w:right w:type="dxa" w:w="100"/>
            </w:tcMar>
            <w:vAlign w:val="center"/>
          </w:tcPr>
          <w:p>
            <w:r>
              <w:rPr>
                <w:rFonts w:ascii="Calibri" w:cs="Calibri" w:eastAsia="Calibri" w:hAnsi="Calibri"/>
                <w:sz w:val="20"/>
                <w:szCs w:val="20"/>
              </w:rPr>
              <w:t xml:space="preserve">Turno + disponibilidad telefónica fuera de turno</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Cocinera</w:t>
            </w:r>
          </w:p>
        </w:tc>
        <w:tc>
          <w:tcPr>
            <w:tcW w:type="dxa" w:w="2722"/>
            <w:shd w:fill="FFFFFF" w:val="clear"/>
            <w:tcMar>
              <w:top w:type="dxa" w:w="70"/>
              <w:left w:type="dxa" w:w="100"/>
              <w:bottom w:type="dxa" w:w="70"/>
              <w:right w:type="dxa" w:w="100"/>
            </w:tcMar>
            <w:vAlign w:val="center"/>
          </w:tcPr>
          <w:p>
            <w:r>
              <w:rPr>
                <w:rFonts w:ascii="Calibri" w:cs="Calibri" w:eastAsia="Calibri" w:hAnsi="Calibri"/>
                <w:sz w:val="20"/>
                <w:szCs w:val="20"/>
              </w:rPr>
              <w:t xml:space="preserve">2</w:t>
            </w:r>
          </w:p>
        </w:tc>
        <w:tc>
          <w:tcPr>
            <w:tcW w:type="dxa" w:w="2359"/>
            <w:shd w:fill="FFFFFF" w:val="clear"/>
            <w:tcMar>
              <w:top w:type="dxa" w:w="70"/>
              <w:left w:type="dxa" w:w="100"/>
              <w:bottom w:type="dxa" w:w="70"/>
              <w:right w:type="dxa" w:w="100"/>
            </w:tcMar>
            <w:vAlign w:val="center"/>
          </w:tcPr>
          <w:p>
            <w:r>
              <w:rPr>
                <w:rFonts w:ascii="Calibri" w:cs="Calibri" w:eastAsia="Calibri" w:hAnsi="Calibri"/>
                <w:sz w:val="20"/>
                <w:szCs w:val="20"/>
              </w:rPr>
              <w:t xml:space="preserve">$600.000</w:t>
            </w:r>
          </w:p>
        </w:tc>
        <w:tc>
          <w:tcPr>
            <w:tcW w:type="dxa" w:w="2540"/>
            <w:shd w:fill="FFFFFF" w:val="clear"/>
            <w:tcMar>
              <w:top w:type="dxa" w:w="70"/>
              <w:left w:type="dxa" w:w="100"/>
              <w:bottom w:type="dxa" w:w="70"/>
              <w:right w:type="dxa" w:w="100"/>
            </w:tcMar>
            <w:vAlign w:val="center"/>
          </w:tcPr>
          <w:p>
            <w:r>
              <w:rPr>
                <w:rFonts w:ascii="Calibri" w:cs="Calibri" w:eastAsia="Calibri" w:hAnsi="Calibri"/>
                <w:sz w:val="20"/>
                <w:szCs w:val="20"/>
              </w:rPr>
              <w:t xml:space="preserve">Lunes a sábado, diurno, máx. 40 h/semana</w:t>
            </w:r>
          </w:p>
        </w:tc>
      </w:tr>
      <w:tr>
        <w:tc>
          <w:tcPr>
            <w:tcW w:type="dxa" w:w="1452"/>
            <w:shd w:fill="F2F6F5" w:val="clear"/>
            <w:tcMar>
              <w:top w:type="dxa" w:w="70"/>
              <w:left w:type="dxa" w:w="100"/>
              <w:bottom w:type="dxa" w:w="70"/>
              <w:right w:type="dxa" w:w="100"/>
            </w:tcMar>
            <w:vAlign w:val="center"/>
          </w:tcPr>
          <w:p>
            <w:r>
              <w:rPr>
                <w:rFonts w:ascii="Calibri" w:cs="Calibri" w:eastAsia="Calibri" w:hAnsi="Calibri"/>
                <w:sz w:val="20"/>
                <w:szCs w:val="20"/>
              </w:rPr>
              <w:t xml:space="preserve">Aseo</w:t>
            </w:r>
          </w:p>
        </w:tc>
        <w:tc>
          <w:tcPr>
            <w:tcW w:type="dxa" w:w="2722"/>
            <w:shd w:fill="F2F6F5" w:val="clear"/>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2359"/>
            <w:shd w:fill="F2F6F5" w:val="clear"/>
            <w:tcMar>
              <w:top w:type="dxa" w:w="70"/>
              <w:left w:type="dxa" w:w="100"/>
              <w:bottom w:type="dxa" w:w="70"/>
              <w:right w:type="dxa" w:w="100"/>
            </w:tcMar>
            <w:vAlign w:val="center"/>
          </w:tcPr>
          <w:p>
            <w:r>
              <w:rPr>
                <w:rFonts w:ascii="Calibri" w:cs="Calibri" w:eastAsia="Calibri" w:hAnsi="Calibri"/>
                <w:sz w:val="20"/>
                <w:szCs w:val="20"/>
              </w:rPr>
              <w:t xml:space="preserve">$600.000</w:t>
            </w:r>
          </w:p>
        </w:tc>
        <w:tc>
          <w:tcPr>
            <w:tcW w:type="dxa" w:w="2540"/>
            <w:shd w:fill="F2F6F5" w:val="clear"/>
            <w:tcMar>
              <w:top w:type="dxa" w:w="70"/>
              <w:left w:type="dxa" w:w="100"/>
              <w:bottom w:type="dxa" w:w="70"/>
              <w:right w:type="dxa" w:w="100"/>
            </w:tcMar>
            <w:vAlign w:val="center"/>
          </w:tcPr>
          <w:p>
            <w:r>
              <w:rPr>
                <w:rFonts w:ascii="Calibri" w:cs="Calibri" w:eastAsia="Calibri" w:hAnsi="Calibri"/>
                <w:sz w:val="20"/>
                <w:szCs w:val="20"/>
              </w:rPr>
              <w:t xml:space="preserve">Lunes a sábado, diurno, máx. 40 h/semana</w:t>
            </w:r>
          </w:p>
        </w:tc>
      </w:tr>
    </w:tbl>
    <w:p>
      <w:pPr>
        <w:spacing w:after="140" w:line="300"/>
        <w:jc w:val="both"/>
      </w:pPr>
      <w:r>
        <w:rPr>
          <w:rFonts w:ascii="Georgia" w:cs="Georgia" w:eastAsia="Georgia" w:hAnsi="Georgia"/>
          <w:b w:val="false"/>
          <w:bCs w:val="false"/>
          <w:i w:val="false"/>
          <w:iCs w:val="false"/>
          <w:sz w:val="21"/>
          <w:szCs w:val="21"/>
        </w:rPr>
        <w:t xml:space="preserve">Los cuatro perfiles cuentan con contrato de trabajo a plazo fijo redactado por separado (ver Anexos). El bono general adicional (entre $20.000 y $70.000) se suma al líquido de los cuatro roles según se defina en el simulador.</w:t>
      </w:r>
    </w:p>
    <w:p>
      <w:pPr>
        <w:pStyle w:val="Heading2"/>
        <w:spacing w:after="140" w:before="260"/>
      </w:pPr>
      <w:r>
        <w:rPr>
          <w:rFonts w:ascii="Georgia" w:cs="Georgia" w:eastAsia="Georgia" w:hAnsi="Georgia"/>
          <w:color w:val="3E7C77"/>
        </w:rPr>
        <w:t xml:space="preserve">6.2 Sistema de turnos</w:t>
      </w:r>
    </w:p>
    <w:p>
      <w:pPr>
        <w:spacing w:after="140" w:line="300"/>
        <w:jc w:val="both"/>
      </w:pPr>
      <w:r>
        <w:rPr>
          <w:rFonts w:ascii="Georgia" w:cs="Georgia" w:eastAsia="Georgia" w:hAnsi="Georgia"/>
          <w:b w:val="false"/>
          <w:bCs w:val="false"/>
          <w:i w:val="false"/>
          <w:iCs w:val="false"/>
          <w:sz w:val="21"/>
          <w:szCs w:val="21"/>
        </w:rPr>
        <w:t xml:space="preserve">Los cuidadores se distribuyen en turnos rotativos que aseguran al menos 2 personas simultáneas en la residencia en todo momento, incluido el turno nocturno. Si el rol de turnos de 24/7 no permite cumplir el máximo legal de jornada semanal ni los descansos mínimos con la dotación disponible, corresponde solicitar a la Dirección del Trabajo la autorización de un sistema excepcional de distribución de jornada (artículo 38 del Código del Trabajo).</w:t>
      </w:r>
    </w:p>
    <w:p>
      <w:pPr>
        <w:pStyle w:val="Heading2"/>
        <w:spacing w:after="140" w:before="260"/>
      </w:pPr>
      <w:r>
        <w:rPr>
          <w:rFonts w:ascii="Georgia" w:cs="Georgia" w:eastAsia="Georgia" w:hAnsi="Georgia"/>
          <w:color w:val="3E7C77"/>
        </w:rPr>
        <w:t xml:space="preserve">6.3 Alimentación e insumos</w:t>
      </w:r>
    </w:p>
    <w:p>
      <w:pPr>
        <w:spacing w:after="140" w:line="300"/>
        <w:jc w:val="both"/>
      </w:pPr>
      <w:r>
        <w:rPr>
          <w:rFonts w:ascii="Georgia" w:cs="Georgia" w:eastAsia="Georgia" w:hAnsi="Georgia"/>
          <w:b w:val="false"/>
          <w:bCs w:val="false"/>
          <w:i w:val="false"/>
          <w:iCs w:val="false"/>
          <w:sz w:val="21"/>
          <w:szCs w:val="21"/>
        </w:rPr>
        <w:t xml:space="preserve">El detalle ítem por ítem está en el archivo Excel adjunto ("presupuesto-gastos-eleam.xlsx"), con fórmulas editables. Resumen por residente al mes:</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5897"/>
        <w:gridCol w:w="3175"/>
      </w:tblGrid>
      <w:tr>
        <w:trPr>
          <w:tblHeader/>
        </w:trPr>
        <w:tc>
          <w:tcPr>
            <w:tcW w:type="dxa" w:w="5897"/>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Concepto</w:t>
            </w:r>
          </w:p>
        </w:tc>
        <w:tc>
          <w:tcPr>
            <w:tcW w:type="dxa" w:w="3175"/>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Costo mensual por residente</w:t>
            </w:r>
          </w:p>
        </w:tc>
      </w:tr>
      <w:tr>
        <w:tc>
          <w:tcPr>
            <w:tcW w:type="dxa" w:w="5897"/>
            <w:shd w:fill="FFFFFF" w:val="clear"/>
            <w:tcMar>
              <w:top w:type="dxa" w:w="70"/>
              <w:left w:type="dxa" w:w="100"/>
              <w:bottom w:type="dxa" w:w="70"/>
              <w:right w:type="dxa" w:w="100"/>
            </w:tcMar>
            <w:vAlign w:val="center"/>
          </w:tcPr>
          <w:p>
            <w:r>
              <w:rPr>
                <w:rFonts w:ascii="Calibri" w:cs="Calibri" w:eastAsia="Calibri" w:hAnsi="Calibri"/>
                <w:sz w:val="20"/>
                <w:szCs w:val="20"/>
              </w:rPr>
              <w:t xml:space="preserve">Alimentación (4 tiempos de comida + colación)</w:t>
            </w:r>
          </w:p>
        </w:tc>
        <w:tc>
          <w:tcPr>
            <w:tcW w:type="dxa" w:w="3175"/>
            <w:shd w:fill="FFFFFF" w:val="clear"/>
            <w:tcMar>
              <w:top w:type="dxa" w:w="70"/>
              <w:left w:type="dxa" w:w="100"/>
              <w:bottom w:type="dxa" w:w="70"/>
              <w:right w:type="dxa" w:w="100"/>
            </w:tcMar>
            <w:vAlign w:val="center"/>
          </w:tcPr>
          <w:p>
            <w:r>
              <w:rPr>
                <w:rFonts w:ascii="Calibri" w:cs="Calibri" w:eastAsia="Calibri" w:hAnsi="Calibri"/>
                <w:sz w:val="20"/>
                <w:szCs w:val="20"/>
              </w:rPr>
              <w:t xml:space="preserve">$123.450</w:t>
            </w:r>
          </w:p>
        </w:tc>
      </w:tr>
      <w:tr>
        <w:tc>
          <w:tcPr>
            <w:tcW w:type="dxa" w:w="5897"/>
            <w:shd w:fill="F2F6F5" w:val="clear"/>
            <w:tcMar>
              <w:top w:type="dxa" w:w="70"/>
              <w:left w:type="dxa" w:w="100"/>
              <w:bottom w:type="dxa" w:w="70"/>
              <w:right w:type="dxa" w:w="100"/>
            </w:tcMar>
            <w:vAlign w:val="center"/>
          </w:tcPr>
          <w:p>
            <w:r>
              <w:rPr>
                <w:rFonts w:ascii="Calibri" w:cs="Calibri" w:eastAsia="Calibri" w:hAnsi="Calibri"/>
                <w:sz w:val="20"/>
                <w:szCs w:val="20"/>
              </w:rPr>
              <w:t xml:space="preserve">Insumos básicos (higiene, todos los residentes)</w:t>
            </w:r>
          </w:p>
        </w:tc>
        <w:tc>
          <w:tcPr>
            <w:tcW w:type="dxa" w:w="3175"/>
            <w:shd w:fill="F2F6F5" w:val="clear"/>
            <w:tcMar>
              <w:top w:type="dxa" w:w="70"/>
              <w:left w:type="dxa" w:w="100"/>
              <w:bottom w:type="dxa" w:w="70"/>
              <w:right w:type="dxa" w:w="100"/>
            </w:tcMar>
            <w:vAlign w:val="center"/>
          </w:tcPr>
          <w:p>
            <w:r>
              <w:rPr>
                <w:rFonts w:ascii="Calibri" w:cs="Calibri" w:eastAsia="Calibri" w:hAnsi="Calibri"/>
                <w:sz w:val="20"/>
                <w:szCs w:val="20"/>
              </w:rPr>
              <w:t xml:space="preserve">$6.300</w:t>
            </w:r>
          </w:p>
        </w:tc>
      </w:tr>
      <w:tr>
        <w:tc>
          <w:tcPr>
            <w:tcW w:type="dxa" w:w="5897"/>
            <w:shd w:fill="FFFFFF" w:val="clear"/>
            <w:tcMar>
              <w:top w:type="dxa" w:w="70"/>
              <w:left w:type="dxa" w:w="100"/>
              <w:bottom w:type="dxa" w:w="70"/>
              <w:right w:type="dxa" w:w="100"/>
            </w:tcMar>
            <w:vAlign w:val="center"/>
          </w:tcPr>
          <w:p>
            <w:r>
              <w:rPr>
                <w:rFonts w:ascii="Calibri" w:cs="Calibri" w:eastAsia="Calibri" w:hAnsi="Calibri"/>
                <w:sz w:val="20"/>
                <w:szCs w:val="20"/>
              </w:rPr>
              <w:t xml:space="preserve">Insumos intermedios (pañales y curaciones, solo dependientes)</w:t>
            </w:r>
          </w:p>
        </w:tc>
        <w:tc>
          <w:tcPr>
            <w:tcW w:type="dxa" w:w="3175"/>
            <w:shd w:fill="FFFFFF" w:val="clear"/>
            <w:tcMar>
              <w:top w:type="dxa" w:w="70"/>
              <w:left w:type="dxa" w:w="100"/>
              <w:bottom w:type="dxa" w:w="70"/>
              <w:right w:type="dxa" w:w="100"/>
            </w:tcMar>
            <w:vAlign w:val="center"/>
          </w:tcPr>
          <w:p>
            <w:r>
              <w:rPr>
                <w:rFonts w:ascii="Calibri" w:cs="Calibri" w:eastAsia="Calibri" w:hAnsi="Calibri"/>
                <w:sz w:val="20"/>
                <w:szCs w:val="20"/>
              </w:rPr>
              <w:t xml:space="preserve">+$62.800</w:t>
            </w:r>
          </w:p>
        </w:tc>
      </w:tr>
      <w:tr>
        <w:tc>
          <w:tcPr>
            <w:tcW w:type="dxa" w:w="5897"/>
            <w:shd w:fill="F2F6F5" w:val="clear"/>
            <w:tcMar>
              <w:top w:type="dxa" w:w="70"/>
              <w:left w:type="dxa" w:w="100"/>
              <w:bottom w:type="dxa" w:w="70"/>
              <w:right w:type="dxa" w:w="100"/>
            </w:tcMar>
            <w:vAlign w:val="center"/>
          </w:tcPr>
          <w:p>
            <w:r>
              <w:rPr>
                <w:rFonts w:ascii="Calibri" w:cs="Calibri" w:eastAsia="Calibri" w:hAnsi="Calibri"/>
                <w:sz w:val="20"/>
                <w:szCs w:val="20"/>
              </w:rPr>
              <w:t xml:space="preserve">Costo variable promedio ponderado (40% de residentes dependientes)</w:t>
            </w:r>
          </w:p>
        </w:tc>
        <w:tc>
          <w:tcPr>
            <w:tcW w:type="dxa" w:w="3175"/>
            <w:shd w:fill="F2F6F5" w:val="clear"/>
            <w:tcMar>
              <w:top w:type="dxa" w:w="70"/>
              <w:left w:type="dxa" w:w="100"/>
              <w:bottom w:type="dxa" w:w="70"/>
              <w:right w:type="dxa" w:w="100"/>
            </w:tcMar>
            <w:vAlign w:val="center"/>
          </w:tcPr>
          <w:p>
            <w:r>
              <w:rPr>
                <w:rFonts w:ascii="Calibri" w:cs="Calibri" w:eastAsia="Calibri" w:hAnsi="Calibri"/>
                <w:sz w:val="20"/>
                <w:szCs w:val="20"/>
              </w:rPr>
              <w:t xml:space="preserve">$154.870</w:t>
            </w:r>
          </w:p>
        </w:tc>
      </w:tr>
    </w:tbl>
    <w:p>
      <w:pPr>
        <w:spacing w:after="140" w:line="300"/>
        <w:jc w:val="both"/>
      </w:pPr>
      <w:r>
        <w:rPr>
          <w:rFonts w:ascii="Georgia" w:cs="Georgia" w:eastAsia="Georgia" w:hAnsi="Georgia"/>
          <w:b w:val="false"/>
          <w:bCs w:val="false"/>
          <w:i/>
          <w:iCs/>
          <w:sz w:val="21"/>
          <w:szCs w:val="21"/>
        </w:rPr>
        <w:t xml:space="preserve">Este promedio ponderado ($154.870) reemplaza al valor plano de $150.000 que usa hoy el simulador financiero; son prácticamente equivalentes, pero conviene actualizar el simulador con la cifra calculada aquí, o con la mezcla real de dependencia de los residentes.</w:t>
      </w:r>
    </w:p>
    <w:p>
      <w:pPr>
        <w:pStyle w:val="Heading1"/>
        <w:spacing w:after="200" w:before="400"/>
      </w:pPr>
      <w:r>
        <w:rPr>
          <w:rFonts w:ascii="Georgia" w:cs="Georgia" w:eastAsia="Georgia" w:hAnsi="Georgia"/>
          <w:color w:val="1F3D3A"/>
        </w:rPr>
        <w:t xml:space="preserve">7. Plan financiero</w:t>
      </w:r>
    </w:p>
    <w:p>
      <w:pPr>
        <w:pStyle w:val="Heading2"/>
        <w:spacing w:after="140" w:before="260"/>
      </w:pPr>
      <w:r>
        <w:rPr>
          <w:rFonts w:ascii="Georgia" w:cs="Georgia" w:eastAsia="Georgia" w:hAnsi="Georgia"/>
          <w:color w:val="3E7C77"/>
        </w:rPr>
        <w:t xml:space="preserve">7.1 Estructura de costos</w:t>
      </w:r>
    </w:p>
    <w:p>
      <w:pPr>
        <w:pStyle w:val="ListParagraph"/>
        <w:numPr>
          <w:ilvl w:val="0"/>
          <w:numId w:val="2"/>
        </w:numPr>
        <w:spacing w:after="90" w:line="300"/>
        <w:jc w:val="both"/>
      </w:pPr>
      <w:r>
        <w:rPr>
          <w:rFonts w:ascii="Georgia" w:cs="Georgia" w:eastAsia="Georgia" w:hAnsi="Georgia"/>
          <w:sz w:val="21"/>
          <w:szCs w:val="21"/>
        </w:rPr>
        <w:t xml:space="preserve">Personal: sueldo líquido de cada rol, llevado a bruto (÷ (1 − 20% de descuentos previsionales)) y luego multiplicado por 1,32 para cubrir cargas legales y gratificación patronal.</w:t>
      </w:r>
    </w:p>
    <w:p>
      <w:pPr>
        <w:pStyle w:val="ListParagraph"/>
        <w:numPr>
          <w:ilvl w:val="0"/>
          <w:numId w:val="2"/>
        </w:numPr>
        <w:spacing w:after="90" w:line="300"/>
        <w:jc w:val="both"/>
      </w:pPr>
      <w:r>
        <w:rPr>
          <w:rFonts w:ascii="Georgia" w:cs="Georgia" w:eastAsia="Georgia" w:hAnsi="Georgia"/>
          <w:sz w:val="21"/>
          <w:szCs w:val="21"/>
        </w:rPr>
        <w:t xml:space="preserve">Variable por residente: alimentación + insumos, según la Sección 6.3.</w:t>
      </w:r>
    </w:p>
    <w:p>
      <w:pPr>
        <w:pStyle w:val="ListParagraph"/>
        <w:numPr>
          <w:ilvl w:val="0"/>
          <w:numId w:val="2"/>
        </w:numPr>
        <w:spacing w:after="90" w:line="300"/>
        <w:jc w:val="both"/>
      </w:pPr>
      <w:r>
        <w:rPr>
          <w:rFonts w:ascii="Georgia" w:cs="Georgia" w:eastAsia="Georgia" w:hAnsi="Georgia"/>
          <w:sz w:val="21"/>
          <w:szCs w:val="21"/>
        </w:rPr>
        <w:t xml:space="preserve">Costos fijos operacionales: luz, agua, gas, mantención, seguros, contador, patente — estimados en $900.000 mensuales.</w:t>
      </w:r>
    </w:p>
    <w:p>
      <w:pPr>
        <w:pStyle w:val="ListParagraph"/>
        <w:numPr>
          <w:ilvl w:val="0"/>
          <w:numId w:val="2"/>
        </w:numPr>
        <w:spacing w:after="90" w:line="300"/>
        <w:jc w:val="both"/>
      </w:pPr>
      <w:r>
        <w:rPr>
          <w:rFonts w:ascii="Georgia" w:cs="Georgia" w:eastAsia="Georgia" w:hAnsi="Georgia"/>
          <w:sz w:val="21"/>
          <w:szCs w:val="21"/>
        </w:rPr>
        <w:t xml:space="preserve">Pago fijo al dueño del inmueble: $2.000.000 mensuales.</w:t>
      </w:r>
    </w:p>
    <w:p>
      <w:pPr>
        <w:pStyle w:val="Heading2"/>
        <w:spacing w:after="140" w:before="260"/>
      </w:pPr>
      <w:r>
        <w:rPr>
          <w:rFonts w:ascii="Georgia" w:cs="Georgia" w:eastAsia="Georgia" w:hAnsi="Georgia"/>
          <w:color w:val="3E7C77"/>
        </w:rPr>
        <w:t xml:space="preserve">7.2 Cómo usar el simulador interactivo</w:t>
      </w:r>
    </w:p>
    <w:p>
      <w:pPr>
        <w:spacing w:after="140" w:line="300"/>
        <w:jc w:val="both"/>
      </w:pPr>
      <w:r>
        <w:rPr>
          <w:rFonts w:ascii="Georgia" w:cs="Georgia" w:eastAsia="Georgia" w:hAnsi="Georgia"/>
          <w:b w:val="false"/>
          <w:bCs w:val="false"/>
          <w:i w:val="false"/>
          <w:iCs w:val="false"/>
          <w:sz w:val="21"/>
          <w:szCs w:val="21"/>
        </w:rPr>
        <w:t xml:space="preserve">El archivo "eleam-simulador.html" (adjunto, y publicado en el repositorio de GitHub del proyecto) permite ajustar cada supuesto — ocupación, tarifas, dotación y sueldos por rol, costos fijos, meta de ganancia — y ver de inmediato el punto de equilibrio, la ganancia proyectada y el desglose de costos. Antes de comprometer cualquier decisión de este plan, es el lugar donde se debe validar el escenario elegido de la Sección 2.3.</w:t>
      </w:r>
    </w:p>
    <w:p>
      <w:pPr>
        <w:pStyle w:val="Heading1"/>
        <w:spacing w:after="200" w:before="400"/>
      </w:pPr>
      <w:r>
        <w:rPr>
          <w:rFonts w:ascii="Georgia" w:cs="Georgia" w:eastAsia="Georgia" w:hAnsi="Georgia"/>
          <w:color w:val="1F3D3A"/>
        </w:rPr>
        <w:t xml:space="preserve">8. Plan de acción y crecimiento</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1452"/>
        <w:gridCol w:w="2722"/>
        <w:gridCol w:w="4899"/>
      </w:tblGrid>
      <w:tr>
        <w:trPr>
          <w:tblHeader/>
        </w:trPr>
        <w:tc>
          <w:tcPr>
            <w:tcW w:type="dxa" w:w="145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Fase</w:t>
            </w:r>
          </w:p>
        </w:tc>
        <w:tc>
          <w:tcPr>
            <w:tcW w:type="dxa" w:w="272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Objetivo</w:t>
            </w:r>
          </w:p>
        </w:tc>
        <w:tc>
          <w:tcPr>
            <w:tcW w:type="dxa" w:w="4899"/>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Acciones clave</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0 — Cerrar la brecha financiera</w:t>
            </w:r>
          </w:p>
        </w:tc>
        <w:tc>
          <w:tcPr>
            <w:tcW w:type="dxa" w:w="2722"/>
            <w:shd w:fill="FFFFFF" w:val="clear"/>
            <w:tcMar>
              <w:top w:type="dxa" w:w="70"/>
              <w:left w:type="dxa" w:w="100"/>
              <w:bottom w:type="dxa" w:w="70"/>
              <w:right w:type="dxa" w:w="100"/>
            </w:tcMar>
            <w:vAlign w:val="center"/>
          </w:tcPr>
          <w:p>
            <w:r>
              <w:rPr>
                <w:rFonts w:ascii="Calibri" w:cs="Calibri" w:eastAsia="Calibri" w:hAnsi="Calibri"/>
                <w:sz w:val="20"/>
                <w:szCs w:val="20"/>
              </w:rPr>
              <w:t xml:space="preserve">Llegar a un escenario con ganancia ≥ $0 incluso a 11 residentes</w:t>
            </w:r>
          </w:p>
        </w:tc>
        <w:tc>
          <w:tcPr>
            <w:tcW w:type="dxa" w:w="4899"/>
            <w:shd w:fill="FFFFFF" w:val="clear"/>
            <w:tcMar>
              <w:top w:type="dxa" w:w="70"/>
              <w:left w:type="dxa" w:w="100"/>
              <w:bottom w:type="dxa" w:w="70"/>
              <w:right w:type="dxa" w:w="100"/>
            </w:tcMar>
            <w:vAlign w:val="center"/>
          </w:tcPr>
          <w:p>
            <w:r>
              <w:rPr>
                <w:rFonts w:ascii="Calibri" w:cs="Calibri" w:eastAsia="Calibri" w:hAnsi="Calibri"/>
                <w:sz w:val="20"/>
                <w:szCs w:val="20"/>
              </w:rPr>
              <w:t xml:space="preserve">Elegir y validar en el simulador una combinación de tarifa / razón de cuidadores / bonos (Sección 2.3)</w:t>
            </w:r>
          </w:p>
        </w:tc>
      </w:tr>
      <w:tr>
        <w:tc>
          <w:tcPr>
            <w:tcW w:type="dxa" w:w="1452"/>
            <w:shd w:fill="F2F6F5" w:val="clear"/>
            <w:tcMar>
              <w:top w:type="dxa" w:w="70"/>
              <w:left w:type="dxa" w:w="100"/>
              <w:bottom w:type="dxa" w:w="70"/>
              <w:right w:type="dxa" w:w="100"/>
            </w:tcMar>
            <w:vAlign w:val="center"/>
          </w:tcPr>
          <w:p>
            <w:r>
              <w:rPr>
                <w:rFonts w:ascii="Calibri" w:cs="Calibri" w:eastAsia="Calibri" w:hAnsi="Calibri"/>
                <w:sz w:val="20"/>
                <w:szCs w:val="20"/>
              </w:rPr>
              <w:t xml:space="preserve">1 — Ordenar lo legal</w:t>
            </w:r>
          </w:p>
        </w:tc>
        <w:tc>
          <w:tcPr>
            <w:tcW w:type="dxa" w:w="2722"/>
            <w:shd w:fill="F2F6F5" w:val="clear"/>
            <w:tcMar>
              <w:top w:type="dxa" w:w="70"/>
              <w:left w:type="dxa" w:w="100"/>
              <w:bottom w:type="dxa" w:w="70"/>
              <w:right w:type="dxa" w:w="100"/>
            </w:tcMar>
            <w:vAlign w:val="center"/>
          </w:tcPr>
          <w:p>
            <w:r>
              <w:rPr>
                <w:rFonts w:ascii="Calibri" w:cs="Calibri" w:eastAsia="Calibri" w:hAnsi="Calibri"/>
                <w:sz w:val="20"/>
                <w:szCs w:val="20"/>
              </w:rPr>
              <w:t xml:space="preserve">Regularizar permisos y contratos</w:t>
            </w:r>
          </w:p>
        </w:tc>
        <w:tc>
          <w:tcPr>
            <w:tcW w:type="dxa" w:w="4899"/>
            <w:shd w:fill="F2F6F5" w:val="clear"/>
            <w:tcMar>
              <w:top w:type="dxa" w:w="70"/>
              <w:left w:type="dxa" w:w="100"/>
              <w:bottom w:type="dxa" w:w="70"/>
              <w:right w:type="dxa" w:w="100"/>
            </w:tcMar>
            <w:vAlign w:val="center"/>
          </w:tcPr>
          <w:p>
            <w:r>
              <w:rPr>
                <w:rFonts w:ascii="Calibri" w:cs="Calibri" w:eastAsia="Calibri" w:hAnsi="Calibri"/>
                <w:sz w:val="20"/>
                <w:szCs w:val="20"/>
              </w:rPr>
              <w:t xml:space="preserve">Completar el checklist de la Sección 4; firmar contratos de los 4 perfiles</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2 — Ampliar autorización sanitaria</w:t>
            </w:r>
          </w:p>
        </w:tc>
        <w:tc>
          <w:tcPr>
            <w:tcW w:type="dxa" w:w="2722"/>
            <w:shd w:fill="FFFFFF" w:val="clear"/>
            <w:tcMar>
              <w:top w:type="dxa" w:w="70"/>
              <w:left w:type="dxa" w:w="100"/>
              <w:bottom w:type="dxa" w:w="70"/>
              <w:right w:type="dxa" w:w="100"/>
            </w:tcMar>
            <w:vAlign w:val="center"/>
          </w:tcPr>
          <w:p>
            <w:r>
              <w:rPr>
                <w:rFonts w:ascii="Calibri" w:cs="Calibri" w:eastAsia="Calibri" w:hAnsi="Calibri"/>
                <w:sz w:val="20"/>
                <w:szCs w:val="20"/>
              </w:rPr>
              <w:t xml:space="preserve">Habilitar cupos por sobre 11</w:t>
            </w:r>
          </w:p>
        </w:tc>
        <w:tc>
          <w:tcPr>
            <w:tcW w:type="dxa" w:w="4899"/>
            <w:shd w:fill="FFFFFF" w:val="clear"/>
            <w:tcMar>
              <w:top w:type="dxa" w:w="70"/>
              <w:left w:type="dxa" w:w="100"/>
              <w:bottom w:type="dxa" w:w="70"/>
              <w:right w:type="dxa" w:w="100"/>
            </w:tcMar>
            <w:vAlign w:val="center"/>
          </w:tcPr>
          <w:p>
            <w:r>
              <w:rPr>
                <w:rFonts w:ascii="Calibri" w:cs="Calibri" w:eastAsia="Calibri" w:hAnsi="Calibri"/>
                <w:sz w:val="20"/>
                <w:szCs w:val="20"/>
              </w:rPr>
              <w:t xml:space="preserve">Tramitar ante la SEREMI la modificación de autorización hacia el cupo objetivo</w:t>
            </w:r>
          </w:p>
        </w:tc>
      </w:tr>
      <w:tr>
        <w:tc>
          <w:tcPr>
            <w:tcW w:type="dxa" w:w="1452"/>
            <w:shd w:fill="F2F6F5" w:val="clear"/>
            <w:tcMar>
              <w:top w:type="dxa" w:w="70"/>
              <w:left w:type="dxa" w:w="100"/>
              <w:bottom w:type="dxa" w:w="70"/>
              <w:right w:type="dxa" w:w="100"/>
            </w:tcMar>
            <w:vAlign w:val="center"/>
          </w:tcPr>
          <w:p>
            <w:r>
              <w:rPr>
                <w:rFonts w:ascii="Calibri" w:cs="Calibri" w:eastAsia="Calibri" w:hAnsi="Calibri"/>
                <w:sz w:val="20"/>
                <w:szCs w:val="20"/>
              </w:rPr>
              <w:t xml:space="preserve">3 — Llenar cupos</w:t>
            </w:r>
          </w:p>
        </w:tc>
        <w:tc>
          <w:tcPr>
            <w:tcW w:type="dxa" w:w="2722"/>
            <w:shd w:fill="F2F6F5" w:val="clear"/>
            <w:tcMar>
              <w:top w:type="dxa" w:w="70"/>
              <w:left w:type="dxa" w:w="100"/>
              <w:bottom w:type="dxa" w:w="70"/>
              <w:right w:type="dxa" w:w="100"/>
            </w:tcMar>
            <w:vAlign w:val="center"/>
          </w:tcPr>
          <w:p>
            <w:r>
              <w:rPr>
                <w:rFonts w:ascii="Calibri" w:cs="Calibri" w:eastAsia="Calibri" w:hAnsi="Calibri"/>
                <w:sz w:val="20"/>
                <w:szCs w:val="20"/>
              </w:rPr>
              <w:t xml:space="preserve">Subir la ocupación priorizando tarifas altas</w:t>
            </w:r>
          </w:p>
        </w:tc>
        <w:tc>
          <w:tcPr>
            <w:tcW w:type="dxa" w:w="4899"/>
            <w:shd w:fill="F2F6F5" w:val="clear"/>
            <w:tcMar>
              <w:top w:type="dxa" w:w="70"/>
              <w:left w:type="dxa" w:w="100"/>
              <w:bottom w:type="dxa" w:w="70"/>
              <w:right w:type="dxa" w:w="100"/>
            </w:tcMar>
            <w:vAlign w:val="center"/>
          </w:tcPr>
          <w:p>
            <w:r>
              <w:rPr>
                <w:rFonts w:ascii="Calibri" w:cs="Calibri" w:eastAsia="Calibri" w:hAnsi="Calibri"/>
                <w:sz w:val="20"/>
                <w:szCs w:val="20"/>
              </w:rPr>
              <w:t xml:space="preserve">Mantener el piso de $800.000 y cuidar el mix de tarifas</w:t>
            </w:r>
          </w:p>
        </w:tc>
      </w:tr>
      <w:tr>
        <w:tc>
          <w:tcPr>
            <w:tcW w:type="dxa" w:w="1452"/>
            <w:shd w:fill="FFFFFF" w:val="clear"/>
            <w:tcMar>
              <w:top w:type="dxa" w:w="70"/>
              <w:left w:type="dxa" w:w="100"/>
              <w:bottom w:type="dxa" w:w="70"/>
              <w:right w:type="dxa" w:w="100"/>
            </w:tcMar>
            <w:vAlign w:val="center"/>
          </w:tcPr>
          <w:p>
            <w:r>
              <w:rPr>
                <w:rFonts w:ascii="Calibri" w:cs="Calibri" w:eastAsia="Calibri" w:hAnsi="Calibri"/>
                <w:sz w:val="20"/>
                <w:szCs w:val="20"/>
              </w:rPr>
              <w:t xml:space="preserve">4 — Escalar dotación</w:t>
            </w:r>
          </w:p>
        </w:tc>
        <w:tc>
          <w:tcPr>
            <w:tcW w:type="dxa" w:w="2722"/>
            <w:shd w:fill="FFFFFF" w:val="clear"/>
            <w:tcMar>
              <w:top w:type="dxa" w:w="70"/>
              <w:left w:type="dxa" w:w="100"/>
              <w:bottom w:type="dxa" w:w="70"/>
              <w:right w:type="dxa" w:w="100"/>
            </w:tcMar>
            <w:vAlign w:val="center"/>
          </w:tcPr>
          <w:p>
            <w:r>
              <w:rPr>
                <w:rFonts w:ascii="Calibri" w:cs="Calibri" w:eastAsia="Calibri" w:hAnsi="Calibri"/>
                <w:sz w:val="20"/>
                <w:szCs w:val="20"/>
              </w:rPr>
              <w:t xml:space="preserve">Sostener la razón de cuidadores definida</w:t>
            </w:r>
          </w:p>
        </w:tc>
        <w:tc>
          <w:tcPr>
            <w:tcW w:type="dxa" w:w="4899"/>
            <w:shd w:fill="FFFFFF" w:val="clear"/>
            <w:tcMar>
              <w:top w:type="dxa" w:w="70"/>
              <w:left w:type="dxa" w:w="100"/>
              <w:bottom w:type="dxa" w:w="70"/>
              <w:right w:type="dxa" w:w="100"/>
            </w:tcMar>
            <w:vAlign w:val="center"/>
          </w:tcPr>
          <w:p>
            <w:r>
              <w:rPr>
                <w:rFonts w:ascii="Calibri" w:cs="Calibri" w:eastAsia="Calibri" w:hAnsi="Calibri"/>
                <w:sz w:val="20"/>
                <w:szCs w:val="20"/>
              </w:rPr>
              <w:t xml:space="preserve">Contratar cuidadores adicionales según la razón validada, no 1:1 por residente</w:t>
            </w:r>
          </w:p>
        </w:tc>
      </w:tr>
    </w:tbl>
    <w:p>
      <w:pPr>
        <w:pStyle w:val="Heading1"/>
        <w:spacing w:after="200" w:before="400"/>
      </w:pPr>
      <w:r>
        <w:rPr>
          <w:rFonts w:ascii="Georgia" w:cs="Georgia" w:eastAsia="Georgia" w:hAnsi="Georgia"/>
          <w:color w:val="1F3D3A"/>
        </w:rPr>
        <w:t xml:space="preserve">9. Riesgos y mitigación</w:t>
      </w:r>
    </w:p>
    <w:tbl>
      <w:tblPr>
        <w:tblW w:type="dxa" w:w="9072"/>
        <w:tblBorders>
          <w:top w:val="single" w:color="BFBFBF" w:sz="4"/>
          <w:left w:val="single" w:color="BFBFBF" w:sz="4"/>
          <w:bottom w:val="single" w:color="BFBFBF" w:sz="4"/>
          <w:right w:val="single" w:color="BFBFBF" w:sz="4"/>
          <w:insideH w:val="single" w:color="E0E0E0" w:sz="4"/>
          <w:insideV w:val="single" w:color="E0E0E0" w:sz="4"/>
        </w:tblBorders>
      </w:tblPr>
      <w:tblGrid>
        <w:gridCol w:w="4082"/>
        <w:gridCol w:w="4990"/>
      </w:tblGrid>
      <w:tr>
        <w:trPr>
          <w:tblHeader/>
        </w:trPr>
        <w:tc>
          <w:tcPr>
            <w:tcW w:type="dxa" w:w="4082"/>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Riesgo</w:t>
            </w:r>
          </w:p>
        </w:tc>
        <w:tc>
          <w:tcPr>
            <w:tcW w:type="dxa" w:w="4990"/>
            <w:shd w:fill="1F5F5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Mitigación</w:t>
            </w:r>
          </w:p>
        </w:tc>
      </w:tr>
      <w:tr>
        <w:tc>
          <w:tcPr>
            <w:tcW w:type="dxa" w:w="4082"/>
            <w:shd w:fill="FFFFFF" w:val="clear"/>
            <w:tcMar>
              <w:top w:type="dxa" w:w="70"/>
              <w:left w:type="dxa" w:w="100"/>
              <w:bottom w:type="dxa" w:w="70"/>
              <w:right w:type="dxa" w:w="100"/>
            </w:tcMar>
            <w:vAlign w:val="center"/>
          </w:tcPr>
          <w:p>
            <w:r>
              <w:rPr>
                <w:rFonts w:ascii="Calibri" w:cs="Calibri" w:eastAsia="Calibri" w:hAnsi="Calibri"/>
                <w:sz w:val="20"/>
                <w:szCs w:val="20"/>
              </w:rPr>
              <w:t xml:space="preserve">Fiscalización SEREMI/SENAMA por dotación o cupos</w:t>
            </w:r>
          </w:p>
        </w:tc>
        <w:tc>
          <w:tcPr>
            <w:tcW w:type="dxa" w:w="4990"/>
            <w:shd w:fill="FFFFFF" w:val="clear"/>
            <w:tcMar>
              <w:top w:type="dxa" w:w="70"/>
              <w:left w:type="dxa" w:w="100"/>
              <w:bottom w:type="dxa" w:w="70"/>
              <w:right w:type="dxa" w:w="100"/>
            </w:tcMar>
            <w:vAlign w:val="center"/>
          </w:tcPr>
          <w:p>
            <w:r>
              <w:rPr>
                <w:rFonts w:ascii="Calibri" w:cs="Calibri" w:eastAsia="Calibri" w:hAnsi="Calibri"/>
                <w:sz w:val="20"/>
                <w:szCs w:val="20"/>
              </w:rPr>
              <w:t xml:space="preserve">Mantener documentación y dotación al día; no recibir residentes por sobre el cupo autorizado</w:t>
            </w:r>
          </w:p>
        </w:tc>
      </w:tr>
      <w:tr>
        <w:tc>
          <w:tcPr>
            <w:tcW w:type="dxa" w:w="4082"/>
            <w:shd w:fill="F2F6F5" w:val="clear"/>
            <w:tcMar>
              <w:top w:type="dxa" w:w="70"/>
              <w:left w:type="dxa" w:w="100"/>
              <w:bottom w:type="dxa" w:w="70"/>
              <w:right w:type="dxa" w:w="100"/>
            </w:tcMar>
            <w:vAlign w:val="center"/>
          </w:tcPr>
          <w:p>
            <w:r>
              <w:rPr>
                <w:rFonts w:ascii="Calibri" w:cs="Calibri" w:eastAsia="Calibri" w:hAnsi="Calibri"/>
                <w:sz w:val="20"/>
                <w:szCs w:val="20"/>
              </w:rPr>
              <w:t xml:space="preserve">Ausentismo de cuidadores compromete el mínimo de 2 simultáneos</w:t>
            </w:r>
          </w:p>
        </w:tc>
        <w:tc>
          <w:tcPr>
            <w:tcW w:type="dxa" w:w="4990"/>
            <w:shd w:fill="F2F6F5" w:val="clear"/>
            <w:tcMar>
              <w:top w:type="dxa" w:w="70"/>
              <w:left w:type="dxa" w:w="100"/>
              <w:bottom w:type="dxa" w:w="70"/>
              <w:right w:type="dxa" w:w="100"/>
            </w:tcMar>
            <w:vAlign w:val="center"/>
          </w:tcPr>
          <w:p>
            <w:r>
              <w:rPr>
                <w:rFonts w:ascii="Calibri" w:cs="Calibri" w:eastAsia="Calibri" w:hAnsi="Calibri"/>
                <w:sz w:val="20"/>
                <w:szCs w:val="20"/>
              </w:rPr>
              <w:t xml:space="preserve">Bono de asistencia; dotación con margen sobre el mínimo legal</w:t>
            </w:r>
          </w:p>
        </w:tc>
      </w:tr>
      <w:tr>
        <w:tc>
          <w:tcPr>
            <w:tcW w:type="dxa" w:w="4082"/>
            <w:shd w:fill="FFFFFF" w:val="clear"/>
            <w:tcMar>
              <w:top w:type="dxa" w:w="70"/>
              <w:left w:type="dxa" w:w="100"/>
              <w:bottom w:type="dxa" w:w="70"/>
              <w:right w:type="dxa" w:w="100"/>
            </w:tcMar>
            <w:vAlign w:val="center"/>
          </w:tcPr>
          <w:p>
            <w:r>
              <w:rPr>
                <w:rFonts w:ascii="Calibri" w:cs="Calibri" w:eastAsia="Calibri" w:hAnsi="Calibri"/>
                <w:sz w:val="20"/>
                <w:szCs w:val="20"/>
              </w:rPr>
              <w:t xml:space="preserve">Alza de insumos (especialmente pañales)</w:t>
            </w:r>
          </w:p>
        </w:tc>
        <w:tc>
          <w:tcPr>
            <w:tcW w:type="dxa" w:w="4990"/>
            <w:shd w:fill="FFFFFF" w:val="clear"/>
            <w:tcMar>
              <w:top w:type="dxa" w:w="70"/>
              <w:left w:type="dxa" w:w="100"/>
              <w:bottom w:type="dxa" w:w="70"/>
              <w:right w:type="dxa" w:w="100"/>
            </w:tcMar>
            <w:vAlign w:val="center"/>
          </w:tcPr>
          <w:p>
            <w:r>
              <w:rPr>
                <w:rFonts w:ascii="Calibri" w:cs="Calibri" w:eastAsia="Calibri" w:hAnsi="Calibri"/>
                <w:sz w:val="20"/>
                <w:szCs w:val="20"/>
              </w:rPr>
              <w:t xml:space="preserve">Revisar la base de gastos periódicamente frente a precios reales de proveedores</w:t>
            </w:r>
          </w:p>
        </w:tc>
      </w:tr>
      <w:tr>
        <w:tc>
          <w:tcPr>
            <w:tcW w:type="dxa" w:w="4082"/>
            <w:shd w:fill="F2F6F5" w:val="clear"/>
            <w:tcMar>
              <w:top w:type="dxa" w:w="70"/>
              <w:left w:type="dxa" w:w="100"/>
              <w:bottom w:type="dxa" w:w="70"/>
              <w:right w:type="dxa" w:w="100"/>
            </w:tcMar>
            <w:vAlign w:val="center"/>
          </w:tcPr>
          <w:p>
            <w:r>
              <w:rPr>
                <w:rFonts w:ascii="Calibri" w:cs="Calibri" w:eastAsia="Calibri" w:hAnsi="Calibri"/>
                <w:sz w:val="20"/>
                <w:szCs w:val="20"/>
              </w:rPr>
              <w:t xml:space="preserve">Cláusula de disponibilidad permanente del TENS cuestionada legalmente</w:t>
            </w:r>
          </w:p>
        </w:tc>
        <w:tc>
          <w:tcPr>
            <w:tcW w:type="dxa" w:w="4990"/>
            <w:shd w:fill="F2F6F5" w:val="clear"/>
            <w:tcMar>
              <w:top w:type="dxa" w:w="70"/>
              <w:left w:type="dxa" w:w="100"/>
              <w:bottom w:type="dxa" w:w="70"/>
              <w:right w:type="dxa" w:w="100"/>
            </w:tcMar>
            <w:vAlign w:val="center"/>
          </w:tcPr>
          <w:p>
            <w:r>
              <w:rPr>
                <w:rFonts w:ascii="Calibri" w:cs="Calibri" w:eastAsia="Calibri" w:hAnsi="Calibri"/>
                <w:sz w:val="20"/>
                <w:szCs w:val="20"/>
              </w:rPr>
              <w:t xml:space="preserve">Formalizar con asesoría legal laboral la compensación por disponibilidad</w:t>
            </w:r>
          </w:p>
        </w:tc>
      </w:tr>
      <w:tr>
        <w:tc>
          <w:tcPr>
            <w:tcW w:type="dxa" w:w="4082"/>
            <w:shd w:fill="FFFFFF" w:val="clear"/>
            <w:tcMar>
              <w:top w:type="dxa" w:w="70"/>
              <w:left w:type="dxa" w:w="100"/>
              <w:bottom w:type="dxa" w:w="70"/>
              <w:right w:type="dxa" w:w="100"/>
            </w:tcMar>
            <w:vAlign w:val="center"/>
          </w:tcPr>
          <w:p>
            <w:r>
              <w:rPr>
                <w:rFonts w:ascii="Calibri" w:cs="Calibri" w:eastAsia="Calibri" w:hAnsi="Calibri"/>
                <w:sz w:val="20"/>
                <w:szCs w:val="20"/>
              </w:rPr>
              <w:t xml:space="preserve">Mezcla de tarifas se concentra en el piso ($800.000) al llenar cupos</w:t>
            </w:r>
          </w:p>
        </w:tc>
        <w:tc>
          <w:tcPr>
            <w:tcW w:type="dxa" w:w="4990"/>
            <w:shd w:fill="FFFFFF" w:val="clear"/>
            <w:tcMar>
              <w:top w:type="dxa" w:w="70"/>
              <w:left w:type="dxa" w:w="100"/>
              <w:bottom w:type="dxa" w:w="70"/>
              <w:right w:type="dxa" w:w="100"/>
            </w:tcMar>
            <w:vAlign w:val="center"/>
          </w:tcPr>
          <w:p>
            <w:r>
              <w:rPr>
                <w:rFonts w:ascii="Calibri" w:cs="Calibri" w:eastAsia="Calibri" w:hAnsi="Calibri"/>
                <w:sz w:val="20"/>
                <w:szCs w:val="20"/>
              </w:rPr>
              <w:t xml:space="preserve">Priorizar tarifas altas; monitorear el promedio ponderado real</w:t>
            </w:r>
          </w:p>
        </w:tc>
      </w:tr>
    </w:tbl>
    <w:p>
      <w:pPr>
        <w:pStyle w:val="Heading1"/>
        <w:spacing w:after="200" w:before="400"/>
      </w:pPr>
      <w:r>
        <w:rPr>
          <w:rFonts w:ascii="Georgia" w:cs="Georgia" w:eastAsia="Georgia" w:hAnsi="Georgia"/>
          <w:color w:val="1F3D3A"/>
        </w:rPr>
        <w:t xml:space="preserve">10. Anexos</w:t>
      </w:r>
    </w:p>
    <w:p>
      <w:pPr>
        <w:pStyle w:val="ListParagraph"/>
        <w:numPr>
          <w:ilvl w:val="0"/>
          <w:numId w:val="2"/>
        </w:numPr>
        <w:spacing w:after="90" w:line="300"/>
        <w:jc w:val="both"/>
      </w:pPr>
      <w:r>
        <w:rPr>
          <w:rFonts w:ascii="Georgia" w:cs="Georgia" w:eastAsia="Georgia" w:hAnsi="Georgia"/>
          <w:sz w:val="21"/>
          <w:szCs w:val="21"/>
        </w:rPr>
        <w:t xml:space="preserve">Anexo A — Simulador financiero interactivo ("eleam-simulador.html").</w:t>
      </w:r>
    </w:p>
    <w:p>
      <w:pPr>
        <w:pStyle w:val="ListParagraph"/>
        <w:numPr>
          <w:ilvl w:val="0"/>
          <w:numId w:val="2"/>
        </w:numPr>
        <w:spacing w:after="90" w:line="300"/>
        <w:jc w:val="both"/>
      </w:pPr>
      <w:r>
        <w:rPr>
          <w:rFonts w:ascii="Georgia" w:cs="Georgia" w:eastAsia="Georgia" w:hAnsi="Georgia"/>
          <w:sz w:val="21"/>
          <w:szCs w:val="21"/>
        </w:rPr>
        <w:t xml:space="preserve">Anexo B — Base de gastos de alimentación e insumos ("presupuesto-gastos-eleam.xlsx").</w:t>
      </w:r>
    </w:p>
    <w:p>
      <w:pPr>
        <w:pStyle w:val="ListParagraph"/>
        <w:numPr>
          <w:ilvl w:val="0"/>
          <w:numId w:val="2"/>
        </w:numPr>
        <w:spacing w:after="90" w:line="300"/>
        <w:jc w:val="both"/>
      </w:pPr>
      <w:r>
        <w:rPr>
          <w:rFonts w:ascii="Georgia" w:cs="Georgia" w:eastAsia="Georgia" w:hAnsi="Georgia"/>
          <w:sz w:val="21"/>
          <w:szCs w:val="21"/>
        </w:rPr>
        <w:t xml:space="preserve">Anexo C — Contratos de trabajo a plazo fijo: Cuidador, TENS, Cocinera, Aseo.</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2026-08-07T02:00:57.212Z</dcterms:created>
  <dcterms:modified xsi:type="dcterms:W3CDTF">2026-08-07T02:00:57.221Z</dcterms:modified>
</cp:coreProperties>
</file>

<file path=docProps/custom.xml><?xml version="1.0" encoding="utf-8"?>
<Properties xmlns="http://schemas.openxmlformats.org/officeDocument/2006/custom-properties" xmlns:vt="http://schemas.openxmlformats.org/officeDocument/2006/docPropsVTypes"/>
</file>