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9DF" w:rsidRDefault="009759DF" w:rsidP="0050755D">
      <w:r>
        <w:t>Drop-down</w:t>
      </w:r>
    </w:p>
    <w:tbl>
      <w:tblPr>
        <w:tblStyle w:val="TableGrid"/>
        <w:tblW w:w="9493" w:type="dxa"/>
        <w:tblLook w:val="04A0"/>
      </w:tblPr>
      <w:tblGrid>
        <w:gridCol w:w="2547"/>
        <w:gridCol w:w="2302"/>
        <w:gridCol w:w="4644"/>
      </w:tblGrid>
      <w:tr w:rsidR="009759DF" w:rsidTr="009759DF">
        <w:tc>
          <w:tcPr>
            <w:tcW w:w="2547" w:type="dxa"/>
          </w:tcPr>
          <w:p w:rsidR="009759DF" w:rsidRDefault="009759DF" w:rsidP="0050755D">
            <w:r>
              <w:t>IT Governance Services</w:t>
            </w:r>
          </w:p>
        </w:tc>
        <w:tc>
          <w:tcPr>
            <w:tcW w:w="2302" w:type="dxa"/>
          </w:tcPr>
          <w:p w:rsidR="009759DF" w:rsidRDefault="009759DF" w:rsidP="0050755D"/>
        </w:tc>
        <w:tc>
          <w:tcPr>
            <w:tcW w:w="4644" w:type="dxa"/>
          </w:tcPr>
          <w:p w:rsidR="009759DF" w:rsidRDefault="009759DF" w:rsidP="0050755D"/>
        </w:tc>
      </w:tr>
      <w:tr w:rsidR="009759DF" w:rsidTr="009759DF">
        <w:tc>
          <w:tcPr>
            <w:tcW w:w="2547" w:type="dxa"/>
          </w:tcPr>
          <w:p w:rsidR="009759DF" w:rsidRDefault="009759DF" w:rsidP="0050755D"/>
        </w:tc>
        <w:tc>
          <w:tcPr>
            <w:tcW w:w="2302" w:type="dxa"/>
          </w:tcPr>
          <w:p w:rsidR="009759DF" w:rsidRDefault="009759DF" w:rsidP="0050755D">
            <w:r>
              <w:rPr>
                <w:rFonts w:ascii="Times New Roman" w:eastAsia="Times New Roman" w:hAnsi="Times New Roman" w:cs="Times New Roman"/>
              </w:rPr>
              <w:t>I</w:t>
            </w:r>
            <w:r w:rsidRPr="0050755D">
              <w:rPr>
                <w:rFonts w:ascii="Times New Roman" w:eastAsia="Times New Roman" w:hAnsi="Times New Roman" w:cs="Times New Roman"/>
              </w:rPr>
              <w:t xml:space="preserve">dentification </w:t>
            </w:r>
            <w:r>
              <w:rPr>
                <w:rFonts w:ascii="Times New Roman" w:eastAsia="Times New Roman" w:hAnsi="Times New Roman" w:cs="Times New Roman"/>
              </w:rPr>
              <w:t>&amp;D</w:t>
            </w:r>
            <w:r w:rsidRPr="0050755D">
              <w:rPr>
                <w:rFonts w:ascii="Times New Roman" w:eastAsia="Times New Roman" w:hAnsi="Times New Roman" w:cs="Times New Roman"/>
              </w:rPr>
              <w:t>ocumentation</w:t>
            </w:r>
          </w:p>
        </w:tc>
        <w:tc>
          <w:tcPr>
            <w:tcW w:w="4644" w:type="dxa"/>
          </w:tcPr>
          <w:p w:rsidR="009759DF" w:rsidRDefault="009759DF" w:rsidP="0050755D">
            <w:r>
              <w:rPr>
                <w:rFonts w:ascii="Times New Roman" w:eastAsia="Times New Roman" w:hAnsi="Times New Roman" w:cs="Times New Roman"/>
              </w:rPr>
              <w:t>Understanding the AS-IS situation and putting all Records of Procurement, Deployment and Management together</w:t>
            </w:r>
          </w:p>
        </w:tc>
      </w:tr>
      <w:tr w:rsidR="009759DF" w:rsidTr="009759DF">
        <w:tc>
          <w:tcPr>
            <w:tcW w:w="2547" w:type="dxa"/>
          </w:tcPr>
          <w:p w:rsidR="009759DF" w:rsidRDefault="009759DF" w:rsidP="0050755D"/>
        </w:tc>
        <w:tc>
          <w:tcPr>
            <w:tcW w:w="2302" w:type="dxa"/>
          </w:tcPr>
          <w:p w:rsidR="009759DF" w:rsidRDefault="009759DF" w:rsidP="0050755D">
            <w:r>
              <w:rPr>
                <w:rFonts w:ascii="Times New Roman" w:eastAsia="Times New Roman" w:hAnsi="Times New Roman" w:cs="Times New Roman"/>
              </w:rPr>
              <w:t>E</w:t>
            </w:r>
            <w:r w:rsidRPr="0050755D">
              <w:rPr>
                <w:rFonts w:ascii="Times New Roman" w:eastAsia="Times New Roman" w:hAnsi="Times New Roman" w:cs="Times New Roman"/>
              </w:rPr>
              <w:t>valuation</w:t>
            </w:r>
          </w:p>
        </w:tc>
        <w:tc>
          <w:tcPr>
            <w:tcW w:w="4644" w:type="dxa"/>
          </w:tcPr>
          <w:p w:rsidR="009759DF" w:rsidRDefault="00D43CF0" w:rsidP="0050755D">
            <w:r>
              <w:rPr>
                <w:rFonts w:ascii="Times New Roman" w:eastAsia="Times New Roman" w:hAnsi="Times New Roman" w:cs="Times New Roman"/>
              </w:rPr>
              <w:t>Understanding and bench-marking the Records to established and accepted Standards</w:t>
            </w:r>
          </w:p>
        </w:tc>
      </w:tr>
      <w:tr w:rsidR="009759DF" w:rsidTr="009759DF">
        <w:tc>
          <w:tcPr>
            <w:tcW w:w="2547" w:type="dxa"/>
          </w:tcPr>
          <w:p w:rsidR="009759DF" w:rsidRDefault="009759DF" w:rsidP="0050755D"/>
        </w:tc>
        <w:tc>
          <w:tcPr>
            <w:tcW w:w="2302" w:type="dxa"/>
          </w:tcPr>
          <w:p w:rsidR="009759DF" w:rsidRDefault="009759DF" w:rsidP="0050755D">
            <w:r>
              <w:rPr>
                <w:rFonts w:ascii="Times New Roman" w:eastAsia="Times New Roman" w:hAnsi="Times New Roman" w:cs="Times New Roman"/>
              </w:rPr>
              <w:t>C</w:t>
            </w:r>
            <w:r w:rsidRPr="0050755D">
              <w:rPr>
                <w:rFonts w:ascii="Times New Roman" w:eastAsia="Times New Roman" w:hAnsi="Times New Roman" w:cs="Times New Roman"/>
              </w:rPr>
              <w:t xml:space="preserve">ompliance </w:t>
            </w:r>
            <w:r>
              <w:rPr>
                <w:rFonts w:ascii="Times New Roman" w:eastAsia="Times New Roman" w:hAnsi="Times New Roman" w:cs="Times New Roman"/>
              </w:rPr>
              <w:t>T</w:t>
            </w:r>
            <w:r w:rsidRPr="0050755D">
              <w:rPr>
                <w:rFonts w:ascii="Times New Roman" w:eastAsia="Times New Roman" w:hAnsi="Times New Roman" w:cs="Times New Roman"/>
              </w:rPr>
              <w:t>esting</w:t>
            </w:r>
          </w:p>
        </w:tc>
        <w:tc>
          <w:tcPr>
            <w:tcW w:w="4644" w:type="dxa"/>
          </w:tcPr>
          <w:p w:rsidR="009759DF" w:rsidRDefault="00D43CF0" w:rsidP="0050755D">
            <w:r>
              <w:rPr>
                <w:rFonts w:ascii="Times New Roman" w:eastAsia="Times New Roman" w:hAnsi="Times New Roman" w:cs="Times New Roman"/>
              </w:rPr>
              <w:t>Putting Licensing to Test through Tools and Reconciliation</w:t>
            </w:r>
          </w:p>
        </w:tc>
      </w:tr>
      <w:tr w:rsidR="009759DF" w:rsidTr="009759DF">
        <w:tc>
          <w:tcPr>
            <w:tcW w:w="2547" w:type="dxa"/>
          </w:tcPr>
          <w:p w:rsidR="009759DF" w:rsidRDefault="009759DF" w:rsidP="0050755D"/>
        </w:tc>
        <w:tc>
          <w:tcPr>
            <w:tcW w:w="2302" w:type="dxa"/>
          </w:tcPr>
          <w:p w:rsidR="009759DF" w:rsidRDefault="009759DF" w:rsidP="0050755D">
            <w:r>
              <w:rPr>
                <w:rFonts w:ascii="Times New Roman" w:eastAsia="Times New Roman" w:hAnsi="Times New Roman" w:cs="Times New Roman"/>
              </w:rPr>
              <w:t>S</w:t>
            </w:r>
            <w:r w:rsidRPr="0050755D">
              <w:rPr>
                <w:rFonts w:ascii="Times New Roman" w:eastAsia="Times New Roman" w:hAnsi="Times New Roman" w:cs="Times New Roman"/>
              </w:rPr>
              <w:t xml:space="preserve">ubstantive </w:t>
            </w:r>
            <w:r>
              <w:rPr>
                <w:rFonts w:ascii="Times New Roman" w:eastAsia="Times New Roman" w:hAnsi="Times New Roman" w:cs="Times New Roman"/>
              </w:rPr>
              <w:t>T</w:t>
            </w:r>
            <w:r w:rsidRPr="0050755D">
              <w:rPr>
                <w:rFonts w:ascii="Times New Roman" w:eastAsia="Times New Roman" w:hAnsi="Times New Roman" w:cs="Times New Roman"/>
              </w:rPr>
              <w:t>esting</w:t>
            </w:r>
          </w:p>
        </w:tc>
        <w:tc>
          <w:tcPr>
            <w:tcW w:w="4644" w:type="dxa"/>
          </w:tcPr>
          <w:p w:rsidR="009759DF" w:rsidRDefault="00D43CF0" w:rsidP="0050755D">
            <w:r>
              <w:rPr>
                <w:rFonts w:ascii="Times New Roman" w:eastAsia="Times New Roman" w:hAnsi="Times New Roman" w:cs="Times New Roman"/>
              </w:rPr>
              <w:t>Identifying the Risks that can potentially impact the established controls</w:t>
            </w:r>
          </w:p>
        </w:tc>
      </w:tr>
      <w:tr w:rsidR="009759DF" w:rsidTr="009759DF">
        <w:tc>
          <w:tcPr>
            <w:tcW w:w="2547" w:type="dxa"/>
          </w:tcPr>
          <w:p w:rsidR="009759DF" w:rsidRDefault="009759DF" w:rsidP="0050755D"/>
        </w:tc>
        <w:tc>
          <w:tcPr>
            <w:tcW w:w="2302" w:type="dxa"/>
          </w:tcPr>
          <w:p w:rsidR="009759DF" w:rsidRDefault="00D43CF0" w:rsidP="0050755D">
            <w:pPr>
              <w:rPr>
                <w:rFonts w:ascii="Times New Roman" w:eastAsia="Times New Roman" w:hAnsi="Times New Roman" w:cs="Times New Roman"/>
              </w:rPr>
            </w:pPr>
            <w:r>
              <w:rPr>
                <w:rFonts w:ascii="Times New Roman" w:eastAsia="Times New Roman" w:hAnsi="Times New Roman" w:cs="Times New Roman"/>
              </w:rPr>
              <w:t>Disaster-Recovery Testing</w:t>
            </w:r>
          </w:p>
        </w:tc>
        <w:tc>
          <w:tcPr>
            <w:tcW w:w="4644" w:type="dxa"/>
          </w:tcPr>
          <w:p w:rsidR="009759DF" w:rsidRDefault="00D43CF0" w:rsidP="0050755D">
            <w:r>
              <w:rPr>
                <w:rFonts w:ascii="Times New Roman" w:eastAsia="Times New Roman" w:hAnsi="Times New Roman" w:cs="Times New Roman"/>
              </w:rPr>
              <w:t>Identifying the opportunity to recover after an understood disaster</w:t>
            </w:r>
          </w:p>
        </w:tc>
      </w:tr>
    </w:tbl>
    <w:p w:rsidR="0050755D" w:rsidRDefault="0050755D"/>
    <w:p w:rsidR="00D43CF0" w:rsidRDefault="00D43CF0">
      <w:r>
        <w:t>Drop-down</w:t>
      </w:r>
    </w:p>
    <w:tbl>
      <w:tblPr>
        <w:tblStyle w:val="TableGrid"/>
        <w:tblW w:w="0" w:type="auto"/>
        <w:tblLook w:val="04A0"/>
      </w:tblPr>
      <w:tblGrid>
        <w:gridCol w:w="3003"/>
        <w:gridCol w:w="3003"/>
        <w:gridCol w:w="3004"/>
      </w:tblGrid>
      <w:tr w:rsidR="00D43CF0" w:rsidTr="00D43CF0">
        <w:tc>
          <w:tcPr>
            <w:tcW w:w="3003" w:type="dxa"/>
          </w:tcPr>
          <w:p w:rsidR="00D43CF0" w:rsidRDefault="00D43CF0">
            <w:r>
              <w:t>IT Governance Managed Services</w:t>
            </w:r>
          </w:p>
        </w:tc>
        <w:tc>
          <w:tcPr>
            <w:tcW w:w="3003" w:type="dxa"/>
          </w:tcPr>
          <w:p w:rsidR="00D43CF0" w:rsidRDefault="00D43CF0"/>
        </w:tc>
        <w:tc>
          <w:tcPr>
            <w:tcW w:w="3004" w:type="dxa"/>
          </w:tcPr>
          <w:p w:rsidR="00D43CF0" w:rsidRDefault="00D43CF0"/>
        </w:tc>
      </w:tr>
      <w:tr w:rsidR="00D43CF0" w:rsidTr="00D43CF0">
        <w:tc>
          <w:tcPr>
            <w:tcW w:w="3003" w:type="dxa"/>
          </w:tcPr>
          <w:p w:rsidR="00D43CF0" w:rsidRDefault="00D43CF0"/>
        </w:tc>
        <w:tc>
          <w:tcPr>
            <w:tcW w:w="3003" w:type="dxa"/>
          </w:tcPr>
          <w:p w:rsidR="00D43CF0" w:rsidRDefault="00D43CF0">
            <w:r>
              <w:t>IT General Process Review</w:t>
            </w:r>
          </w:p>
        </w:tc>
        <w:tc>
          <w:tcPr>
            <w:tcW w:w="3004" w:type="dxa"/>
          </w:tcPr>
          <w:p w:rsidR="00D43CF0" w:rsidRDefault="00D43CF0">
            <w:r>
              <w:t>Business Requirements and Associated Risks</w:t>
            </w:r>
          </w:p>
        </w:tc>
      </w:tr>
      <w:tr w:rsidR="00D43CF0" w:rsidTr="00D43CF0">
        <w:tc>
          <w:tcPr>
            <w:tcW w:w="3003" w:type="dxa"/>
          </w:tcPr>
          <w:p w:rsidR="00D43CF0" w:rsidRDefault="00D43CF0"/>
        </w:tc>
        <w:tc>
          <w:tcPr>
            <w:tcW w:w="3003" w:type="dxa"/>
          </w:tcPr>
          <w:p w:rsidR="00D43CF0" w:rsidRDefault="00D43CF0"/>
        </w:tc>
        <w:tc>
          <w:tcPr>
            <w:tcW w:w="3004" w:type="dxa"/>
          </w:tcPr>
          <w:p w:rsidR="00D43CF0" w:rsidRDefault="00D43CF0">
            <w:proofErr w:type="spellStart"/>
            <w:r>
              <w:t>Organisation</w:t>
            </w:r>
            <w:proofErr w:type="spellEnd"/>
            <w:r>
              <w:t xml:space="preserve"> Structure</w:t>
            </w:r>
          </w:p>
        </w:tc>
      </w:tr>
      <w:tr w:rsidR="00D43CF0" w:rsidTr="00D43CF0">
        <w:tc>
          <w:tcPr>
            <w:tcW w:w="3003" w:type="dxa"/>
          </w:tcPr>
          <w:p w:rsidR="00D43CF0" w:rsidRDefault="00D43CF0"/>
        </w:tc>
        <w:tc>
          <w:tcPr>
            <w:tcW w:w="3003" w:type="dxa"/>
          </w:tcPr>
          <w:p w:rsidR="00D43CF0" w:rsidRDefault="00D43CF0"/>
        </w:tc>
        <w:tc>
          <w:tcPr>
            <w:tcW w:w="3004" w:type="dxa"/>
          </w:tcPr>
          <w:p w:rsidR="00D43CF0" w:rsidRDefault="00D43CF0">
            <w:r>
              <w:t>Roles and Responsibility</w:t>
            </w:r>
          </w:p>
        </w:tc>
      </w:tr>
      <w:tr w:rsidR="00D43CF0" w:rsidTr="00D43CF0">
        <w:tc>
          <w:tcPr>
            <w:tcW w:w="3003" w:type="dxa"/>
          </w:tcPr>
          <w:p w:rsidR="00D43CF0" w:rsidRDefault="00D43CF0"/>
        </w:tc>
        <w:tc>
          <w:tcPr>
            <w:tcW w:w="3003" w:type="dxa"/>
          </w:tcPr>
          <w:p w:rsidR="00D43CF0" w:rsidRDefault="00D43CF0"/>
        </w:tc>
        <w:tc>
          <w:tcPr>
            <w:tcW w:w="3004" w:type="dxa"/>
          </w:tcPr>
          <w:p w:rsidR="00D43CF0" w:rsidRDefault="00D43CF0">
            <w:r>
              <w:t>Policies and Procedures</w:t>
            </w:r>
          </w:p>
        </w:tc>
      </w:tr>
      <w:tr w:rsidR="00D43CF0" w:rsidTr="00D43CF0">
        <w:tc>
          <w:tcPr>
            <w:tcW w:w="3003" w:type="dxa"/>
          </w:tcPr>
          <w:p w:rsidR="00D43CF0" w:rsidRDefault="00D43CF0"/>
        </w:tc>
        <w:tc>
          <w:tcPr>
            <w:tcW w:w="3003" w:type="dxa"/>
          </w:tcPr>
          <w:p w:rsidR="00D43CF0" w:rsidRDefault="00D43CF0"/>
        </w:tc>
        <w:tc>
          <w:tcPr>
            <w:tcW w:w="3004" w:type="dxa"/>
          </w:tcPr>
          <w:p w:rsidR="00D43CF0" w:rsidRDefault="00D43CF0">
            <w:r>
              <w:t>Law and Regulations</w:t>
            </w:r>
          </w:p>
        </w:tc>
      </w:tr>
      <w:tr w:rsidR="00D43CF0" w:rsidTr="00D43CF0">
        <w:tc>
          <w:tcPr>
            <w:tcW w:w="3003" w:type="dxa"/>
          </w:tcPr>
          <w:p w:rsidR="00D43CF0" w:rsidRDefault="00D43CF0"/>
        </w:tc>
        <w:tc>
          <w:tcPr>
            <w:tcW w:w="3003" w:type="dxa"/>
          </w:tcPr>
          <w:p w:rsidR="00D43CF0" w:rsidRDefault="00D43CF0"/>
        </w:tc>
        <w:tc>
          <w:tcPr>
            <w:tcW w:w="3004" w:type="dxa"/>
          </w:tcPr>
          <w:p w:rsidR="00D43CF0" w:rsidRDefault="00D43CF0">
            <w:r>
              <w:t>Control Measures</w:t>
            </w:r>
          </w:p>
        </w:tc>
      </w:tr>
      <w:tr w:rsidR="00D43CF0" w:rsidTr="00D43CF0">
        <w:tc>
          <w:tcPr>
            <w:tcW w:w="3003" w:type="dxa"/>
          </w:tcPr>
          <w:p w:rsidR="00D43CF0" w:rsidRDefault="00D43CF0"/>
        </w:tc>
        <w:tc>
          <w:tcPr>
            <w:tcW w:w="3003" w:type="dxa"/>
          </w:tcPr>
          <w:p w:rsidR="00D43CF0" w:rsidRDefault="00D43CF0"/>
        </w:tc>
        <w:tc>
          <w:tcPr>
            <w:tcW w:w="3004" w:type="dxa"/>
          </w:tcPr>
          <w:p w:rsidR="00D43CF0" w:rsidRDefault="00D43CF0">
            <w:r>
              <w:t>Management Reporting</w:t>
            </w:r>
          </w:p>
        </w:tc>
      </w:tr>
      <w:tr w:rsidR="00D43CF0" w:rsidTr="00D43CF0">
        <w:tc>
          <w:tcPr>
            <w:tcW w:w="3003" w:type="dxa"/>
          </w:tcPr>
          <w:p w:rsidR="00D43CF0" w:rsidRDefault="00D43CF0"/>
        </w:tc>
        <w:tc>
          <w:tcPr>
            <w:tcW w:w="3003" w:type="dxa"/>
          </w:tcPr>
          <w:p w:rsidR="00D43CF0" w:rsidRDefault="00D43CF0">
            <w:r>
              <w:t>Evaluating Controls</w:t>
            </w:r>
          </w:p>
        </w:tc>
        <w:tc>
          <w:tcPr>
            <w:tcW w:w="3004" w:type="dxa"/>
          </w:tcPr>
          <w:p w:rsidR="00D43CF0" w:rsidRDefault="00D43CF0">
            <w:r>
              <w:t>Documentation Process</w:t>
            </w:r>
          </w:p>
        </w:tc>
      </w:tr>
      <w:tr w:rsidR="00D43CF0" w:rsidTr="00D43CF0">
        <w:tc>
          <w:tcPr>
            <w:tcW w:w="3003" w:type="dxa"/>
          </w:tcPr>
          <w:p w:rsidR="00D43CF0" w:rsidRDefault="00D43CF0"/>
        </w:tc>
        <w:tc>
          <w:tcPr>
            <w:tcW w:w="3003" w:type="dxa"/>
          </w:tcPr>
          <w:p w:rsidR="00D43CF0" w:rsidRDefault="00D43CF0"/>
        </w:tc>
        <w:tc>
          <w:tcPr>
            <w:tcW w:w="3004" w:type="dxa"/>
          </w:tcPr>
          <w:p w:rsidR="00D43CF0" w:rsidRDefault="00D43CF0">
            <w:r>
              <w:t>Delivery Process</w:t>
            </w:r>
          </w:p>
        </w:tc>
      </w:tr>
      <w:tr w:rsidR="00D43CF0" w:rsidTr="00D43CF0">
        <w:tc>
          <w:tcPr>
            <w:tcW w:w="3003" w:type="dxa"/>
          </w:tcPr>
          <w:p w:rsidR="00D43CF0" w:rsidRDefault="00D43CF0"/>
        </w:tc>
        <w:tc>
          <w:tcPr>
            <w:tcW w:w="3003" w:type="dxa"/>
          </w:tcPr>
          <w:p w:rsidR="00D43CF0" w:rsidRDefault="00D43CF0"/>
        </w:tc>
        <w:tc>
          <w:tcPr>
            <w:tcW w:w="3004" w:type="dxa"/>
          </w:tcPr>
          <w:p w:rsidR="00D43CF0" w:rsidRDefault="00D43CF0">
            <w:r>
              <w:t>Responsibility &amp; Accountability</w:t>
            </w:r>
          </w:p>
        </w:tc>
      </w:tr>
      <w:tr w:rsidR="00D43CF0" w:rsidTr="00D43CF0">
        <w:tc>
          <w:tcPr>
            <w:tcW w:w="3003" w:type="dxa"/>
          </w:tcPr>
          <w:p w:rsidR="00D43CF0" w:rsidRDefault="00D43CF0"/>
        </w:tc>
        <w:tc>
          <w:tcPr>
            <w:tcW w:w="3003" w:type="dxa"/>
          </w:tcPr>
          <w:p w:rsidR="00D43CF0" w:rsidRDefault="00D43CF0"/>
        </w:tc>
        <w:tc>
          <w:tcPr>
            <w:tcW w:w="3004" w:type="dxa"/>
          </w:tcPr>
          <w:p w:rsidR="00D43CF0" w:rsidRDefault="00D43CF0">
            <w:r>
              <w:t>Risk Appetite and Disaster Recovery</w:t>
            </w:r>
          </w:p>
        </w:tc>
      </w:tr>
      <w:tr w:rsidR="00D43CF0" w:rsidTr="00D43CF0">
        <w:tc>
          <w:tcPr>
            <w:tcW w:w="3003" w:type="dxa"/>
          </w:tcPr>
          <w:p w:rsidR="00D43CF0" w:rsidRDefault="00D43CF0"/>
        </w:tc>
        <w:tc>
          <w:tcPr>
            <w:tcW w:w="3003" w:type="dxa"/>
          </w:tcPr>
          <w:p w:rsidR="00D43CF0" w:rsidRDefault="005B5491">
            <w:r>
              <w:t>Assessing Compliance</w:t>
            </w:r>
          </w:p>
        </w:tc>
        <w:tc>
          <w:tcPr>
            <w:tcW w:w="3004" w:type="dxa"/>
          </w:tcPr>
          <w:p w:rsidR="00D43CF0" w:rsidRDefault="005B5491">
            <w:r>
              <w:t>Tool Audit &amp; Evidence Mapping</w:t>
            </w:r>
          </w:p>
        </w:tc>
      </w:tr>
      <w:tr w:rsidR="00D43CF0" w:rsidTr="00D43CF0">
        <w:tc>
          <w:tcPr>
            <w:tcW w:w="3003" w:type="dxa"/>
          </w:tcPr>
          <w:p w:rsidR="00D43CF0" w:rsidRDefault="00D43CF0"/>
        </w:tc>
        <w:tc>
          <w:tcPr>
            <w:tcW w:w="3003" w:type="dxa"/>
          </w:tcPr>
          <w:p w:rsidR="00D43CF0" w:rsidRDefault="00D43CF0"/>
        </w:tc>
        <w:tc>
          <w:tcPr>
            <w:tcW w:w="3004" w:type="dxa"/>
          </w:tcPr>
          <w:p w:rsidR="00D43CF0" w:rsidRDefault="005B5491">
            <w:r>
              <w:t>Physical Audit &amp; Evidence Mapping</w:t>
            </w:r>
          </w:p>
        </w:tc>
      </w:tr>
      <w:tr w:rsidR="00D43CF0" w:rsidTr="00D43CF0">
        <w:tc>
          <w:tcPr>
            <w:tcW w:w="3003" w:type="dxa"/>
          </w:tcPr>
          <w:p w:rsidR="00D43CF0" w:rsidRDefault="00D43CF0"/>
        </w:tc>
        <w:tc>
          <w:tcPr>
            <w:tcW w:w="3003" w:type="dxa"/>
          </w:tcPr>
          <w:p w:rsidR="00D43CF0" w:rsidRDefault="00D43CF0"/>
        </w:tc>
        <w:tc>
          <w:tcPr>
            <w:tcW w:w="3004" w:type="dxa"/>
          </w:tcPr>
          <w:p w:rsidR="00D43CF0" w:rsidRDefault="005B5491">
            <w:r>
              <w:t>Review of Workflows on IT Lifecycle Management</w:t>
            </w:r>
          </w:p>
        </w:tc>
      </w:tr>
      <w:tr w:rsidR="00D43CF0" w:rsidTr="00D43CF0">
        <w:tc>
          <w:tcPr>
            <w:tcW w:w="3003" w:type="dxa"/>
          </w:tcPr>
          <w:p w:rsidR="00D43CF0" w:rsidRDefault="00D43CF0"/>
        </w:tc>
        <w:tc>
          <w:tcPr>
            <w:tcW w:w="3003" w:type="dxa"/>
          </w:tcPr>
          <w:p w:rsidR="00D43CF0" w:rsidRDefault="00D43CF0"/>
        </w:tc>
        <w:tc>
          <w:tcPr>
            <w:tcW w:w="3004" w:type="dxa"/>
          </w:tcPr>
          <w:p w:rsidR="00D43CF0" w:rsidRDefault="005B5491">
            <w:r>
              <w:t>Improvement Areas/SWOT</w:t>
            </w:r>
          </w:p>
        </w:tc>
      </w:tr>
      <w:tr w:rsidR="00F929B6" w:rsidTr="00D43CF0">
        <w:tc>
          <w:tcPr>
            <w:tcW w:w="3003" w:type="dxa"/>
          </w:tcPr>
          <w:p w:rsidR="00F929B6" w:rsidRDefault="00F929B6"/>
        </w:tc>
        <w:tc>
          <w:tcPr>
            <w:tcW w:w="3003" w:type="dxa"/>
          </w:tcPr>
          <w:p w:rsidR="00F929B6" w:rsidRDefault="00F929B6">
            <w:r>
              <w:t>Guidelines and Analytics</w:t>
            </w:r>
          </w:p>
        </w:tc>
        <w:tc>
          <w:tcPr>
            <w:tcW w:w="3004" w:type="dxa"/>
          </w:tcPr>
          <w:p w:rsidR="00F929B6" w:rsidRDefault="00F929B6">
            <w:r>
              <w:t>Document all Control Weaknesses, Risks, Threats and Vulnerabilities</w:t>
            </w:r>
          </w:p>
        </w:tc>
      </w:tr>
      <w:tr w:rsidR="00F929B6" w:rsidTr="00D43CF0">
        <w:tc>
          <w:tcPr>
            <w:tcW w:w="3003" w:type="dxa"/>
          </w:tcPr>
          <w:p w:rsidR="00F929B6" w:rsidRDefault="00F929B6"/>
        </w:tc>
        <w:tc>
          <w:tcPr>
            <w:tcW w:w="3003" w:type="dxa"/>
          </w:tcPr>
          <w:p w:rsidR="00F929B6" w:rsidRDefault="00F929B6"/>
        </w:tc>
        <w:tc>
          <w:tcPr>
            <w:tcW w:w="3004" w:type="dxa"/>
          </w:tcPr>
          <w:p w:rsidR="00F929B6" w:rsidRDefault="00F929B6">
            <w:r>
              <w:t>Grass-Root Analysis</w:t>
            </w:r>
          </w:p>
        </w:tc>
      </w:tr>
      <w:tr w:rsidR="00F929B6" w:rsidTr="00D43CF0">
        <w:tc>
          <w:tcPr>
            <w:tcW w:w="3003" w:type="dxa"/>
          </w:tcPr>
          <w:p w:rsidR="00F929B6" w:rsidRDefault="00F929B6"/>
        </w:tc>
        <w:tc>
          <w:tcPr>
            <w:tcW w:w="3003" w:type="dxa"/>
          </w:tcPr>
          <w:p w:rsidR="00F929B6" w:rsidRDefault="00F929B6"/>
        </w:tc>
        <w:tc>
          <w:tcPr>
            <w:tcW w:w="3004" w:type="dxa"/>
          </w:tcPr>
          <w:p w:rsidR="00F929B6" w:rsidRDefault="00F929B6">
            <w:r>
              <w:t>Comparatives  (If required)</w:t>
            </w:r>
          </w:p>
        </w:tc>
      </w:tr>
    </w:tbl>
    <w:p w:rsidR="00D43CF0" w:rsidRPr="00A3447C" w:rsidRDefault="00A3447C">
      <w:pPr>
        <w:rPr>
          <w:i/>
        </w:rPr>
      </w:pPr>
      <w:r w:rsidRPr="00A3447C">
        <w:rPr>
          <w:i/>
        </w:rPr>
        <w:t>~ Evaluating Controls: Based on Industry Standards, Critical Success Factor</w:t>
      </w:r>
      <w:r w:rsidR="00545CFF">
        <w:rPr>
          <w:i/>
        </w:rPr>
        <w:t>, Risk Profiling</w:t>
      </w:r>
      <w:r w:rsidRPr="00A3447C">
        <w:rPr>
          <w:i/>
        </w:rPr>
        <w:t xml:space="preserve"> and Business Continuity Plan</w:t>
      </w:r>
    </w:p>
    <w:p w:rsidR="00D43CF0" w:rsidRDefault="00D43CF0"/>
    <w:p w:rsidR="00D43CF0" w:rsidRDefault="00D43CF0"/>
    <w:p w:rsidR="00F929B6" w:rsidRDefault="00F929B6">
      <w:r>
        <w:t>Drop-down</w:t>
      </w:r>
    </w:p>
    <w:tbl>
      <w:tblPr>
        <w:tblStyle w:val="TableGrid"/>
        <w:tblW w:w="0" w:type="auto"/>
        <w:tblLook w:val="04A0"/>
      </w:tblPr>
      <w:tblGrid>
        <w:gridCol w:w="4505"/>
        <w:gridCol w:w="4505"/>
      </w:tblGrid>
      <w:tr w:rsidR="00F929B6" w:rsidTr="00F929B6">
        <w:tc>
          <w:tcPr>
            <w:tcW w:w="4505" w:type="dxa"/>
          </w:tcPr>
          <w:p w:rsidR="00F929B6" w:rsidRDefault="00F929B6">
            <w:r>
              <w:t>Client Management Tooling Services</w:t>
            </w:r>
          </w:p>
        </w:tc>
        <w:tc>
          <w:tcPr>
            <w:tcW w:w="4505" w:type="dxa"/>
          </w:tcPr>
          <w:p w:rsidR="00F929B6" w:rsidRDefault="00F929B6">
            <w:r>
              <w:rPr>
                <w:rFonts w:ascii="Times New Roman" w:eastAsia="Times New Roman" w:hAnsi="Times New Roman" w:cs="Times New Roman"/>
              </w:rPr>
              <w:t>Infra Review</w:t>
            </w:r>
          </w:p>
        </w:tc>
      </w:tr>
      <w:tr w:rsidR="00F929B6" w:rsidTr="00F929B6">
        <w:tc>
          <w:tcPr>
            <w:tcW w:w="4505" w:type="dxa"/>
          </w:tcPr>
          <w:p w:rsidR="00F929B6" w:rsidRDefault="00F929B6"/>
        </w:tc>
        <w:tc>
          <w:tcPr>
            <w:tcW w:w="4505" w:type="dxa"/>
          </w:tcPr>
          <w:p w:rsidR="00F929B6" w:rsidRPr="00F929B6" w:rsidRDefault="00F929B6">
            <w:pPr>
              <w:rPr>
                <w:rFonts w:ascii="Times New Roman" w:eastAsia="Times New Roman" w:hAnsi="Times New Roman" w:cs="Times New Roman"/>
              </w:rPr>
            </w:pPr>
            <w:r>
              <w:rPr>
                <w:rFonts w:ascii="Times New Roman" w:eastAsia="Times New Roman" w:hAnsi="Times New Roman" w:cs="Times New Roman"/>
              </w:rPr>
              <w:t>Deployment and Application Management</w:t>
            </w:r>
          </w:p>
        </w:tc>
      </w:tr>
      <w:tr w:rsidR="00F929B6" w:rsidTr="00F929B6">
        <w:tc>
          <w:tcPr>
            <w:tcW w:w="4505" w:type="dxa"/>
          </w:tcPr>
          <w:p w:rsidR="00F929B6" w:rsidRDefault="00F929B6"/>
        </w:tc>
        <w:tc>
          <w:tcPr>
            <w:tcW w:w="4505" w:type="dxa"/>
          </w:tcPr>
          <w:p w:rsidR="00F929B6" w:rsidRDefault="00F929B6">
            <w:r>
              <w:rPr>
                <w:rFonts w:ascii="Times New Roman" w:eastAsia="Times New Roman" w:hAnsi="Times New Roman" w:cs="Times New Roman"/>
              </w:rPr>
              <w:t>Device Policy Framework</w:t>
            </w:r>
          </w:p>
        </w:tc>
      </w:tr>
      <w:tr w:rsidR="00F929B6" w:rsidTr="00F929B6">
        <w:tc>
          <w:tcPr>
            <w:tcW w:w="4505" w:type="dxa"/>
          </w:tcPr>
          <w:p w:rsidR="00F929B6" w:rsidRDefault="00F929B6"/>
        </w:tc>
        <w:tc>
          <w:tcPr>
            <w:tcW w:w="4505" w:type="dxa"/>
          </w:tcPr>
          <w:p w:rsidR="00F929B6" w:rsidRPr="00F929B6" w:rsidRDefault="00F929B6">
            <w:pPr>
              <w:rPr>
                <w:rFonts w:ascii="Times New Roman" w:eastAsia="Times New Roman" w:hAnsi="Times New Roman" w:cs="Times New Roman"/>
              </w:rPr>
            </w:pPr>
            <w:r>
              <w:rPr>
                <w:rFonts w:ascii="Times New Roman" w:eastAsia="Times New Roman" w:hAnsi="Times New Roman" w:cs="Times New Roman"/>
              </w:rPr>
              <w:t>Identity Management</w:t>
            </w:r>
          </w:p>
        </w:tc>
      </w:tr>
      <w:tr w:rsidR="00F929B6" w:rsidTr="00F929B6">
        <w:tc>
          <w:tcPr>
            <w:tcW w:w="4505" w:type="dxa"/>
          </w:tcPr>
          <w:p w:rsidR="00F929B6" w:rsidRDefault="00F929B6"/>
        </w:tc>
        <w:tc>
          <w:tcPr>
            <w:tcW w:w="4505" w:type="dxa"/>
          </w:tcPr>
          <w:p w:rsidR="00F929B6" w:rsidRPr="00F929B6" w:rsidRDefault="00F929B6">
            <w:pPr>
              <w:rPr>
                <w:rFonts w:ascii="Times New Roman" w:eastAsia="Times New Roman" w:hAnsi="Times New Roman" w:cs="Times New Roman"/>
              </w:rPr>
            </w:pPr>
            <w:r>
              <w:rPr>
                <w:rFonts w:ascii="Times New Roman" w:eastAsia="Times New Roman" w:hAnsi="Times New Roman" w:cs="Times New Roman"/>
              </w:rPr>
              <w:t>Compliance</w:t>
            </w:r>
          </w:p>
        </w:tc>
      </w:tr>
      <w:tr w:rsidR="00F929B6" w:rsidTr="00F929B6">
        <w:tc>
          <w:tcPr>
            <w:tcW w:w="4505" w:type="dxa"/>
          </w:tcPr>
          <w:p w:rsidR="00F929B6" w:rsidRDefault="00F929B6"/>
        </w:tc>
        <w:tc>
          <w:tcPr>
            <w:tcW w:w="4505" w:type="dxa"/>
          </w:tcPr>
          <w:p w:rsidR="00F929B6" w:rsidRPr="00F929B6" w:rsidRDefault="00F929B6">
            <w:pPr>
              <w:rPr>
                <w:rFonts w:ascii="Times New Roman" w:eastAsia="Times New Roman" w:hAnsi="Times New Roman" w:cs="Times New Roman"/>
              </w:rPr>
            </w:pPr>
            <w:r>
              <w:rPr>
                <w:rFonts w:ascii="Times New Roman" w:eastAsia="Times New Roman" w:hAnsi="Times New Roman" w:cs="Times New Roman"/>
              </w:rPr>
              <w:t>End-User Support</w:t>
            </w:r>
          </w:p>
        </w:tc>
      </w:tr>
    </w:tbl>
    <w:p w:rsidR="00D43CF0" w:rsidRDefault="00D43CF0"/>
    <w:p w:rsidR="00B6431D" w:rsidRDefault="00B6431D" w:rsidP="003C3E4D">
      <w:pPr>
        <w:rPr>
          <w:rFonts w:ascii="Times New Roman" w:eastAsia="Times New Roman" w:hAnsi="Times New Roman" w:cs="Times New Roman"/>
        </w:rPr>
      </w:pPr>
    </w:p>
    <w:p w:rsidR="00B6431D" w:rsidRDefault="00B6431D" w:rsidP="003C3E4D">
      <w:pPr>
        <w:rPr>
          <w:rFonts w:ascii="Times New Roman" w:eastAsia="Times New Roman" w:hAnsi="Times New Roman" w:cs="Times New Roman"/>
        </w:rPr>
      </w:pPr>
    </w:p>
    <w:p w:rsidR="00187A8E" w:rsidRDefault="003C3E4D" w:rsidP="003C3E4D">
      <w:pPr>
        <w:rPr>
          <w:rFonts w:ascii="Times New Roman" w:eastAsia="Times New Roman" w:hAnsi="Times New Roman" w:cs="Times New Roman"/>
        </w:rPr>
      </w:pPr>
      <w:r w:rsidRPr="003C3E4D">
        <w:rPr>
          <w:rFonts w:ascii="Times New Roman" w:eastAsia="Times New Roman" w:hAnsi="Times New Roman" w:cs="Times New Roman"/>
        </w:rPr>
        <w:t>End</w:t>
      </w:r>
      <w:r w:rsidRPr="003C3E4D">
        <w:rPr>
          <w:rFonts w:ascii="Times New Roman" w:eastAsia="Times New Roman" w:hAnsi="Times New Roman" w:cs="Times New Roman"/>
        </w:rPr>
        <w:softHyphen/>
      </w:r>
      <w:r>
        <w:rPr>
          <w:rFonts w:ascii="Times New Roman" w:eastAsia="Times New Roman" w:hAnsi="Times New Roman" w:cs="Times New Roman"/>
        </w:rPr>
        <w:t>-U</w:t>
      </w:r>
      <w:r w:rsidRPr="003C3E4D">
        <w:rPr>
          <w:rFonts w:ascii="Times New Roman" w:eastAsia="Times New Roman" w:hAnsi="Times New Roman" w:cs="Times New Roman"/>
        </w:rPr>
        <w:t xml:space="preserve">ser </w:t>
      </w:r>
      <w:r>
        <w:rPr>
          <w:rFonts w:ascii="Times New Roman" w:eastAsia="Times New Roman" w:hAnsi="Times New Roman" w:cs="Times New Roman"/>
        </w:rPr>
        <w:t>C</w:t>
      </w:r>
      <w:r w:rsidRPr="003C3E4D">
        <w:rPr>
          <w:rFonts w:ascii="Times New Roman" w:eastAsia="Times New Roman" w:hAnsi="Times New Roman" w:cs="Times New Roman"/>
        </w:rPr>
        <w:t>omputing</w:t>
      </w:r>
      <w:r w:rsidR="007F476D">
        <w:rPr>
          <w:rFonts w:ascii="Times New Roman" w:eastAsia="Times New Roman" w:hAnsi="Times New Roman" w:cs="Times New Roman"/>
        </w:rPr>
        <w:t>:</w:t>
      </w:r>
    </w:p>
    <w:p w:rsidR="008C5EE7" w:rsidRDefault="007F476D" w:rsidP="007F476D">
      <w:pPr>
        <w:rPr>
          <w:rFonts w:ascii="Times New Roman" w:eastAsia="Times New Roman" w:hAnsi="Times New Roman" w:cs="Times New Roman"/>
        </w:rPr>
      </w:pPr>
      <w:r>
        <w:rPr>
          <w:rFonts w:ascii="Times New Roman" w:eastAsia="Times New Roman" w:hAnsi="Times New Roman" w:cs="Times New Roman"/>
        </w:rPr>
        <w:t xml:space="preserve">Its not about just managing laptops, </w:t>
      </w:r>
      <w:r w:rsidRPr="007F476D">
        <w:rPr>
          <w:rFonts w:ascii="Times New Roman" w:eastAsia="Times New Roman" w:hAnsi="Times New Roman" w:cs="Times New Roman"/>
        </w:rPr>
        <w:t>desktops</w:t>
      </w:r>
      <w:r>
        <w:rPr>
          <w:rFonts w:ascii="Times New Roman" w:eastAsia="Times New Roman" w:hAnsi="Times New Roman" w:cs="Times New Roman"/>
        </w:rPr>
        <w:t xml:space="preserve"> and few servers</w:t>
      </w:r>
      <w:r w:rsidR="00074AA7">
        <w:rPr>
          <w:rFonts w:ascii="Times New Roman" w:eastAsia="Times New Roman" w:hAnsi="Times New Roman" w:cs="Times New Roman"/>
        </w:rPr>
        <w:t xml:space="preserve"> alone</w:t>
      </w:r>
      <w:r w:rsidRPr="007F476D">
        <w:rPr>
          <w:rFonts w:ascii="Times New Roman" w:eastAsia="Times New Roman" w:hAnsi="Times New Roman" w:cs="Times New Roman"/>
        </w:rPr>
        <w:t xml:space="preserve">. </w:t>
      </w:r>
      <w:r>
        <w:rPr>
          <w:rFonts w:ascii="Times New Roman" w:eastAsia="Times New Roman" w:hAnsi="Times New Roman" w:cs="Times New Roman"/>
        </w:rPr>
        <w:t xml:space="preserve">It is far more than what we can even anticipate - </w:t>
      </w:r>
      <w:r w:rsidRPr="007F476D">
        <w:rPr>
          <w:rFonts w:ascii="Times New Roman" w:eastAsia="Times New Roman" w:hAnsi="Times New Roman" w:cs="Times New Roman"/>
        </w:rPr>
        <w:t xml:space="preserve">access </w:t>
      </w:r>
      <w:r>
        <w:rPr>
          <w:rFonts w:ascii="Times New Roman" w:eastAsia="Times New Roman" w:hAnsi="Times New Roman" w:cs="Times New Roman"/>
        </w:rPr>
        <w:t xml:space="preserve">services, applications, </w:t>
      </w:r>
      <w:r w:rsidRPr="007F476D">
        <w:rPr>
          <w:rFonts w:ascii="Times New Roman" w:eastAsia="Times New Roman" w:hAnsi="Times New Roman" w:cs="Times New Roman"/>
        </w:rPr>
        <w:t>data</w:t>
      </w:r>
      <w:r>
        <w:rPr>
          <w:rFonts w:ascii="Times New Roman" w:eastAsia="Times New Roman" w:hAnsi="Times New Roman" w:cs="Times New Roman"/>
        </w:rPr>
        <w:t>, security, etc and</w:t>
      </w:r>
      <w:r w:rsidR="00074AA7">
        <w:rPr>
          <w:rFonts w:ascii="Times New Roman" w:eastAsia="Times New Roman" w:hAnsi="Times New Roman" w:cs="Times New Roman"/>
        </w:rPr>
        <w:t>,</w:t>
      </w:r>
      <w:r>
        <w:rPr>
          <w:rFonts w:ascii="Times New Roman" w:eastAsia="Times New Roman" w:hAnsi="Times New Roman" w:cs="Times New Roman"/>
        </w:rPr>
        <w:t xml:space="preserve"> if that looked just enough</w:t>
      </w:r>
      <w:r w:rsidR="00074AA7">
        <w:rPr>
          <w:rFonts w:ascii="Times New Roman" w:eastAsia="Times New Roman" w:hAnsi="Times New Roman" w:cs="Times New Roman"/>
        </w:rPr>
        <w:t>,</w:t>
      </w:r>
      <w:r w:rsidRPr="007F476D">
        <w:rPr>
          <w:rFonts w:ascii="Times New Roman" w:eastAsia="Times New Roman" w:hAnsi="Times New Roman" w:cs="Times New Roman"/>
        </w:rPr>
        <w:t>location</w:t>
      </w:r>
      <w:r>
        <w:rPr>
          <w:rFonts w:ascii="Times New Roman" w:eastAsia="Times New Roman" w:hAnsi="Times New Roman" w:cs="Times New Roman"/>
        </w:rPr>
        <w:t xml:space="preserve"> or what we call footprint – makes it just to</w:t>
      </w:r>
      <w:r w:rsidR="00074AA7">
        <w:rPr>
          <w:rFonts w:ascii="Times New Roman" w:eastAsia="Times New Roman" w:hAnsi="Times New Roman" w:cs="Times New Roman"/>
        </w:rPr>
        <w:t>o</w:t>
      </w:r>
      <w:r>
        <w:rPr>
          <w:rFonts w:ascii="Times New Roman" w:eastAsia="Times New Roman" w:hAnsi="Times New Roman" w:cs="Times New Roman"/>
        </w:rPr>
        <w:t xml:space="preserve"> tight</w:t>
      </w:r>
      <w:r w:rsidRPr="007F476D">
        <w:rPr>
          <w:rFonts w:ascii="Times New Roman" w:eastAsia="Times New Roman" w:hAnsi="Times New Roman" w:cs="Times New Roman"/>
        </w:rPr>
        <w:t xml:space="preserve">. </w:t>
      </w:r>
      <w:r>
        <w:rPr>
          <w:rFonts w:ascii="Times New Roman" w:eastAsia="Times New Roman" w:hAnsi="Times New Roman" w:cs="Times New Roman"/>
        </w:rPr>
        <w:t xml:space="preserve">However, our customers are running an organization which means </w:t>
      </w:r>
      <w:r w:rsidR="008C5EE7">
        <w:rPr>
          <w:rFonts w:ascii="Times New Roman" w:eastAsia="Times New Roman" w:hAnsi="Times New Roman" w:cs="Times New Roman"/>
        </w:rPr>
        <w:t xml:space="preserve">– the discussion now extends further to productivity, flexibilityand how could we forget the CFO </w:t>
      </w:r>
      <w:r w:rsidR="005744A2">
        <w:rPr>
          <w:rFonts w:ascii="Times New Roman" w:eastAsia="Times New Roman" w:hAnsi="Times New Roman" w:cs="Times New Roman"/>
        </w:rPr>
        <w:t>whose buss word is “</w:t>
      </w:r>
      <w:r w:rsidR="008C5EE7">
        <w:rPr>
          <w:rFonts w:ascii="Times New Roman" w:eastAsia="Times New Roman" w:hAnsi="Times New Roman" w:cs="Times New Roman"/>
        </w:rPr>
        <w:t>Cost Saving</w:t>
      </w:r>
      <w:r w:rsidR="005744A2">
        <w:rPr>
          <w:rFonts w:ascii="Times New Roman" w:eastAsia="Times New Roman" w:hAnsi="Times New Roman" w:cs="Times New Roman"/>
        </w:rPr>
        <w:t>”</w:t>
      </w:r>
      <w:r w:rsidR="008C5EE7">
        <w:rPr>
          <w:rFonts w:ascii="Times New Roman" w:eastAsia="Times New Roman" w:hAnsi="Times New Roman" w:cs="Times New Roman"/>
        </w:rPr>
        <w:t xml:space="preserve">. </w:t>
      </w:r>
    </w:p>
    <w:p w:rsidR="008C5EE7" w:rsidRDefault="008C5EE7" w:rsidP="007F476D">
      <w:pPr>
        <w:rPr>
          <w:rFonts w:ascii="Times New Roman" w:eastAsia="Times New Roman" w:hAnsi="Times New Roman" w:cs="Times New Roman"/>
        </w:rPr>
      </w:pPr>
      <w:r>
        <w:rPr>
          <w:rFonts w:ascii="Times New Roman" w:eastAsia="Times New Roman" w:hAnsi="Times New Roman" w:cs="Times New Roman"/>
        </w:rPr>
        <w:t>Usage of multiple computing devises just increases the complexity further. Licensing requirements are also equally</w:t>
      </w:r>
      <w:r w:rsidR="0032517C">
        <w:rPr>
          <w:rFonts w:ascii="Times New Roman" w:eastAsia="Times New Roman" w:hAnsi="Times New Roman" w:cs="Times New Roman"/>
        </w:rPr>
        <w:t xml:space="preserve"> dynamic and sometimes complex – from perpetual to now the world of cloud – Software as a Service. This is where we help with transitions and sharing your load. </w:t>
      </w:r>
    </w:p>
    <w:p w:rsidR="008C5EE7" w:rsidRDefault="008C5EE7" w:rsidP="007F476D">
      <w:pPr>
        <w:rPr>
          <w:rFonts w:ascii="Times New Roman" w:eastAsia="Times New Roman" w:hAnsi="Times New Roman" w:cs="Times New Roman"/>
        </w:rPr>
      </w:pPr>
    </w:p>
    <w:p w:rsidR="005744A2" w:rsidRPr="005744A2" w:rsidRDefault="005744A2" w:rsidP="005744A2">
      <w:pPr>
        <w:rPr>
          <w:rFonts w:ascii="Times New Roman" w:eastAsia="Times New Roman" w:hAnsi="Times New Roman" w:cs="Times New Roman"/>
        </w:rPr>
      </w:pPr>
      <w:r>
        <w:rPr>
          <w:rFonts w:ascii="Times New Roman" w:eastAsia="Times New Roman" w:hAnsi="Times New Roman" w:cs="Times New Roman"/>
        </w:rPr>
        <w:t>While i</w:t>
      </w:r>
      <w:r w:rsidRPr="005744A2">
        <w:rPr>
          <w:rFonts w:ascii="Times New Roman" w:eastAsia="Times New Roman" w:hAnsi="Times New Roman" w:cs="Times New Roman"/>
        </w:rPr>
        <w:t xml:space="preserve">n </w:t>
      </w:r>
      <w:r>
        <w:rPr>
          <w:rFonts w:ascii="Times New Roman" w:eastAsia="Times New Roman" w:hAnsi="Times New Roman" w:cs="Times New Roman"/>
        </w:rPr>
        <w:t xml:space="preserve">most cases the old work horse – our desktop has not changed, but our new users now </w:t>
      </w:r>
      <w:r w:rsidRPr="005744A2">
        <w:rPr>
          <w:rFonts w:ascii="Times New Roman" w:eastAsia="Times New Roman" w:hAnsi="Times New Roman" w:cs="Times New Roman"/>
        </w:rPr>
        <w:t>want to stay connected</w:t>
      </w:r>
      <w:r>
        <w:rPr>
          <w:rFonts w:ascii="Times New Roman" w:eastAsia="Times New Roman" w:hAnsi="Times New Roman" w:cs="Times New Roman"/>
        </w:rPr>
        <w:t>,</w:t>
      </w:r>
      <w:r w:rsidRPr="005744A2">
        <w:rPr>
          <w:rFonts w:ascii="Times New Roman" w:eastAsia="Times New Roman" w:hAnsi="Times New Roman" w:cs="Times New Roman"/>
        </w:rPr>
        <w:t xml:space="preserve"> have access to best networks and services </w:t>
      </w:r>
      <w:r>
        <w:rPr>
          <w:rFonts w:ascii="Times New Roman" w:eastAsia="Times New Roman" w:hAnsi="Times New Roman" w:cs="Times New Roman"/>
        </w:rPr>
        <w:t>on press of a button</w:t>
      </w:r>
      <w:r w:rsidRPr="005744A2">
        <w:rPr>
          <w:rFonts w:ascii="Times New Roman" w:eastAsia="Times New Roman" w:hAnsi="Times New Roman" w:cs="Times New Roman"/>
        </w:rPr>
        <w:t xml:space="preserve">. </w:t>
      </w:r>
      <w:r>
        <w:rPr>
          <w:rFonts w:ascii="Times New Roman" w:eastAsia="Times New Roman" w:hAnsi="Times New Roman" w:cs="Times New Roman"/>
        </w:rPr>
        <w:t xml:space="preserve">Our users have option of devises and most choose one according to their business requirement. </w:t>
      </w:r>
      <w:r w:rsidRPr="005744A2">
        <w:rPr>
          <w:rFonts w:ascii="Times New Roman" w:eastAsia="Times New Roman" w:hAnsi="Times New Roman" w:cs="Times New Roman"/>
        </w:rPr>
        <w:t xml:space="preserve">They access applications </w:t>
      </w:r>
      <w:r>
        <w:rPr>
          <w:rFonts w:ascii="Times New Roman" w:eastAsia="Times New Roman" w:hAnsi="Times New Roman" w:cs="Times New Roman"/>
        </w:rPr>
        <w:t>from corporate to personal to banking</w:t>
      </w:r>
      <w:r w:rsidRPr="005744A2">
        <w:rPr>
          <w:rFonts w:ascii="Times New Roman" w:eastAsia="Times New Roman" w:hAnsi="Times New Roman" w:cs="Times New Roman"/>
        </w:rPr>
        <w:t xml:space="preserve">. </w:t>
      </w:r>
      <w:r>
        <w:rPr>
          <w:rFonts w:ascii="Times New Roman" w:eastAsia="Times New Roman" w:hAnsi="Times New Roman" w:cs="Times New Roman"/>
        </w:rPr>
        <w:t xml:space="preserve">If that you thought was not enough – our users today wish to make a lot many independent IT decisions. Often inviting </w:t>
      </w:r>
      <w:r w:rsidRPr="005744A2">
        <w:rPr>
          <w:rFonts w:ascii="Times New Roman" w:eastAsia="Times New Roman" w:hAnsi="Times New Roman" w:cs="Times New Roman"/>
        </w:rPr>
        <w:t>security threats</w:t>
      </w:r>
      <w:r w:rsidR="002D37EE">
        <w:rPr>
          <w:rFonts w:ascii="Times New Roman" w:eastAsia="Times New Roman" w:hAnsi="Times New Roman" w:cs="Times New Roman"/>
        </w:rPr>
        <w:t xml:space="preserve">that </w:t>
      </w:r>
      <w:r>
        <w:rPr>
          <w:rFonts w:ascii="Times New Roman" w:eastAsia="Times New Roman" w:hAnsi="Times New Roman" w:cs="Times New Roman"/>
        </w:rPr>
        <w:t>may not be a remote possibility</w:t>
      </w:r>
      <w:r w:rsidRPr="005744A2">
        <w:rPr>
          <w:rFonts w:ascii="Times New Roman" w:eastAsia="Times New Roman" w:hAnsi="Times New Roman" w:cs="Times New Roman"/>
        </w:rPr>
        <w:t>.</w:t>
      </w:r>
      <w:bookmarkStart w:id="0" w:name="_GoBack"/>
      <w:bookmarkEnd w:id="0"/>
    </w:p>
    <w:p w:rsidR="005744A2" w:rsidRDefault="005744A2" w:rsidP="005744A2">
      <w:pPr>
        <w:rPr>
          <w:rFonts w:ascii="Times New Roman" w:eastAsia="Times New Roman" w:hAnsi="Times New Roman" w:cs="Times New Roman"/>
        </w:rPr>
      </w:pPr>
    </w:p>
    <w:p w:rsidR="005744A2" w:rsidRDefault="005744A2" w:rsidP="005744A2">
      <w:pPr>
        <w:rPr>
          <w:rFonts w:ascii="Times New Roman" w:eastAsia="Times New Roman" w:hAnsi="Times New Roman" w:cs="Times New Roman"/>
        </w:rPr>
      </w:pPr>
      <w:r>
        <w:rPr>
          <w:rFonts w:ascii="Times New Roman" w:eastAsia="Times New Roman" w:hAnsi="Times New Roman" w:cs="Times New Roman"/>
        </w:rPr>
        <w:t>We bring to the table our experience and skills – to help you find or take informed decisions – that makes your end-user-computing environment robust by each passing day. We evaluate the following:</w:t>
      </w:r>
    </w:p>
    <w:p w:rsidR="005744A2" w:rsidRDefault="005744A2" w:rsidP="005744A2">
      <w:pPr>
        <w:rPr>
          <w:rFonts w:ascii="Times New Roman" w:eastAsia="Times New Roman" w:hAnsi="Times New Roman" w:cs="Times New Roman"/>
        </w:rPr>
      </w:pPr>
    </w:p>
    <w:p w:rsidR="005744A2" w:rsidRDefault="00092063" w:rsidP="005744A2">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Structure/Procurement/Deployment/Controls</w:t>
      </w:r>
    </w:p>
    <w:p w:rsidR="00092063" w:rsidRDefault="00092063" w:rsidP="005744A2">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Application Management</w:t>
      </w:r>
    </w:p>
    <w:p w:rsidR="00092063" w:rsidRDefault="00092063" w:rsidP="005744A2">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Policy Frameworks</w:t>
      </w:r>
    </w:p>
    <w:p w:rsidR="00092063" w:rsidRDefault="00092063" w:rsidP="005744A2">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Cost and Budgets</w:t>
      </w:r>
    </w:p>
    <w:p w:rsidR="00092063" w:rsidRDefault="00092063" w:rsidP="00092063">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Compliance</w:t>
      </w:r>
    </w:p>
    <w:p w:rsidR="00092063" w:rsidRDefault="00092063" w:rsidP="00092063">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Security</w:t>
      </w:r>
    </w:p>
    <w:p w:rsidR="00092063" w:rsidRDefault="00092063" w:rsidP="00092063">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Support environment </w:t>
      </w:r>
    </w:p>
    <w:p w:rsidR="00092063" w:rsidRDefault="00092063" w:rsidP="00092063">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Risk Framework and Contingency Plan</w:t>
      </w:r>
    </w:p>
    <w:p w:rsidR="00092063" w:rsidRDefault="00092063" w:rsidP="00092063">
      <w:pPr>
        <w:rPr>
          <w:rFonts w:ascii="Times New Roman" w:eastAsia="Times New Roman" w:hAnsi="Times New Roman" w:cs="Times New Roman"/>
        </w:rPr>
      </w:pPr>
    </w:p>
    <w:p w:rsidR="00092063" w:rsidRDefault="00092063" w:rsidP="00092063">
      <w:pPr>
        <w:rPr>
          <w:rFonts w:ascii="Times New Roman" w:eastAsia="Times New Roman" w:hAnsi="Times New Roman" w:cs="Times New Roman"/>
        </w:rPr>
      </w:pPr>
      <w:r>
        <w:rPr>
          <w:rFonts w:ascii="Times New Roman" w:eastAsia="Times New Roman" w:hAnsi="Times New Roman" w:cs="Times New Roman"/>
        </w:rPr>
        <w:t>So, what</w:t>
      </w:r>
      <w:r w:rsidR="00FF7C0A">
        <w:rPr>
          <w:rFonts w:ascii="Times New Roman" w:eastAsia="Times New Roman" w:hAnsi="Times New Roman" w:cs="Times New Roman"/>
        </w:rPr>
        <w:t>’</w:t>
      </w:r>
      <w:r>
        <w:rPr>
          <w:rFonts w:ascii="Times New Roman" w:eastAsia="Times New Roman" w:hAnsi="Times New Roman" w:cs="Times New Roman"/>
        </w:rPr>
        <w:t>s are value preposition:</w:t>
      </w:r>
    </w:p>
    <w:p w:rsidR="00092063" w:rsidRDefault="00092063" w:rsidP="00092063">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We bring Internationally acclaimed Standards – ISO 19770, ISO 27001-1</w:t>
      </w:r>
      <w:r w:rsidR="0005431E">
        <w:rPr>
          <w:rFonts w:ascii="Times New Roman" w:eastAsia="Times New Roman" w:hAnsi="Times New Roman" w:cs="Times New Roman"/>
        </w:rPr>
        <w:t xml:space="preserve">, ITIL, </w:t>
      </w:r>
      <w:proofErr w:type="spellStart"/>
      <w:r w:rsidR="0005431E">
        <w:rPr>
          <w:rFonts w:ascii="Times New Roman" w:eastAsia="Times New Roman" w:hAnsi="Times New Roman" w:cs="Times New Roman"/>
        </w:rPr>
        <w:t>Cobit</w:t>
      </w:r>
      <w:proofErr w:type="spellEnd"/>
      <w:r>
        <w:rPr>
          <w:rFonts w:ascii="Times New Roman" w:eastAsia="Times New Roman" w:hAnsi="Times New Roman" w:cs="Times New Roman"/>
        </w:rPr>
        <w:t>.</w:t>
      </w:r>
    </w:p>
    <w:p w:rsidR="00092063" w:rsidRDefault="00092063" w:rsidP="00092063">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Global reach – present on all continents.</w:t>
      </w:r>
    </w:p>
    <w:p w:rsidR="00092063" w:rsidRDefault="00092063" w:rsidP="00092063">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Provide the right choices of appetite or consumption that will reduce capex, taxation, headache.  </w:t>
      </w:r>
    </w:p>
    <w:p w:rsidR="00092063" w:rsidRDefault="00092063" w:rsidP="00092063">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lastRenderedPageBreak/>
        <w:t>We help in improving productivity as we bring collaboration between People, Process and Technology.</w:t>
      </w:r>
    </w:p>
    <w:p w:rsidR="00092063" w:rsidRDefault="00092063" w:rsidP="00092063">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We stand with you responsible and accountable when we talk regulations or compliance. </w:t>
      </w:r>
    </w:p>
    <w:p w:rsidR="001B11B8" w:rsidRDefault="00092063" w:rsidP="00092063">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Last but not the least – we drive </w:t>
      </w:r>
      <w:r w:rsidR="001B11B8">
        <w:rPr>
          <w:rFonts w:ascii="Times New Roman" w:eastAsia="Times New Roman" w:hAnsi="Times New Roman" w:cs="Times New Roman"/>
        </w:rPr>
        <w:t xml:space="preserve">customer delight. We bring the One-Stop One-Roof One-Call approach. </w:t>
      </w:r>
      <w:r w:rsidR="00FF7C0A">
        <w:rPr>
          <w:rFonts w:ascii="Times New Roman" w:eastAsia="Times New Roman" w:hAnsi="Times New Roman" w:cs="Times New Roman"/>
        </w:rPr>
        <w:t xml:space="preserve">We take you ahead of time. </w:t>
      </w:r>
    </w:p>
    <w:p w:rsidR="001B11B8" w:rsidRDefault="001B11B8" w:rsidP="001B11B8">
      <w:pPr>
        <w:rPr>
          <w:rFonts w:ascii="Times New Roman" w:eastAsia="Times New Roman" w:hAnsi="Times New Roman" w:cs="Times New Roman"/>
        </w:rPr>
      </w:pPr>
    </w:p>
    <w:p w:rsidR="00092063" w:rsidRPr="001B11B8" w:rsidRDefault="00092063" w:rsidP="001B11B8">
      <w:pPr>
        <w:rPr>
          <w:rFonts w:ascii="Times New Roman" w:eastAsia="Times New Roman" w:hAnsi="Times New Roman" w:cs="Times New Roman"/>
        </w:rPr>
      </w:pPr>
    </w:p>
    <w:p w:rsidR="005744A2" w:rsidRPr="009E2DEE" w:rsidRDefault="009E2DEE" w:rsidP="005744A2">
      <w:pPr>
        <w:rPr>
          <w:rFonts w:ascii="Times New Roman" w:eastAsia="Times New Roman" w:hAnsi="Times New Roman" w:cs="Times New Roman"/>
          <w:b/>
          <w:u w:val="single"/>
        </w:rPr>
      </w:pPr>
      <w:r w:rsidRPr="009E2DEE">
        <w:rPr>
          <w:rFonts w:ascii="Times New Roman" w:eastAsia="Times New Roman" w:hAnsi="Times New Roman" w:cs="Times New Roman"/>
          <w:b/>
          <w:u w:val="single"/>
        </w:rPr>
        <w:t>People, Process and Technology Simplified</w:t>
      </w:r>
      <w:r w:rsidR="0005431E" w:rsidRPr="009E2DEE">
        <w:rPr>
          <w:rFonts w:ascii="Times New Roman" w:eastAsia="Times New Roman" w:hAnsi="Times New Roman" w:cs="Times New Roman"/>
          <w:b/>
          <w:u w:val="single"/>
        </w:rPr>
        <w:t xml:space="preserve">: </w:t>
      </w:r>
    </w:p>
    <w:p w:rsidR="0005431E" w:rsidRDefault="0005431E" w:rsidP="005744A2">
      <w:pPr>
        <w:rPr>
          <w:rFonts w:ascii="Times New Roman" w:eastAsia="Times New Roman" w:hAnsi="Times New Roman" w:cs="Times New Roman"/>
        </w:rPr>
      </w:pPr>
    </w:p>
    <w:p w:rsidR="0005431E" w:rsidRPr="0005431E" w:rsidRDefault="0005431E" w:rsidP="0005431E">
      <w:pPr>
        <w:rPr>
          <w:rFonts w:ascii="Times New Roman" w:eastAsia="Times New Roman" w:hAnsi="Times New Roman" w:cs="Times New Roman"/>
        </w:rPr>
      </w:pPr>
      <w:r>
        <w:rPr>
          <w:rFonts w:ascii="Times New Roman" w:eastAsia="Times New Roman" w:hAnsi="Times New Roman" w:cs="Times New Roman"/>
        </w:rPr>
        <w:t xml:space="preserve">Its all about accountability and understanding the customer’s structure and processes. Hence, globally, we believe to offer the right internationally acclaimed standards and framework </w:t>
      </w:r>
      <w:r w:rsidRPr="0005431E">
        <w:rPr>
          <w:rFonts w:ascii="Times New Roman" w:eastAsia="Times New Roman" w:hAnsi="Times New Roman" w:cs="Times New Roman"/>
        </w:rPr>
        <w:t xml:space="preserve">for </w:t>
      </w:r>
      <w:r>
        <w:rPr>
          <w:rFonts w:ascii="Times New Roman" w:eastAsia="Times New Roman" w:hAnsi="Times New Roman" w:cs="Times New Roman"/>
        </w:rPr>
        <w:t xml:space="preserve">end-user-computing management services. </w:t>
      </w:r>
    </w:p>
    <w:p w:rsidR="0005431E" w:rsidRPr="0005431E" w:rsidRDefault="0005431E" w:rsidP="0005431E">
      <w:pPr>
        <w:rPr>
          <w:rFonts w:ascii="Times New Roman" w:eastAsia="Times New Roman" w:hAnsi="Times New Roman" w:cs="Times New Roman"/>
        </w:rPr>
      </w:pPr>
    </w:p>
    <w:p w:rsidR="0005431E" w:rsidRPr="0005431E" w:rsidRDefault="0005431E" w:rsidP="0005431E">
      <w:pPr>
        <w:rPr>
          <w:rFonts w:ascii="Times New Roman" w:eastAsia="Times New Roman" w:hAnsi="Times New Roman" w:cs="Times New Roman"/>
        </w:rPr>
      </w:pPr>
      <w:r>
        <w:rPr>
          <w:rFonts w:ascii="Times New Roman" w:eastAsia="Times New Roman" w:hAnsi="Times New Roman" w:cs="Times New Roman"/>
        </w:rPr>
        <w:t xml:space="preserve">End-user-computing management is role-based on </w:t>
      </w:r>
      <w:r w:rsidRPr="0005431E">
        <w:rPr>
          <w:rFonts w:ascii="Times New Roman" w:eastAsia="Times New Roman" w:hAnsi="Times New Roman" w:cs="Times New Roman"/>
        </w:rPr>
        <w:t>Software Asset Management</w:t>
      </w:r>
      <w:r>
        <w:rPr>
          <w:rFonts w:ascii="Times New Roman" w:eastAsia="Times New Roman" w:hAnsi="Times New Roman" w:cs="Times New Roman"/>
        </w:rPr>
        <w:t xml:space="preserve"> having its roots in the following standards:</w:t>
      </w:r>
    </w:p>
    <w:p w:rsidR="0005431E" w:rsidRPr="0005431E" w:rsidRDefault="0005431E" w:rsidP="0005431E">
      <w:pPr>
        <w:rPr>
          <w:rFonts w:ascii="Times New Roman" w:eastAsia="Times New Roman" w:hAnsi="Times New Roman" w:cs="Times New Roman"/>
        </w:rPr>
      </w:pPr>
    </w:p>
    <w:p w:rsidR="0005431E" w:rsidRPr="00533DE2" w:rsidRDefault="0005431E" w:rsidP="0005431E">
      <w:pPr>
        <w:rPr>
          <w:rFonts w:ascii="Times New Roman" w:eastAsia="Times New Roman" w:hAnsi="Times New Roman" w:cs="Times New Roman"/>
          <w:b/>
          <w:u w:val="single"/>
        </w:rPr>
      </w:pPr>
      <w:r w:rsidRPr="00533DE2">
        <w:rPr>
          <w:rFonts w:ascii="Times New Roman" w:eastAsia="Times New Roman" w:hAnsi="Times New Roman" w:cs="Times New Roman"/>
          <w:b/>
          <w:u w:val="single"/>
        </w:rPr>
        <w:t>Control Objectives for</w:t>
      </w:r>
      <w:r w:rsidR="00533DE2" w:rsidRPr="00533DE2">
        <w:rPr>
          <w:rFonts w:ascii="Times New Roman" w:eastAsia="Times New Roman" w:hAnsi="Times New Roman" w:cs="Times New Roman"/>
          <w:b/>
          <w:u w:val="single"/>
        </w:rPr>
        <w:t xml:space="preserve"> Information Technology (COBIT)</w:t>
      </w:r>
    </w:p>
    <w:p w:rsidR="0005431E" w:rsidRPr="0005431E" w:rsidRDefault="0005431E" w:rsidP="0005431E">
      <w:pPr>
        <w:rPr>
          <w:rFonts w:ascii="Times New Roman" w:eastAsia="Times New Roman" w:hAnsi="Times New Roman" w:cs="Times New Roman"/>
        </w:rPr>
      </w:pPr>
      <w:r w:rsidRPr="0005431E">
        <w:rPr>
          <w:rFonts w:ascii="Times New Roman" w:eastAsia="Times New Roman" w:hAnsi="Times New Roman" w:cs="Times New Roman"/>
        </w:rPr>
        <w:t>A wide framework which deals with IT management and IT governance.</w:t>
      </w:r>
    </w:p>
    <w:p w:rsidR="0005431E" w:rsidRPr="0005431E" w:rsidRDefault="0005431E" w:rsidP="0005431E">
      <w:pPr>
        <w:rPr>
          <w:rFonts w:ascii="Times New Roman" w:eastAsia="Times New Roman" w:hAnsi="Times New Roman" w:cs="Times New Roman"/>
        </w:rPr>
      </w:pPr>
      <w:r w:rsidRPr="0005431E">
        <w:rPr>
          <w:rFonts w:ascii="Times New Roman" w:eastAsia="Times New Roman" w:hAnsi="Times New Roman" w:cs="Times New Roman"/>
        </w:rPr>
        <w:t>COBIT approaches SAM in several different ways but mostly focuses on governance, compliance, cost management, budgeting, security and configuration management.</w:t>
      </w:r>
    </w:p>
    <w:p w:rsidR="00533DE2" w:rsidRDefault="00533DE2" w:rsidP="0005431E">
      <w:pPr>
        <w:rPr>
          <w:rFonts w:ascii="Times New Roman" w:eastAsia="Times New Roman" w:hAnsi="Times New Roman" w:cs="Times New Roman"/>
        </w:rPr>
      </w:pPr>
    </w:p>
    <w:p w:rsidR="00533DE2" w:rsidRDefault="00533DE2" w:rsidP="0005431E">
      <w:pPr>
        <w:rPr>
          <w:rFonts w:ascii="Times New Roman" w:eastAsia="Times New Roman" w:hAnsi="Times New Roman" w:cs="Times New Roman"/>
        </w:rPr>
      </w:pPr>
    </w:p>
    <w:p w:rsidR="0005431E" w:rsidRPr="00533DE2" w:rsidRDefault="0005431E" w:rsidP="0005431E">
      <w:pPr>
        <w:rPr>
          <w:rFonts w:ascii="Times New Roman" w:eastAsia="Times New Roman" w:hAnsi="Times New Roman" w:cs="Times New Roman"/>
          <w:b/>
          <w:u w:val="single"/>
        </w:rPr>
      </w:pPr>
      <w:r w:rsidRPr="00533DE2">
        <w:rPr>
          <w:rFonts w:ascii="Times New Roman" w:eastAsia="Times New Roman" w:hAnsi="Times New Roman" w:cs="Times New Roman"/>
          <w:b/>
          <w:u w:val="single"/>
        </w:rPr>
        <w:t>ITIL</w:t>
      </w:r>
    </w:p>
    <w:p w:rsidR="0005431E" w:rsidRDefault="0005431E" w:rsidP="0005431E">
      <w:pPr>
        <w:rPr>
          <w:rFonts w:ascii="Times New Roman" w:eastAsia="Times New Roman" w:hAnsi="Times New Roman" w:cs="Times New Roman"/>
        </w:rPr>
      </w:pPr>
      <w:r w:rsidRPr="0005431E">
        <w:rPr>
          <w:rFonts w:ascii="Times New Roman" w:eastAsia="Times New Roman" w:hAnsi="Times New Roman" w:cs="Times New Roman"/>
        </w:rPr>
        <w:t>An approach for IT Service Management that provides a practical framework for identifying, planning, delivering and supporting IT services to the business.Based on best practices and which provide a systematic approach to the management of IT services, enabling organizations to deliver appropriate services.</w:t>
      </w:r>
    </w:p>
    <w:p w:rsidR="00533DE2" w:rsidRPr="0005431E" w:rsidRDefault="00533DE2" w:rsidP="0005431E">
      <w:pPr>
        <w:rPr>
          <w:rFonts w:ascii="Times New Roman" w:eastAsia="Times New Roman" w:hAnsi="Times New Roman" w:cs="Times New Roman"/>
        </w:rPr>
      </w:pPr>
    </w:p>
    <w:p w:rsidR="0005431E" w:rsidRPr="00533DE2" w:rsidRDefault="0005431E" w:rsidP="0005431E">
      <w:pPr>
        <w:rPr>
          <w:rFonts w:ascii="Times New Roman" w:eastAsia="Times New Roman" w:hAnsi="Times New Roman" w:cs="Times New Roman"/>
          <w:b/>
          <w:u w:val="single"/>
        </w:rPr>
      </w:pPr>
      <w:r w:rsidRPr="00533DE2">
        <w:rPr>
          <w:rFonts w:ascii="Times New Roman" w:eastAsia="Times New Roman" w:hAnsi="Times New Roman" w:cs="Times New Roman"/>
          <w:b/>
          <w:u w:val="single"/>
        </w:rPr>
        <w:t>ISO/IEC 19770-1</w:t>
      </w:r>
    </w:p>
    <w:p w:rsidR="0005431E" w:rsidRDefault="0005431E" w:rsidP="0005431E">
      <w:pPr>
        <w:rPr>
          <w:rFonts w:ascii="Times New Roman" w:eastAsia="Times New Roman" w:hAnsi="Times New Roman" w:cs="Times New Roman"/>
        </w:rPr>
      </w:pPr>
      <w:r w:rsidRPr="0005431E">
        <w:rPr>
          <w:rFonts w:ascii="Times New Roman" w:eastAsia="Times New Roman" w:hAnsi="Times New Roman" w:cs="Times New Roman"/>
        </w:rPr>
        <w:t>A framework of SAM processes covering 27 separate process areas which enable an organization to prove that it is performing software asset management to a standard sufficient to satisfy corporate governance requirements and ensure effective support for IT service management overall.</w:t>
      </w:r>
    </w:p>
    <w:p w:rsidR="009E2DEE" w:rsidRDefault="009E2DEE" w:rsidP="0005431E">
      <w:pPr>
        <w:rPr>
          <w:rFonts w:ascii="Times New Roman" w:eastAsia="Times New Roman" w:hAnsi="Times New Roman" w:cs="Times New Roman"/>
        </w:rPr>
      </w:pPr>
    </w:p>
    <w:p w:rsidR="009E2DEE" w:rsidRPr="003059B2" w:rsidRDefault="009E2DEE" w:rsidP="0005431E">
      <w:pPr>
        <w:rPr>
          <w:rFonts w:ascii="Times New Roman" w:eastAsia="Times New Roman" w:hAnsi="Times New Roman" w:cs="Times New Roman"/>
          <w:b/>
          <w:u w:val="single"/>
        </w:rPr>
      </w:pPr>
      <w:r w:rsidRPr="003059B2">
        <w:rPr>
          <w:rFonts w:ascii="Times New Roman" w:eastAsia="Times New Roman" w:hAnsi="Times New Roman" w:cs="Times New Roman"/>
          <w:b/>
          <w:u w:val="single"/>
        </w:rPr>
        <w:t>Our Approach: We take it ahead of time</w:t>
      </w:r>
    </w:p>
    <w:p w:rsidR="009E2DEE" w:rsidRDefault="009E2DEE" w:rsidP="0005431E">
      <w:pPr>
        <w:rPr>
          <w:rFonts w:ascii="Times New Roman" w:eastAsia="Times New Roman" w:hAnsi="Times New Roman" w:cs="Times New Roman"/>
        </w:rPr>
      </w:pPr>
      <w:r>
        <w:rPr>
          <w:rFonts w:ascii="Times New Roman" w:eastAsia="Times New Roman" w:hAnsi="Times New Roman" w:cs="Times New Roman"/>
        </w:rPr>
        <w:t xml:space="preserve">We bring to our customers the right choice of processes backed by </w:t>
      </w:r>
      <w:r w:rsidR="003059B2">
        <w:rPr>
          <w:rFonts w:ascii="Times New Roman" w:eastAsia="Times New Roman" w:hAnsi="Times New Roman" w:cs="Times New Roman"/>
        </w:rPr>
        <w:t xml:space="preserve">Client Management Tooling Services that helps customer gain visibility and, hence, plan the way forward which is cost effective and provides a roadmap. </w:t>
      </w:r>
    </w:p>
    <w:p w:rsidR="009E2DEE" w:rsidRDefault="009E2DEE" w:rsidP="0005431E">
      <w:pPr>
        <w:rPr>
          <w:rFonts w:ascii="Times New Roman" w:eastAsia="Times New Roman" w:hAnsi="Times New Roman" w:cs="Times New Roman"/>
        </w:rPr>
      </w:pPr>
    </w:p>
    <w:p w:rsidR="003059B2" w:rsidRDefault="003059B2" w:rsidP="003059B2">
      <w:pPr>
        <w:rPr>
          <w:rFonts w:ascii="Times New Roman" w:eastAsia="Times New Roman" w:hAnsi="Times New Roman" w:cs="Times New Roman"/>
        </w:rPr>
      </w:pPr>
      <w:r>
        <w:rPr>
          <w:rFonts w:ascii="Times New Roman" w:eastAsia="Times New Roman" w:hAnsi="Times New Roman" w:cs="Times New Roman"/>
        </w:rPr>
        <w:t>C</w:t>
      </w:r>
      <w:r w:rsidRPr="003059B2">
        <w:rPr>
          <w:rFonts w:ascii="Times New Roman" w:eastAsia="Times New Roman" w:hAnsi="Times New Roman" w:cs="Times New Roman"/>
        </w:rPr>
        <w:t xml:space="preserve">lient </w:t>
      </w:r>
      <w:r>
        <w:rPr>
          <w:rFonts w:ascii="Times New Roman" w:eastAsia="Times New Roman" w:hAnsi="Times New Roman" w:cs="Times New Roman"/>
        </w:rPr>
        <w:t>M</w:t>
      </w:r>
      <w:r w:rsidRPr="003059B2">
        <w:rPr>
          <w:rFonts w:ascii="Times New Roman" w:eastAsia="Times New Roman" w:hAnsi="Times New Roman" w:cs="Times New Roman"/>
        </w:rPr>
        <w:t xml:space="preserve">anagement </w:t>
      </w:r>
      <w:r>
        <w:rPr>
          <w:rFonts w:ascii="Times New Roman" w:eastAsia="Times New Roman" w:hAnsi="Times New Roman" w:cs="Times New Roman"/>
        </w:rPr>
        <w:t>T</w:t>
      </w:r>
      <w:r w:rsidRPr="003059B2">
        <w:rPr>
          <w:rFonts w:ascii="Times New Roman" w:eastAsia="Times New Roman" w:hAnsi="Times New Roman" w:cs="Times New Roman"/>
        </w:rPr>
        <w:t xml:space="preserve">ools </w:t>
      </w:r>
      <w:r>
        <w:rPr>
          <w:rFonts w:ascii="Times New Roman" w:eastAsia="Times New Roman" w:hAnsi="Times New Roman" w:cs="Times New Roman"/>
        </w:rPr>
        <w:t xml:space="preserve">(CMT) </w:t>
      </w:r>
      <w:r w:rsidRPr="003059B2">
        <w:rPr>
          <w:rFonts w:ascii="Times New Roman" w:eastAsia="Times New Roman" w:hAnsi="Times New Roman" w:cs="Times New Roman"/>
        </w:rPr>
        <w:t xml:space="preserve">is </w:t>
      </w:r>
      <w:r>
        <w:rPr>
          <w:rFonts w:ascii="Times New Roman" w:eastAsia="Times New Roman" w:hAnsi="Times New Roman" w:cs="Times New Roman"/>
        </w:rPr>
        <w:t xml:space="preserve">the preferred approach </w:t>
      </w:r>
      <w:r w:rsidRPr="003059B2">
        <w:rPr>
          <w:rFonts w:ascii="Times New Roman" w:eastAsia="Times New Roman" w:hAnsi="Times New Roman" w:cs="Times New Roman"/>
        </w:rPr>
        <w:t xml:space="preserve">in both midsize and large enterprises. </w:t>
      </w:r>
      <w:r>
        <w:rPr>
          <w:rFonts w:ascii="Times New Roman" w:eastAsia="Times New Roman" w:hAnsi="Times New Roman" w:cs="Times New Roman"/>
        </w:rPr>
        <w:t xml:space="preserve">Though they need to be configured strictly in-line with the established and adopted policies. Primarily CMT </w:t>
      </w:r>
      <w:r w:rsidRPr="003059B2">
        <w:rPr>
          <w:rFonts w:ascii="Times New Roman" w:eastAsia="Times New Roman" w:hAnsi="Times New Roman" w:cs="Times New Roman"/>
        </w:rPr>
        <w:t xml:space="preserve">are used bymany organizations to reduce cost of ownership, improve user productivity, increaseIT efficiency and enable a secure </w:t>
      </w:r>
      <w:r>
        <w:rPr>
          <w:rFonts w:ascii="Times New Roman" w:eastAsia="Times New Roman" w:hAnsi="Times New Roman" w:cs="Times New Roman"/>
        </w:rPr>
        <w:t xml:space="preserve">end-user-computing </w:t>
      </w:r>
      <w:r w:rsidRPr="003059B2">
        <w:rPr>
          <w:rFonts w:ascii="Times New Roman" w:eastAsia="Times New Roman" w:hAnsi="Times New Roman" w:cs="Times New Roman"/>
        </w:rPr>
        <w:t xml:space="preserve">environment. </w:t>
      </w:r>
    </w:p>
    <w:p w:rsidR="008E7877" w:rsidRDefault="003059B2" w:rsidP="003059B2">
      <w:pPr>
        <w:rPr>
          <w:rFonts w:ascii="Times New Roman" w:eastAsia="Times New Roman" w:hAnsi="Times New Roman" w:cs="Times New Roman"/>
        </w:rPr>
      </w:pPr>
      <w:r>
        <w:rPr>
          <w:rFonts w:ascii="Times New Roman" w:eastAsia="Times New Roman" w:hAnsi="Times New Roman" w:cs="Times New Roman"/>
        </w:rPr>
        <w:t xml:space="preserve">CMT is </w:t>
      </w:r>
      <w:r w:rsidR="008E7877">
        <w:rPr>
          <w:rFonts w:ascii="Times New Roman" w:eastAsia="Times New Roman" w:hAnsi="Times New Roman" w:cs="Times New Roman"/>
        </w:rPr>
        <w:t xml:space="preserve">a </w:t>
      </w:r>
      <w:r w:rsidRPr="003059B2">
        <w:rPr>
          <w:rFonts w:ascii="Times New Roman" w:eastAsia="Times New Roman" w:hAnsi="Times New Roman" w:cs="Times New Roman"/>
        </w:rPr>
        <w:t>fairly mature</w:t>
      </w:r>
      <w:r w:rsidR="008E7877">
        <w:rPr>
          <w:rFonts w:ascii="Times New Roman" w:eastAsia="Times New Roman" w:hAnsi="Times New Roman" w:cs="Times New Roman"/>
        </w:rPr>
        <w:t xml:space="preserve"> market</w:t>
      </w:r>
      <w:r w:rsidRPr="003059B2">
        <w:rPr>
          <w:rFonts w:ascii="Times New Roman" w:eastAsia="Times New Roman" w:hAnsi="Times New Roman" w:cs="Times New Roman"/>
        </w:rPr>
        <w:t xml:space="preserve">. However, ongoing changes in </w:t>
      </w:r>
      <w:proofErr w:type="spellStart"/>
      <w:r w:rsidRPr="003059B2">
        <w:rPr>
          <w:rFonts w:ascii="Times New Roman" w:eastAsia="Times New Roman" w:hAnsi="Times New Roman" w:cs="Times New Roman"/>
        </w:rPr>
        <w:t>end­user</w:t>
      </w:r>
      <w:proofErr w:type="spellEnd"/>
      <w:r w:rsidR="008E7877">
        <w:rPr>
          <w:rFonts w:ascii="Times New Roman" w:eastAsia="Times New Roman" w:hAnsi="Times New Roman" w:cs="Times New Roman"/>
        </w:rPr>
        <w:t>-</w:t>
      </w:r>
      <w:r w:rsidRPr="003059B2">
        <w:rPr>
          <w:rFonts w:ascii="Times New Roman" w:eastAsia="Times New Roman" w:hAnsi="Times New Roman" w:cs="Times New Roman"/>
        </w:rPr>
        <w:t xml:space="preserve">computing are forcing </w:t>
      </w:r>
      <w:r w:rsidR="008E7877">
        <w:rPr>
          <w:rFonts w:ascii="Times New Roman" w:eastAsia="Times New Roman" w:hAnsi="Times New Roman" w:cs="Times New Roman"/>
        </w:rPr>
        <w:t xml:space="preserve">service providers </w:t>
      </w:r>
      <w:r w:rsidRPr="003059B2">
        <w:rPr>
          <w:rFonts w:ascii="Times New Roman" w:eastAsia="Times New Roman" w:hAnsi="Times New Roman" w:cs="Times New Roman"/>
        </w:rPr>
        <w:t xml:space="preserve">to continually innovate and evolve to address new requirements. In particular, bring your own device(BYOD), mobility, </w:t>
      </w:r>
      <w:r w:rsidR="008E7877">
        <w:rPr>
          <w:rFonts w:ascii="Times New Roman" w:eastAsia="Times New Roman" w:hAnsi="Times New Roman" w:cs="Times New Roman"/>
        </w:rPr>
        <w:t>licensing</w:t>
      </w:r>
      <w:r w:rsidRPr="003059B2">
        <w:rPr>
          <w:rFonts w:ascii="Times New Roman" w:eastAsia="Times New Roman" w:hAnsi="Times New Roman" w:cs="Times New Roman"/>
        </w:rPr>
        <w:t xml:space="preserve"> fragmentation</w:t>
      </w:r>
      <w:r w:rsidR="004A3A16">
        <w:rPr>
          <w:rFonts w:ascii="Times New Roman" w:eastAsia="Times New Roman" w:hAnsi="Times New Roman" w:cs="Times New Roman"/>
        </w:rPr>
        <w:t>, contract management</w:t>
      </w:r>
      <w:r w:rsidRPr="003059B2">
        <w:rPr>
          <w:rFonts w:ascii="Times New Roman" w:eastAsia="Times New Roman" w:hAnsi="Times New Roman" w:cs="Times New Roman"/>
        </w:rPr>
        <w:t xml:space="preserve"> and the cloud are requiring organizations to rethink the way</w:t>
      </w:r>
      <w:r w:rsidR="008E7877">
        <w:rPr>
          <w:rFonts w:ascii="Times New Roman" w:eastAsia="Times New Roman" w:hAnsi="Times New Roman" w:cs="Times New Roman"/>
        </w:rPr>
        <w:t xml:space="preserve"> they manage </w:t>
      </w:r>
      <w:proofErr w:type="spellStart"/>
      <w:r w:rsidR="008E7877">
        <w:rPr>
          <w:rFonts w:ascii="Times New Roman" w:eastAsia="Times New Roman" w:hAnsi="Times New Roman" w:cs="Times New Roman"/>
        </w:rPr>
        <w:t>end­user</w:t>
      </w:r>
      <w:proofErr w:type="spellEnd"/>
      <w:r w:rsidR="008E7877">
        <w:rPr>
          <w:rFonts w:ascii="Times New Roman" w:eastAsia="Times New Roman" w:hAnsi="Times New Roman" w:cs="Times New Roman"/>
        </w:rPr>
        <w:t>-</w:t>
      </w:r>
      <w:r w:rsidRPr="003059B2">
        <w:rPr>
          <w:rFonts w:ascii="Times New Roman" w:eastAsia="Times New Roman" w:hAnsi="Times New Roman" w:cs="Times New Roman"/>
        </w:rPr>
        <w:t xml:space="preserve">computing environments. </w:t>
      </w:r>
    </w:p>
    <w:p w:rsidR="008E7877" w:rsidRDefault="008E7877" w:rsidP="003059B2">
      <w:pPr>
        <w:rPr>
          <w:rFonts w:ascii="Times New Roman" w:eastAsia="Times New Roman" w:hAnsi="Times New Roman" w:cs="Times New Roman"/>
        </w:rPr>
      </w:pPr>
    </w:p>
    <w:p w:rsidR="008E7877" w:rsidRDefault="003059B2" w:rsidP="003059B2">
      <w:pPr>
        <w:rPr>
          <w:rFonts w:ascii="Times New Roman" w:eastAsia="Times New Roman" w:hAnsi="Times New Roman" w:cs="Times New Roman"/>
        </w:rPr>
      </w:pPr>
      <w:r w:rsidRPr="003059B2">
        <w:rPr>
          <w:rFonts w:ascii="Times New Roman" w:eastAsia="Times New Roman" w:hAnsi="Times New Roman" w:cs="Times New Roman"/>
        </w:rPr>
        <w:t>C</w:t>
      </w:r>
      <w:r w:rsidR="008E7877">
        <w:rPr>
          <w:rFonts w:ascii="Times New Roman" w:eastAsia="Times New Roman" w:hAnsi="Times New Roman" w:cs="Times New Roman"/>
        </w:rPr>
        <w:t xml:space="preserve">MT </w:t>
      </w:r>
      <w:r w:rsidRPr="003059B2">
        <w:rPr>
          <w:rFonts w:ascii="Times New Roman" w:eastAsia="Times New Roman" w:hAnsi="Times New Roman" w:cs="Times New Roman"/>
        </w:rPr>
        <w:t xml:space="preserve">continues to evolve </w:t>
      </w:r>
      <w:r w:rsidR="008E7877">
        <w:rPr>
          <w:rFonts w:ascii="Times New Roman" w:eastAsia="Times New Roman" w:hAnsi="Times New Roman" w:cs="Times New Roman"/>
        </w:rPr>
        <w:t>most dynamically and, hence, we keep you ahead of time. While t</w:t>
      </w:r>
      <w:r w:rsidRPr="003059B2">
        <w:rPr>
          <w:rFonts w:ascii="Times New Roman" w:eastAsia="Times New Roman" w:hAnsi="Times New Roman" w:cs="Times New Roman"/>
        </w:rPr>
        <w:t xml:space="preserve">he core requirements ofinventory, software distribution, OS deployment and patch </w:t>
      </w:r>
      <w:r w:rsidR="008E7877">
        <w:rPr>
          <w:rFonts w:ascii="Times New Roman" w:eastAsia="Times New Roman" w:hAnsi="Times New Roman" w:cs="Times New Roman"/>
        </w:rPr>
        <w:t xml:space="preserve">management remain constant, the differentiator is the simplified </w:t>
      </w:r>
      <w:proofErr w:type="spellStart"/>
      <w:r w:rsidR="008E7877">
        <w:rPr>
          <w:rFonts w:ascii="Times New Roman" w:eastAsia="Times New Roman" w:hAnsi="Times New Roman" w:cs="Times New Roman"/>
        </w:rPr>
        <w:t>s</w:t>
      </w:r>
      <w:r w:rsidRPr="003059B2">
        <w:rPr>
          <w:rFonts w:ascii="Times New Roman" w:eastAsia="Times New Roman" w:hAnsi="Times New Roman" w:cs="Times New Roman"/>
        </w:rPr>
        <w:t>elf­service</w:t>
      </w:r>
      <w:proofErr w:type="spellEnd"/>
      <w:r w:rsidR="008E7877">
        <w:rPr>
          <w:rFonts w:ascii="Times New Roman" w:eastAsia="Times New Roman" w:hAnsi="Times New Roman" w:cs="Times New Roman"/>
        </w:rPr>
        <w:t xml:space="preserve"> capabilities. With CMT as a service – our </w:t>
      </w:r>
      <w:r w:rsidR="00C82293">
        <w:rPr>
          <w:rFonts w:ascii="Times New Roman" w:eastAsia="Times New Roman" w:hAnsi="Times New Roman" w:cs="Times New Roman"/>
        </w:rPr>
        <w:t xml:space="preserve">customers </w:t>
      </w:r>
      <w:r w:rsidRPr="003059B2">
        <w:rPr>
          <w:rFonts w:ascii="Times New Roman" w:eastAsia="Times New Roman" w:hAnsi="Times New Roman" w:cs="Times New Roman"/>
        </w:rPr>
        <w:t xml:space="preserve">see </w:t>
      </w:r>
      <w:proofErr w:type="spellStart"/>
      <w:r w:rsidRPr="003059B2">
        <w:rPr>
          <w:rFonts w:ascii="Times New Roman" w:eastAsia="Times New Roman" w:hAnsi="Times New Roman" w:cs="Times New Roman"/>
        </w:rPr>
        <w:t>self­service</w:t>
      </w:r>
      <w:proofErr w:type="spellEnd"/>
      <w:r w:rsidRPr="003059B2">
        <w:rPr>
          <w:rFonts w:ascii="Times New Roman" w:eastAsia="Times New Roman" w:hAnsi="Times New Roman" w:cs="Times New Roman"/>
        </w:rPr>
        <w:t xml:space="preserve"> as a way to enhance the management experience for the user, improve theefficiency in which software is distributed and potentially help save money on software licenses.</w:t>
      </w:r>
      <w:r w:rsidR="008E7877">
        <w:rPr>
          <w:rFonts w:ascii="Times New Roman" w:eastAsia="Times New Roman" w:hAnsi="Times New Roman" w:cs="Times New Roman"/>
        </w:rPr>
        <w:t xml:space="preserve">However, for the customer, it is very important to choose the right tooling service and </w:t>
      </w:r>
      <w:r w:rsidR="00C82293">
        <w:rPr>
          <w:rFonts w:ascii="Times New Roman" w:eastAsia="Times New Roman" w:hAnsi="Times New Roman" w:cs="Times New Roman"/>
        </w:rPr>
        <w:t xml:space="preserve">ensure seamless deployment. </w:t>
      </w:r>
    </w:p>
    <w:p w:rsidR="00C82293" w:rsidRDefault="00C82293" w:rsidP="003059B2">
      <w:pPr>
        <w:rPr>
          <w:rFonts w:ascii="Times New Roman" w:eastAsia="Times New Roman" w:hAnsi="Times New Roman" w:cs="Times New Roman"/>
        </w:rPr>
      </w:pPr>
    </w:p>
    <w:p w:rsidR="00501E62" w:rsidRDefault="00C82293" w:rsidP="00C82293">
      <w:pPr>
        <w:rPr>
          <w:rFonts w:ascii="Times New Roman" w:eastAsia="Times New Roman" w:hAnsi="Times New Roman" w:cs="Times New Roman"/>
        </w:rPr>
      </w:pPr>
      <w:r>
        <w:rPr>
          <w:rFonts w:ascii="Times New Roman" w:eastAsia="Times New Roman" w:hAnsi="Times New Roman" w:cs="Times New Roman"/>
        </w:rPr>
        <w:t xml:space="preserve">CMT could be on-premise or as </w:t>
      </w:r>
      <w:proofErr w:type="spellStart"/>
      <w:r>
        <w:rPr>
          <w:rFonts w:ascii="Times New Roman" w:eastAsia="Times New Roman" w:hAnsi="Times New Roman" w:cs="Times New Roman"/>
        </w:rPr>
        <w:t>SaaS</w:t>
      </w:r>
      <w:proofErr w:type="spellEnd"/>
      <w:r>
        <w:rPr>
          <w:rFonts w:ascii="Times New Roman" w:eastAsia="Times New Roman" w:hAnsi="Times New Roman" w:cs="Times New Roman"/>
        </w:rPr>
        <w:t xml:space="preserve">, though Gartner, too believes that </w:t>
      </w:r>
      <w:r w:rsidRPr="00C82293">
        <w:rPr>
          <w:rFonts w:ascii="Times New Roman" w:eastAsia="Times New Roman" w:hAnsi="Times New Roman" w:cs="Times New Roman"/>
        </w:rPr>
        <w:t>the future state of client management will be a hybrid of on</w:t>
      </w:r>
      <w:r>
        <w:rPr>
          <w:rFonts w:ascii="Times New Roman" w:eastAsia="Times New Roman" w:hAnsi="Times New Roman" w:cs="Times New Roman"/>
        </w:rPr>
        <w:t>-</w:t>
      </w:r>
      <w:r w:rsidRPr="00C82293">
        <w:rPr>
          <w:rFonts w:ascii="Times New Roman" w:eastAsia="Times New Roman" w:hAnsi="Times New Roman" w:cs="Times New Roman"/>
        </w:rPr>
        <w:t>premises</w:t>
      </w:r>
      <w:r>
        <w:rPr>
          <w:rFonts w:ascii="Times New Roman" w:eastAsia="Times New Roman" w:hAnsi="Times New Roman" w:cs="Times New Roman"/>
        </w:rPr>
        <w:t xml:space="preserve"> and SaaS </w:t>
      </w:r>
      <w:r w:rsidRPr="00C82293">
        <w:rPr>
          <w:rFonts w:ascii="Times New Roman" w:eastAsia="Times New Roman" w:hAnsi="Times New Roman" w:cs="Times New Roman"/>
        </w:rPr>
        <w:t>functionality.</w:t>
      </w:r>
      <w:r w:rsidR="00501E62">
        <w:rPr>
          <w:rFonts w:ascii="Times New Roman" w:eastAsia="Times New Roman" w:hAnsi="Times New Roman" w:cs="Times New Roman"/>
        </w:rPr>
        <w:t xml:space="preserve">Since, multiple computing devises most of which would be mobile is the growing trend, hence we now are forced to focus on user management and not just device management. This brings in People (the User) into the charter of CMT. We give the flexibility to customers to choose the right CMT as service </w:t>
      </w:r>
      <w:r w:rsidR="00B50D8F">
        <w:rPr>
          <w:rFonts w:ascii="Times New Roman" w:eastAsia="Times New Roman" w:hAnsi="Times New Roman" w:cs="Times New Roman"/>
        </w:rPr>
        <w:t xml:space="preserve">based on their experience from a real-time </w:t>
      </w:r>
      <w:r w:rsidR="00501E62">
        <w:rPr>
          <w:rFonts w:ascii="Times New Roman" w:eastAsia="Times New Roman" w:hAnsi="Times New Roman" w:cs="Times New Roman"/>
        </w:rPr>
        <w:t>Proof of Concept</w:t>
      </w:r>
      <w:r w:rsidR="00B50D8F">
        <w:rPr>
          <w:rFonts w:ascii="Times New Roman" w:eastAsia="Times New Roman" w:hAnsi="Times New Roman" w:cs="Times New Roman"/>
        </w:rPr>
        <w:t xml:space="preserve">. </w:t>
      </w:r>
    </w:p>
    <w:p w:rsidR="00501E62" w:rsidRDefault="00501E62" w:rsidP="00C82293">
      <w:pPr>
        <w:rPr>
          <w:rFonts w:ascii="Times New Roman" w:eastAsia="Times New Roman" w:hAnsi="Times New Roman" w:cs="Times New Roman"/>
        </w:rPr>
      </w:pPr>
    </w:p>
    <w:p w:rsidR="00533DE2" w:rsidRDefault="00533DE2" w:rsidP="0005431E">
      <w:pPr>
        <w:rPr>
          <w:rFonts w:ascii="Times New Roman" w:eastAsia="Times New Roman" w:hAnsi="Times New Roman" w:cs="Times New Roman"/>
        </w:rPr>
      </w:pPr>
    </w:p>
    <w:p w:rsidR="000C783E" w:rsidRPr="000C783E" w:rsidRDefault="000C783E" w:rsidP="000C783E"/>
    <w:p w:rsidR="00045AC3" w:rsidRDefault="00045AC3"/>
    <w:p w:rsidR="00045AC3" w:rsidRDefault="00933C29">
      <w:r>
        <w:rPr>
          <w:noProof/>
        </w:rPr>
        <w:drawing>
          <wp:inline distT="0" distB="0" distL="0" distR="0">
            <wp:extent cx="5724525" cy="50577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24525" cy="5057775"/>
                    </a:xfrm>
                    <a:prstGeom prst="rect">
                      <a:avLst/>
                    </a:prstGeom>
                    <a:noFill/>
                    <a:ln w="9525">
                      <a:noFill/>
                      <a:miter lim="800000"/>
                      <a:headEnd/>
                      <a:tailEnd/>
                    </a:ln>
                  </pic:spPr>
                </pic:pic>
              </a:graphicData>
            </a:graphic>
          </wp:inline>
        </w:drawing>
      </w:r>
    </w:p>
    <w:p w:rsidR="00E9458F" w:rsidRDefault="00E9458F"/>
    <w:p w:rsidR="00E9458F" w:rsidRDefault="00E9458F"/>
    <w:p w:rsidR="00E9458F" w:rsidRDefault="00933C29">
      <w:r>
        <w:rPr>
          <w:noProof/>
        </w:rPr>
        <w:lastRenderedPageBreak/>
        <w:drawing>
          <wp:inline distT="0" distB="0" distL="0" distR="0">
            <wp:extent cx="5724525" cy="3248025"/>
            <wp:effectExtent l="1905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724525" cy="3248025"/>
                    </a:xfrm>
                    <a:prstGeom prst="rect">
                      <a:avLst/>
                    </a:prstGeom>
                    <a:noFill/>
                    <a:ln w="9525">
                      <a:noFill/>
                      <a:miter lim="800000"/>
                      <a:headEnd/>
                      <a:tailEnd/>
                    </a:ln>
                  </pic:spPr>
                </pic:pic>
              </a:graphicData>
            </a:graphic>
          </wp:inline>
        </w:drawing>
      </w:r>
    </w:p>
    <w:p w:rsidR="007440CE" w:rsidRDefault="007440CE"/>
    <w:p w:rsidR="007440CE" w:rsidRDefault="00933C29">
      <w:r>
        <w:rPr>
          <w:noProof/>
        </w:rPr>
        <w:drawing>
          <wp:inline distT="0" distB="0" distL="0" distR="0">
            <wp:extent cx="5725160" cy="4182110"/>
            <wp:effectExtent l="19050" t="0" r="889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725160" cy="4182110"/>
                    </a:xfrm>
                    <a:prstGeom prst="rect">
                      <a:avLst/>
                    </a:prstGeom>
                    <a:noFill/>
                    <a:ln w="9525">
                      <a:noFill/>
                      <a:miter lim="800000"/>
                      <a:headEnd/>
                      <a:tailEnd/>
                    </a:ln>
                  </pic:spPr>
                </pic:pic>
              </a:graphicData>
            </a:graphic>
          </wp:inline>
        </w:drawing>
      </w:r>
    </w:p>
    <w:sectPr w:rsidR="007440CE" w:rsidSect="00F3706E">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D7F30"/>
    <w:multiLevelType w:val="hybridMultilevel"/>
    <w:tmpl w:val="E5C4161E"/>
    <w:lvl w:ilvl="0" w:tplc="FE7ED8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D54636"/>
    <w:multiLevelType w:val="hybridMultilevel"/>
    <w:tmpl w:val="5EEC1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45AC3"/>
    <w:rsid w:val="00045AC3"/>
    <w:rsid w:val="0005431E"/>
    <w:rsid w:val="00074AA7"/>
    <w:rsid w:val="00076AD1"/>
    <w:rsid w:val="00077806"/>
    <w:rsid w:val="00092063"/>
    <w:rsid w:val="000C783E"/>
    <w:rsid w:val="00187A8E"/>
    <w:rsid w:val="001B11B8"/>
    <w:rsid w:val="001C7358"/>
    <w:rsid w:val="002B44B2"/>
    <w:rsid w:val="002D37EE"/>
    <w:rsid w:val="003059B2"/>
    <w:rsid w:val="0032517C"/>
    <w:rsid w:val="003C3E4D"/>
    <w:rsid w:val="0041508F"/>
    <w:rsid w:val="00420310"/>
    <w:rsid w:val="004A3A16"/>
    <w:rsid w:val="004C79DE"/>
    <w:rsid w:val="00501E62"/>
    <w:rsid w:val="0050755D"/>
    <w:rsid w:val="00533DE2"/>
    <w:rsid w:val="00545CFF"/>
    <w:rsid w:val="005744A2"/>
    <w:rsid w:val="005B5491"/>
    <w:rsid w:val="006C52B0"/>
    <w:rsid w:val="006E2E70"/>
    <w:rsid w:val="00703CD5"/>
    <w:rsid w:val="00743930"/>
    <w:rsid w:val="007440CE"/>
    <w:rsid w:val="007F476D"/>
    <w:rsid w:val="008C5EE7"/>
    <w:rsid w:val="008E7877"/>
    <w:rsid w:val="00921FAA"/>
    <w:rsid w:val="00933C29"/>
    <w:rsid w:val="009759DF"/>
    <w:rsid w:val="009E2DEE"/>
    <w:rsid w:val="00A3447C"/>
    <w:rsid w:val="00B50D8F"/>
    <w:rsid w:val="00B6431D"/>
    <w:rsid w:val="00BF49D3"/>
    <w:rsid w:val="00C71193"/>
    <w:rsid w:val="00C82293"/>
    <w:rsid w:val="00D26F8B"/>
    <w:rsid w:val="00D43CF0"/>
    <w:rsid w:val="00D46A4F"/>
    <w:rsid w:val="00D663E5"/>
    <w:rsid w:val="00DA3014"/>
    <w:rsid w:val="00E301E9"/>
    <w:rsid w:val="00E9458F"/>
    <w:rsid w:val="00E9631C"/>
    <w:rsid w:val="00F3706E"/>
    <w:rsid w:val="00F62F20"/>
    <w:rsid w:val="00F929B6"/>
    <w:rsid w:val="00FC0303"/>
    <w:rsid w:val="00FF7C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9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59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44A2"/>
    <w:pPr>
      <w:ind w:left="720"/>
      <w:contextualSpacing/>
    </w:pPr>
  </w:style>
  <w:style w:type="paragraph" w:styleId="BalloonText">
    <w:name w:val="Balloon Text"/>
    <w:basedOn w:val="Normal"/>
    <w:link w:val="BalloonTextChar"/>
    <w:uiPriority w:val="99"/>
    <w:semiHidden/>
    <w:unhideWhenUsed/>
    <w:rsid w:val="00933C29"/>
    <w:rPr>
      <w:rFonts w:ascii="Tahoma" w:hAnsi="Tahoma" w:cs="Tahoma"/>
      <w:sz w:val="16"/>
      <w:szCs w:val="16"/>
    </w:rPr>
  </w:style>
  <w:style w:type="character" w:customStyle="1" w:styleId="BalloonTextChar">
    <w:name w:val="Balloon Text Char"/>
    <w:basedOn w:val="DefaultParagraphFont"/>
    <w:link w:val="BalloonText"/>
    <w:uiPriority w:val="99"/>
    <w:semiHidden/>
    <w:rsid w:val="00933C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2481714">
      <w:bodyDiv w:val="1"/>
      <w:marLeft w:val="0"/>
      <w:marRight w:val="0"/>
      <w:marTop w:val="0"/>
      <w:marBottom w:val="0"/>
      <w:divBdr>
        <w:top w:val="none" w:sz="0" w:space="0" w:color="auto"/>
        <w:left w:val="none" w:sz="0" w:space="0" w:color="auto"/>
        <w:bottom w:val="none" w:sz="0" w:space="0" w:color="auto"/>
        <w:right w:val="none" w:sz="0" w:space="0" w:color="auto"/>
      </w:divBdr>
    </w:div>
    <w:div w:id="859320360">
      <w:bodyDiv w:val="1"/>
      <w:marLeft w:val="0"/>
      <w:marRight w:val="0"/>
      <w:marTop w:val="0"/>
      <w:marBottom w:val="0"/>
      <w:divBdr>
        <w:top w:val="none" w:sz="0" w:space="0" w:color="auto"/>
        <w:left w:val="none" w:sz="0" w:space="0" w:color="auto"/>
        <w:bottom w:val="none" w:sz="0" w:space="0" w:color="auto"/>
        <w:right w:val="none" w:sz="0" w:space="0" w:color="auto"/>
      </w:divBdr>
    </w:div>
    <w:div w:id="1028992751">
      <w:bodyDiv w:val="1"/>
      <w:marLeft w:val="0"/>
      <w:marRight w:val="0"/>
      <w:marTop w:val="0"/>
      <w:marBottom w:val="0"/>
      <w:divBdr>
        <w:top w:val="none" w:sz="0" w:space="0" w:color="auto"/>
        <w:left w:val="none" w:sz="0" w:space="0" w:color="auto"/>
        <w:bottom w:val="none" w:sz="0" w:space="0" w:color="auto"/>
        <w:right w:val="none" w:sz="0" w:space="0" w:color="auto"/>
      </w:divBdr>
    </w:div>
    <w:div w:id="1378235450">
      <w:bodyDiv w:val="1"/>
      <w:marLeft w:val="0"/>
      <w:marRight w:val="0"/>
      <w:marTop w:val="0"/>
      <w:marBottom w:val="0"/>
      <w:divBdr>
        <w:top w:val="none" w:sz="0" w:space="0" w:color="auto"/>
        <w:left w:val="none" w:sz="0" w:space="0" w:color="auto"/>
        <w:bottom w:val="none" w:sz="0" w:space="0" w:color="auto"/>
        <w:right w:val="none" w:sz="0" w:space="0" w:color="auto"/>
      </w:divBdr>
    </w:div>
    <w:div w:id="1484740162">
      <w:bodyDiv w:val="1"/>
      <w:marLeft w:val="0"/>
      <w:marRight w:val="0"/>
      <w:marTop w:val="0"/>
      <w:marBottom w:val="0"/>
      <w:divBdr>
        <w:top w:val="none" w:sz="0" w:space="0" w:color="auto"/>
        <w:left w:val="none" w:sz="0" w:space="0" w:color="auto"/>
        <w:bottom w:val="none" w:sz="0" w:space="0" w:color="auto"/>
        <w:right w:val="none" w:sz="0" w:space="0" w:color="auto"/>
      </w:divBdr>
    </w:div>
    <w:div w:id="1536041949">
      <w:bodyDiv w:val="1"/>
      <w:marLeft w:val="0"/>
      <w:marRight w:val="0"/>
      <w:marTop w:val="0"/>
      <w:marBottom w:val="0"/>
      <w:divBdr>
        <w:top w:val="none" w:sz="0" w:space="0" w:color="auto"/>
        <w:left w:val="none" w:sz="0" w:space="0" w:color="auto"/>
        <w:bottom w:val="none" w:sz="0" w:space="0" w:color="auto"/>
        <w:right w:val="none" w:sz="0" w:space="0" w:color="auto"/>
      </w:divBdr>
    </w:div>
    <w:div w:id="20511029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5</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supratik chandra</dc:creator>
  <cp:keywords/>
  <dc:description/>
  <cp:lastModifiedBy>Armaan</cp:lastModifiedBy>
  <cp:revision>14</cp:revision>
  <cp:lastPrinted>2016-03-21T09:16:00Z</cp:lastPrinted>
  <dcterms:created xsi:type="dcterms:W3CDTF">2016-03-17T07:41:00Z</dcterms:created>
  <dcterms:modified xsi:type="dcterms:W3CDTF">2016-04-08T04:44:00Z</dcterms:modified>
</cp:coreProperties>
</file>