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Cómo se aplican los sistemas ciberfisicos en la ingeniería industrial?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Para que los sistemas ciberfísicos puedan aportar valor a los procesos de fabricación, existen cuatro pasos que deben considerarse a la hora de implementarlos: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Conexión: la fuente principal para una fábrica inteligente son los datos generados. Es esencial contar con una fábrica hiperconectada e intensiva en datos, basada en una red 5G 100% segura de grado industrial.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Nivel cibernético: deben implementarse de forma estudiada objetos interconectados que, a través de algoritmos, procesen los datos y los conviertan en información.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Cognición: las señales de la máquina deben ser procesadas para convertirlas en información y poder comparar esta información con otros resultados. En este nivel, la máquina monitorea y diagnostica sus propios fallos, tomando conciencia de los potenciales problemas.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Configuración: las máquinas adaptan el funcionamiento en base a la información. Pueden modificar su funcionamiento en función de las cargas de trabajo o su mal funcionamiento.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7312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5"/>
          <w:szCs w:val="25"/>
          <w:rtl w:val="0"/>
        </w:rPr>
        <w:t xml:space="preserve">NexusAdmistraIntegra. (2021, 28 diciembre).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5"/>
          <w:szCs w:val="25"/>
          <w:rtl w:val="0"/>
        </w:rPr>
        <w:t xml:space="preserve">¿Cómo implementar sistemas ciberfísicos?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5"/>
          <w:szCs w:val="25"/>
          <w:rtl w:val="0"/>
        </w:rPr>
        <w:t xml:space="preserve"> Nexus Integra. https://nexusintegra.io/es/implementar-sistemas-ciberfisicos/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