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CC7A8" w14:textId="0953B435" w:rsidR="00332CFE" w:rsidRDefault="00E04EE0" w:rsidP="00332CFE">
      <w:r>
        <w:rPr>
          <w:rFonts w:hint="eastAsia"/>
        </w:rPr>
        <w:t xml:space="preserve">Singapore company name: </w:t>
      </w:r>
      <w:r w:rsidR="00332CFE" w:rsidRPr="00E04EE0">
        <w:rPr>
          <w:rFonts w:hint="eastAsia"/>
        </w:rPr>
        <w:t>STR</w:t>
      </w:r>
      <w:r>
        <w:rPr>
          <w:rFonts w:hint="eastAsia"/>
        </w:rPr>
        <w:t xml:space="preserve"> Technologies</w:t>
      </w:r>
    </w:p>
    <w:p w14:paraId="5A674253" w14:textId="1753C058" w:rsidR="00183F49" w:rsidRDefault="00183F49" w:rsidP="00332CFE">
      <w:r>
        <w:t>D</w:t>
      </w:r>
      <w:r>
        <w:rPr>
          <w:rFonts w:hint="eastAsia"/>
        </w:rPr>
        <w:t>omain: STRSG.com</w:t>
      </w:r>
    </w:p>
    <w:p w14:paraId="6B8BABE4" w14:textId="526CABD4" w:rsidR="00E04EE0" w:rsidRDefault="00E04EE0" w:rsidP="00332CFE">
      <w:r>
        <w:t>I</w:t>
      </w:r>
      <w:r>
        <w:rPr>
          <w:rFonts w:hint="eastAsia"/>
        </w:rPr>
        <w:t xml:space="preserve">t </w:t>
      </w:r>
      <w:r w:rsidR="00581114">
        <w:rPr>
          <w:rFonts w:hint="eastAsia"/>
        </w:rPr>
        <w:t xml:space="preserve">serves </w:t>
      </w:r>
      <w:r w:rsidR="00356FFB">
        <w:rPr>
          <w:rFonts w:hint="eastAsia"/>
        </w:rPr>
        <w:t xml:space="preserve">as the </w:t>
      </w:r>
      <w:r w:rsidR="00356FFB">
        <w:t>international</w:t>
      </w:r>
      <w:r w:rsidR="00581114">
        <w:rPr>
          <w:rFonts w:hint="eastAsia"/>
        </w:rPr>
        <w:t xml:space="preserve"> hub for API and adjuvant product</w:t>
      </w:r>
      <w:r w:rsidR="0028478E">
        <w:rPr>
          <w:rFonts w:hint="eastAsia"/>
        </w:rPr>
        <w:t>s</w:t>
      </w:r>
      <w:r w:rsidR="00356FFB">
        <w:rPr>
          <w:rFonts w:hint="eastAsia"/>
        </w:rPr>
        <w:t xml:space="preserve"> from BDyn Bio (China)</w:t>
      </w:r>
    </w:p>
    <w:p w14:paraId="7ACE0A86" w14:textId="04D6CBE9" w:rsidR="00DA048C" w:rsidRDefault="00DA048C" w:rsidP="00332CFE">
      <w:pPr>
        <w:rPr>
          <w:rFonts w:hint="eastAsia"/>
        </w:rPr>
      </w:pPr>
      <w:r>
        <w:t>W</w:t>
      </w:r>
      <w:r>
        <w:rPr>
          <w:rFonts w:hint="eastAsia"/>
        </w:rPr>
        <w:t xml:space="preserve">ebsite/shop target audience: </w:t>
      </w:r>
      <w:r w:rsidR="00817C28">
        <w:rPr>
          <w:rFonts w:hint="eastAsia"/>
        </w:rPr>
        <w:t xml:space="preserve">biotech </w:t>
      </w:r>
      <w:r>
        <w:rPr>
          <w:rFonts w:hint="eastAsia"/>
        </w:rPr>
        <w:t>research communi</w:t>
      </w:r>
      <w:r w:rsidR="00817C28">
        <w:rPr>
          <w:rFonts w:hint="eastAsia"/>
        </w:rPr>
        <w:t xml:space="preserve">ty </w:t>
      </w:r>
    </w:p>
    <w:p w14:paraId="5BEA1758" w14:textId="100CCDB9" w:rsidR="00BE114A" w:rsidRPr="00356FFB" w:rsidRDefault="00BE114A" w:rsidP="00332CFE">
      <w:pPr>
        <w:rPr>
          <w:rFonts w:hint="eastAsia"/>
        </w:rPr>
      </w:pPr>
      <w:r>
        <w:t>A</w:t>
      </w:r>
      <w:r>
        <w:rPr>
          <w:rFonts w:hint="eastAsia"/>
        </w:rPr>
        <w:t xml:space="preserve"> reference site: </w:t>
      </w:r>
      <w:r w:rsidR="00DA048C" w:rsidRPr="00DA048C">
        <w:t>https://www.invivogen.com/vaccine-adjuvants</w:t>
      </w:r>
    </w:p>
    <w:p w14:paraId="537A4F8F" w14:textId="77777777" w:rsidR="00332CFE" w:rsidRDefault="00332CFE" w:rsidP="00C02EA0">
      <w:pPr>
        <w:jc w:val="center"/>
        <w:rPr>
          <w:u w:val="single"/>
        </w:rPr>
      </w:pPr>
    </w:p>
    <w:p w14:paraId="7DA56356" w14:textId="6B346101" w:rsidR="00C02EA0" w:rsidRPr="00C02EA0" w:rsidRDefault="00C02EA0" w:rsidP="00C02EA0">
      <w:pPr>
        <w:jc w:val="center"/>
        <w:rPr>
          <w:u w:val="single"/>
        </w:rPr>
      </w:pPr>
      <w:r w:rsidRPr="00C02EA0">
        <w:rPr>
          <w:u w:val="single"/>
        </w:rPr>
        <w:t xml:space="preserve">Introduction to </w:t>
      </w:r>
      <w:r w:rsidR="00B426A0">
        <w:rPr>
          <w:rFonts w:hint="eastAsia"/>
          <w:u w:val="single"/>
        </w:rPr>
        <w:t>Sy</w:t>
      </w:r>
      <w:r w:rsidR="009E1248">
        <w:rPr>
          <w:u w:val="single"/>
        </w:rPr>
        <w:t>nthetic Adjuvan</w:t>
      </w:r>
      <w:r w:rsidR="009E1248">
        <w:rPr>
          <w:rFonts w:hint="eastAsia"/>
          <w:u w:val="single"/>
        </w:rPr>
        <w:t xml:space="preserve">ts from </w:t>
      </w:r>
      <w:r w:rsidRPr="00C02EA0">
        <w:rPr>
          <w:u w:val="single"/>
        </w:rPr>
        <w:t>BDSyn</w:t>
      </w:r>
      <w:r w:rsidR="00E02534">
        <w:rPr>
          <w:rFonts w:hint="eastAsia"/>
          <w:u w:val="single"/>
        </w:rPr>
        <w:t xml:space="preserve"> </w:t>
      </w:r>
      <w:r w:rsidRPr="00C02EA0">
        <w:rPr>
          <w:u w:val="single"/>
        </w:rPr>
        <w:t>Bio</w:t>
      </w:r>
    </w:p>
    <w:p w14:paraId="4CE0D98B" w14:textId="77777777" w:rsidR="00C02EA0" w:rsidRPr="00C02EA0" w:rsidRDefault="00C02EA0" w:rsidP="00C02EA0">
      <w:pPr>
        <w:jc w:val="both"/>
        <w:rPr>
          <w:u w:val="single"/>
        </w:rPr>
      </w:pPr>
    </w:p>
    <w:p w14:paraId="69069AB6" w14:textId="77777777" w:rsidR="00C02EA0" w:rsidRPr="00C02EA0" w:rsidRDefault="00C02EA0" w:rsidP="00C02EA0">
      <w:pPr>
        <w:jc w:val="center"/>
        <w:rPr>
          <w:u w:val="single"/>
        </w:rPr>
      </w:pPr>
      <w:r w:rsidRPr="00C02EA0">
        <w:rPr>
          <w:u w:val="single"/>
        </w:rPr>
        <w:t>QS-21-Api</w:t>
      </w:r>
    </w:p>
    <w:p w14:paraId="6BFD3AC6" w14:textId="3D1FA302" w:rsidR="00C02EA0" w:rsidRDefault="00DF2658" w:rsidP="00DF2658">
      <w:pPr>
        <w:jc w:val="center"/>
        <w:rPr>
          <w:u w:val="single"/>
        </w:rPr>
      </w:pPr>
      <w:r>
        <w:rPr>
          <w:rFonts w:ascii="Times New Roman" w:eastAsia="DengXian" w:hAnsi="Times New Roman" w:cs="Times New Roman"/>
          <w:sz w:val="24"/>
          <w:szCs w:val="24"/>
        </w:rPr>
        <w:object w:dxaOrig="4654" w:dyaOrig="2181" w14:anchorId="33CC3B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2.5pt;height:109pt" o:ole="">
            <v:imagedata r:id="rId7" o:title=""/>
          </v:shape>
          <o:OLEObject Type="Embed" ProgID="Unknown" ShapeID="_x0000_i1025" DrawAspect="Content" ObjectID="_1827057912" r:id="rId8"/>
        </w:object>
      </w:r>
    </w:p>
    <w:p w14:paraId="520138A2" w14:textId="77777777" w:rsidR="00C02EA0" w:rsidRDefault="00C02EA0" w:rsidP="00052646">
      <w:pPr>
        <w:jc w:val="both"/>
        <w:rPr>
          <w:u w:val="single"/>
        </w:rPr>
      </w:pPr>
    </w:p>
    <w:p w14:paraId="074024CC" w14:textId="77777777" w:rsidR="00D1595E" w:rsidRDefault="00D1595E" w:rsidP="00052646">
      <w:pPr>
        <w:jc w:val="both"/>
      </w:pPr>
    </w:p>
    <w:p w14:paraId="7F2A9B68" w14:textId="77777777" w:rsidR="005C74A5" w:rsidRDefault="005C74A5" w:rsidP="00052646">
      <w:pPr>
        <w:jc w:val="both"/>
      </w:pPr>
    </w:p>
    <w:p w14:paraId="412E2FCA" w14:textId="01737E2E" w:rsidR="00C4746E" w:rsidRDefault="00C4746E" w:rsidP="00052646">
      <w:pPr>
        <w:jc w:val="both"/>
      </w:pPr>
      <w:r w:rsidRPr="002723A4">
        <w:t>QS-21 is a potent vaccine adjuvant and</w:t>
      </w:r>
      <w:r w:rsidR="00E95A6A">
        <w:rPr>
          <w:rFonts w:hint="eastAsia"/>
        </w:rPr>
        <w:t xml:space="preserve"> </w:t>
      </w:r>
      <w:r w:rsidR="00F71375">
        <w:rPr>
          <w:rFonts w:hint="eastAsia"/>
        </w:rPr>
        <w:t>critical</w:t>
      </w:r>
      <w:r w:rsidRPr="002723A4">
        <w:t xml:space="preserve"> </w:t>
      </w:r>
      <w:r w:rsidR="002C4E67">
        <w:rPr>
          <w:rFonts w:hint="eastAsia"/>
        </w:rPr>
        <w:t xml:space="preserve">to the </w:t>
      </w:r>
      <w:r w:rsidR="002C4E67">
        <w:t>success</w:t>
      </w:r>
      <w:r w:rsidR="002C4E67">
        <w:rPr>
          <w:rFonts w:hint="eastAsia"/>
        </w:rPr>
        <w:t xml:space="preserve"> of </w:t>
      </w:r>
      <w:r w:rsidRPr="002723A4">
        <w:t xml:space="preserve">several </w:t>
      </w:r>
      <w:r w:rsidR="00AD0B89">
        <w:rPr>
          <w:rFonts w:hint="eastAsia"/>
        </w:rPr>
        <w:t xml:space="preserve">important </w:t>
      </w:r>
      <w:r w:rsidRPr="002723A4">
        <w:t>vaccines</w:t>
      </w:r>
      <w:r w:rsidR="00F71375">
        <w:t>, including</w:t>
      </w:r>
      <w:r w:rsidR="002D3DE1" w:rsidRPr="002D3DE1">
        <w:t xml:space="preserve"> </w:t>
      </w:r>
      <w:r w:rsidR="00F71375">
        <w:rPr>
          <w:rFonts w:hint="eastAsia"/>
        </w:rPr>
        <w:t>M</w:t>
      </w:r>
      <w:r w:rsidR="00F71375" w:rsidRPr="00F71375">
        <w:t>osquirix</w:t>
      </w:r>
      <w:r w:rsidR="00F71375">
        <w:t>®</w:t>
      </w:r>
      <w:r w:rsidR="00F71375">
        <w:rPr>
          <w:rFonts w:hint="eastAsia"/>
        </w:rPr>
        <w:t xml:space="preserve">, </w:t>
      </w:r>
      <w:r w:rsidR="002D3DE1" w:rsidRPr="002D3DE1">
        <w:t>Shingrix</w:t>
      </w:r>
      <w:r w:rsidR="00F71375">
        <w:t>®</w:t>
      </w:r>
      <w:r w:rsidR="002D3DE1" w:rsidRPr="002D3DE1">
        <w:t xml:space="preserve"> and Covovax</w:t>
      </w:r>
      <w:r w:rsidR="00F71375">
        <w:t>®</w:t>
      </w:r>
      <w:r w:rsidRPr="002723A4">
        <w:t>.</w:t>
      </w:r>
      <w:r w:rsidR="007415F6">
        <w:rPr>
          <w:rFonts w:hint="eastAsia"/>
        </w:rPr>
        <w:t xml:space="preserve"> </w:t>
      </w:r>
      <w:r w:rsidR="007415F6" w:rsidRPr="00EB15E0">
        <w:t>Traditionally</w:t>
      </w:r>
      <w:r w:rsidR="00052646">
        <w:rPr>
          <w:rFonts w:hint="eastAsia"/>
        </w:rPr>
        <w:t xml:space="preserve"> </w:t>
      </w:r>
      <w:r w:rsidR="00233F64">
        <w:t>derived</w:t>
      </w:r>
      <w:r w:rsidR="00A31F46">
        <w:rPr>
          <w:rFonts w:hint="eastAsia"/>
        </w:rPr>
        <w:t xml:space="preserve"> from </w:t>
      </w:r>
      <w:r w:rsidR="00C037EE" w:rsidRPr="00EB15E0">
        <w:t>native Chile</w:t>
      </w:r>
      <w:r w:rsidR="00C037EE">
        <w:rPr>
          <w:rFonts w:hint="eastAsia"/>
        </w:rPr>
        <w:t xml:space="preserve">an </w:t>
      </w:r>
      <w:r w:rsidR="00A31F46" w:rsidRPr="00191178">
        <w:rPr>
          <w:i/>
          <w:iCs/>
        </w:rPr>
        <w:t>Quillaja saponaria</w:t>
      </w:r>
      <w:r w:rsidR="00A31F46" w:rsidRPr="00A31F46">
        <w:t xml:space="preserve"> </w:t>
      </w:r>
      <w:r w:rsidR="0053273B">
        <w:rPr>
          <w:rFonts w:hint="eastAsia"/>
        </w:rPr>
        <w:t>tree bark</w:t>
      </w:r>
      <w:r w:rsidR="007415F6" w:rsidRPr="00EB15E0">
        <w:t xml:space="preserve">, </w:t>
      </w:r>
      <w:r w:rsidR="00052646">
        <w:t>QS-21 is a mixture of primarily QS-21-Api and QS-21-Xyl (65:35</w:t>
      </w:r>
      <w:r w:rsidR="00052646">
        <w:rPr>
          <w:rFonts w:hint="eastAsia"/>
        </w:rPr>
        <w:t xml:space="preserve"> </w:t>
      </w:r>
      <w:r w:rsidR="00052646">
        <w:t>ratio), plus other similar saponins</w:t>
      </w:r>
      <w:r w:rsidR="00052646">
        <w:rPr>
          <w:rFonts w:hint="eastAsia"/>
        </w:rPr>
        <w:t xml:space="preserve">. </w:t>
      </w:r>
    </w:p>
    <w:p w14:paraId="38271CAE" w14:textId="4D7B0BF4" w:rsidR="00C4746E" w:rsidRDefault="00E50FB1" w:rsidP="00F60A5C">
      <w:pPr>
        <w:jc w:val="both"/>
      </w:pPr>
      <w:r>
        <w:t>BDSyn</w:t>
      </w:r>
      <w:r w:rsidR="00E02534">
        <w:rPr>
          <w:rFonts w:hint="eastAsia"/>
        </w:rPr>
        <w:t xml:space="preserve"> </w:t>
      </w:r>
      <w:r>
        <w:t xml:space="preserve">Bio has pioneered </w:t>
      </w:r>
      <w:r w:rsidR="00603D7E">
        <w:rPr>
          <w:rFonts w:hint="eastAsia"/>
        </w:rPr>
        <w:t xml:space="preserve">a </w:t>
      </w:r>
      <w:r w:rsidR="00603D7E" w:rsidRPr="00603D7E">
        <w:t xml:space="preserve">proprietary </w:t>
      </w:r>
      <w:r>
        <w:t>chemical</w:t>
      </w:r>
      <w:r w:rsidR="00FC5177">
        <w:rPr>
          <w:rFonts w:hint="eastAsia"/>
        </w:rPr>
        <w:t>-</w:t>
      </w:r>
      <w:r>
        <w:t>synthe</w:t>
      </w:r>
      <w:r w:rsidR="00BD37ED">
        <w:rPr>
          <w:rFonts w:hint="eastAsia"/>
        </w:rPr>
        <w:t>tic</w:t>
      </w:r>
      <w:r>
        <w:t xml:space="preserve"> </w:t>
      </w:r>
      <w:r w:rsidR="00DF17C1">
        <w:rPr>
          <w:rFonts w:hint="eastAsia"/>
        </w:rPr>
        <w:t xml:space="preserve">process </w:t>
      </w:r>
      <w:r w:rsidR="003D1C6A">
        <w:rPr>
          <w:rFonts w:hint="eastAsia"/>
        </w:rPr>
        <w:t>for</w:t>
      </w:r>
      <w:r>
        <w:t xml:space="preserve"> QS-21-Api</w:t>
      </w:r>
      <w:r w:rsidR="00F50050">
        <w:rPr>
          <w:rFonts w:hint="eastAsia"/>
        </w:rPr>
        <w:t xml:space="preserve"> that is </w:t>
      </w:r>
      <w:r w:rsidR="00F05411" w:rsidRPr="00F05411">
        <w:t>highly efficient</w:t>
      </w:r>
      <w:r w:rsidR="00EF6FBA">
        <w:rPr>
          <w:rFonts w:hint="eastAsia"/>
        </w:rPr>
        <w:t xml:space="preserve"> and scalable, </w:t>
      </w:r>
      <w:r w:rsidR="003A064D">
        <w:rPr>
          <w:rFonts w:hint="eastAsia"/>
        </w:rPr>
        <w:t>delivering</w:t>
      </w:r>
      <w:r w:rsidR="007D20C4">
        <w:t xml:space="preserve"> </w:t>
      </w:r>
      <w:r w:rsidR="00D629AF">
        <w:rPr>
          <w:rFonts w:hint="eastAsia"/>
        </w:rPr>
        <w:t>a</w:t>
      </w:r>
      <w:r w:rsidR="00D629AF" w:rsidRPr="00D629AF">
        <w:t>ccessibl</w:t>
      </w:r>
      <w:r w:rsidR="00D629AF">
        <w:rPr>
          <w:rFonts w:hint="eastAsia"/>
        </w:rPr>
        <w:t xml:space="preserve">ity and </w:t>
      </w:r>
      <w:r w:rsidR="00D629AF" w:rsidRPr="007D20C4">
        <w:t>security of supply</w:t>
      </w:r>
      <w:r>
        <w:t>.</w:t>
      </w:r>
      <w:r w:rsidR="000E55A8">
        <w:rPr>
          <w:rFonts w:hint="eastAsia"/>
        </w:rPr>
        <w:t xml:space="preserve"> </w:t>
      </w:r>
      <w:r w:rsidR="00F60A5C">
        <w:t>Synthe</w:t>
      </w:r>
      <w:r w:rsidR="00F60A5C">
        <w:rPr>
          <w:rFonts w:hint="eastAsia"/>
        </w:rPr>
        <w:t xml:space="preserve">tic </w:t>
      </w:r>
      <w:r w:rsidR="00F60A5C">
        <w:t>QS-21-Api</w:t>
      </w:r>
      <w:r w:rsidR="00F60A5C" w:rsidRPr="00F60A5C">
        <w:t xml:space="preserve"> </w:t>
      </w:r>
      <w:r w:rsidR="00F60A5C">
        <w:t>demonstrates equivalent immunogenicity</w:t>
      </w:r>
      <w:r w:rsidR="00895992">
        <w:rPr>
          <w:rFonts w:hint="eastAsia"/>
        </w:rPr>
        <w:t xml:space="preserve"> and reactogenicity profiles</w:t>
      </w:r>
      <w:r w:rsidR="005A488A">
        <w:rPr>
          <w:rFonts w:hint="eastAsia"/>
        </w:rPr>
        <w:t xml:space="preserve"> to natural</w:t>
      </w:r>
      <w:r w:rsidR="007E2CEC">
        <w:rPr>
          <w:rFonts w:hint="eastAsia"/>
        </w:rPr>
        <w:t>ly sourced</w:t>
      </w:r>
      <w:r w:rsidR="00F402BA">
        <w:rPr>
          <w:rFonts w:hint="eastAsia"/>
        </w:rPr>
        <w:t xml:space="preserve"> QS-21</w:t>
      </w:r>
      <w:r w:rsidR="00F60A5C">
        <w:t xml:space="preserve"> </w:t>
      </w:r>
      <w:r w:rsidR="00895992">
        <w:t xml:space="preserve">in </w:t>
      </w:r>
      <w:r w:rsidR="00F60A5C">
        <w:t>animal models</w:t>
      </w:r>
      <w:r w:rsidR="006B6134">
        <w:rPr>
          <w:rFonts w:hint="eastAsia"/>
        </w:rPr>
        <w:t>.</w:t>
      </w:r>
      <w:r w:rsidR="001C4BFE">
        <w:rPr>
          <w:rFonts w:hint="eastAsia"/>
        </w:rPr>
        <w:t xml:space="preserve"> </w:t>
      </w:r>
      <w:r w:rsidR="001449F8">
        <w:rPr>
          <w:rFonts w:hint="eastAsia"/>
        </w:rPr>
        <w:t>GMP-grade s</w:t>
      </w:r>
      <w:r w:rsidR="001C4BFE">
        <w:t>ynthe</w:t>
      </w:r>
      <w:r w:rsidR="001C4BFE">
        <w:rPr>
          <w:rFonts w:hint="eastAsia"/>
        </w:rPr>
        <w:t xml:space="preserve">tic </w:t>
      </w:r>
      <w:r w:rsidR="001C4BFE">
        <w:t>QS-21-Api</w:t>
      </w:r>
      <w:r w:rsidR="001449F8">
        <w:rPr>
          <w:rFonts w:hint="eastAsia"/>
        </w:rPr>
        <w:t xml:space="preserve"> is </w:t>
      </w:r>
      <w:r w:rsidR="00CA6F08">
        <w:rPr>
          <w:rFonts w:hint="eastAsia"/>
        </w:rPr>
        <w:t xml:space="preserve">also </w:t>
      </w:r>
      <w:r w:rsidR="003F549D">
        <w:rPr>
          <w:rFonts w:hint="eastAsia"/>
        </w:rPr>
        <w:t>now</w:t>
      </w:r>
      <w:r w:rsidR="001449F8">
        <w:rPr>
          <w:rFonts w:hint="eastAsia"/>
        </w:rPr>
        <w:t xml:space="preserve"> </w:t>
      </w:r>
      <w:r w:rsidR="001449F8">
        <w:t>available</w:t>
      </w:r>
      <w:r w:rsidR="001449F8">
        <w:rPr>
          <w:rFonts w:hint="eastAsia"/>
        </w:rPr>
        <w:t xml:space="preserve"> for order.</w:t>
      </w:r>
    </w:p>
    <w:p w14:paraId="6993D097" w14:textId="77777777" w:rsidR="000E232E" w:rsidRDefault="000E232E" w:rsidP="00F60A5C">
      <w:pPr>
        <w:jc w:val="both"/>
      </w:pPr>
    </w:p>
    <w:p w14:paraId="75514BF5" w14:textId="308DB74E" w:rsidR="000E232E" w:rsidRDefault="000E232E" w:rsidP="00F60A5C">
      <w:pPr>
        <w:jc w:val="both"/>
      </w:pPr>
      <w:r w:rsidRPr="000E232E">
        <w:t xml:space="preserve">We also offer </w:t>
      </w:r>
      <w:r w:rsidR="00D9520C">
        <w:rPr>
          <w:rFonts w:hint="eastAsia"/>
        </w:rPr>
        <w:t>synthetic</w:t>
      </w:r>
      <w:r w:rsidRPr="000E232E">
        <w:t xml:space="preserve"> QS-21</w:t>
      </w:r>
      <w:r w:rsidR="00D9520C">
        <w:rPr>
          <w:rFonts w:hint="eastAsia"/>
        </w:rPr>
        <w:t xml:space="preserve">-Xyl and </w:t>
      </w:r>
      <w:r w:rsidR="000E429C">
        <w:rPr>
          <w:rFonts w:hint="eastAsia"/>
        </w:rPr>
        <w:t xml:space="preserve">other </w:t>
      </w:r>
      <w:r w:rsidR="00776BE6">
        <w:rPr>
          <w:rFonts w:hint="eastAsia"/>
        </w:rPr>
        <w:t xml:space="preserve">QS-21-like </w:t>
      </w:r>
      <w:r w:rsidRPr="000E232E">
        <w:t>saponins</w:t>
      </w:r>
      <w:r w:rsidR="00DD3CBF">
        <w:rPr>
          <w:rFonts w:hint="eastAsia"/>
        </w:rPr>
        <w:t>.</w:t>
      </w:r>
    </w:p>
    <w:p w14:paraId="1DDCF483" w14:textId="77777777" w:rsidR="003F549D" w:rsidRDefault="003F549D" w:rsidP="00F60A5C">
      <w:pPr>
        <w:jc w:val="both"/>
      </w:pPr>
    </w:p>
    <w:p w14:paraId="54513D94" w14:textId="77777777" w:rsidR="00233B0B" w:rsidRDefault="00233B0B" w:rsidP="00233B0B">
      <w:pPr>
        <w:pStyle w:val="ListParagraph"/>
        <w:numPr>
          <w:ilvl w:val="0"/>
          <w:numId w:val="1"/>
        </w:numPr>
        <w:jc w:val="both"/>
      </w:pPr>
      <w:r>
        <w:t>High Purity</w:t>
      </w:r>
    </w:p>
    <w:p w14:paraId="4BB44210" w14:textId="77777777" w:rsidR="00233B0B" w:rsidRDefault="00233B0B" w:rsidP="00233B0B">
      <w:pPr>
        <w:pStyle w:val="ListParagraph"/>
        <w:numPr>
          <w:ilvl w:val="0"/>
          <w:numId w:val="1"/>
        </w:numPr>
        <w:jc w:val="both"/>
      </w:pPr>
      <w:r>
        <w:t xml:space="preserve">GMP </w:t>
      </w:r>
      <w:r>
        <w:rPr>
          <w:rFonts w:hint="eastAsia"/>
        </w:rPr>
        <w:t>Grade</w:t>
      </w:r>
    </w:p>
    <w:p w14:paraId="389BA632" w14:textId="77777777" w:rsidR="00772153" w:rsidRDefault="00772153" w:rsidP="00772153">
      <w:pPr>
        <w:pStyle w:val="ListParagraph"/>
        <w:numPr>
          <w:ilvl w:val="0"/>
          <w:numId w:val="1"/>
        </w:numPr>
        <w:jc w:val="both"/>
      </w:pPr>
      <w:r>
        <w:t>S</w:t>
      </w:r>
      <w:r>
        <w:rPr>
          <w:rFonts w:hint="eastAsia"/>
        </w:rPr>
        <w:t>ustainable</w:t>
      </w:r>
    </w:p>
    <w:p w14:paraId="08B0C647" w14:textId="77777777" w:rsidR="00481920" w:rsidRDefault="00481920" w:rsidP="00481920">
      <w:pPr>
        <w:pStyle w:val="ListParagraph"/>
        <w:numPr>
          <w:ilvl w:val="0"/>
          <w:numId w:val="1"/>
        </w:numPr>
        <w:jc w:val="both"/>
      </w:pPr>
      <w:r w:rsidRPr="00131182">
        <w:t>Accessible</w:t>
      </w:r>
    </w:p>
    <w:p w14:paraId="4DF6EC00" w14:textId="77777777" w:rsidR="00233B0B" w:rsidRDefault="00233B0B" w:rsidP="00233B0B">
      <w:pPr>
        <w:pStyle w:val="ListParagraph"/>
        <w:numPr>
          <w:ilvl w:val="0"/>
          <w:numId w:val="1"/>
        </w:numPr>
        <w:jc w:val="both"/>
      </w:pPr>
      <w:r>
        <w:rPr>
          <w:rFonts w:hint="eastAsia"/>
        </w:rPr>
        <w:lastRenderedPageBreak/>
        <w:t>Security of</w:t>
      </w:r>
      <w:r>
        <w:t xml:space="preserve"> Supply</w:t>
      </w:r>
    </w:p>
    <w:p w14:paraId="7F0EEB63" w14:textId="21B888F8" w:rsidR="003F549D" w:rsidRPr="007D7D6E" w:rsidRDefault="00AF3F7C" w:rsidP="00A54CB0">
      <w:pPr>
        <w:pStyle w:val="ListParagraph"/>
        <w:numPr>
          <w:ilvl w:val="0"/>
          <w:numId w:val="1"/>
        </w:numPr>
        <w:jc w:val="both"/>
      </w:pPr>
      <w:r w:rsidRPr="007D7D6E">
        <w:t xml:space="preserve">Freedom to operate </w:t>
      </w:r>
    </w:p>
    <w:p w14:paraId="64AF28F2" w14:textId="72967E9B" w:rsidR="003F549D" w:rsidRDefault="006F63F3" w:rsidP="00A54CB0">
      <w:pPr>
        <w:pStyle w:val="ListParagraph"/>
        <w:numPr>
          <w:ilvl w:val="0"/>
          <w:numId w:val="1"/>
        </w:numPr>
        <w:jc w:val="both"/>
      </w:pPr>
      <w:r>
        <w:t>A</w:t>
      </w:r>
      <w:r>
        <w:rPr>
          <w:rFonts w:hint="eastAsia"/>
        </w:rPr>
        <w:t xml:space="preserve"> wide range of </w:t>
      </w:r>
      <w:r w:rsidR="00451CE3">
        <w:rPr>
          <w:rFonts w:hint="eastAsia"/>
        </w:rPr>
        <w:t>s</w:t>
      </w:r>
      <w:r w:rsidR="00451CE3">
        <w:t>ynthe</w:t>
      </w:r>
      <w:r w:rsidR="00451CE3">
        <w:rPr>
          <w:rFonts w:hint="eastAsia"/>
        </w:rPr>
        <w:t>tic</w:t>
      </w:r>
      <w:r w:rsidR="00451CE3">
        <w:t xml:space="preserve"> </w:t>
      </w:r>
      <w:r w:rsidR="00451CE3">
        <w:rPr>
          <w:rFonts w:hint="eastAsia"/>
        </w:rPr>
        <w:t>s</w:t>
      </w:r>
      <w:r w:rsidR="003F549D">
        <w:t>aponin</w:t>
      </w:r>
      <w:r w:rsidR="00451CE3">
        <w:rPr>
          <w:rFonts w:hint="eastAsia"/>
        </w:rPr>
        <w:t xml:space="preserve">s </w:t>
      </w:r>
      <w:r w:rsidR="003933DB">
        <w:t xml:space="preserve">is </w:t>
      </w:r>
      <w:r w:rsidR="00451CE3">
        <w:t>available</w:t>
      </w:r>
    </w:p>
    <w:p w14:paraId="38AC4E15" w14:textId="77777777" w:rsidR="00A55DA3" w:rsidRDefault="00A55DA3" w:rsidP="00A55DA3">
      <w:pPr>
        <w:jc w:val="both"/>
      </w:pPr>
    </w:p>
    <w:p w14:paraId="34BD65B4" w14:textId="691E2F83" w:rsidR="00A55DA3" w:rsidRPr="00D431BD" w:rsidRDefault="00A55DA3" w:rsidP="008058C7">
      <w:pPr>
        <w:jc w:val="center"/>
        <w:rPr>
          <w:u w:val="single"/>
        </w:rPr>
      </w:pPr>
      <w:r w:rsidRPr="00D431BD">
        <w:rPr>
          <w:u w:val="single"/>
        </w:rPr>
        <w:t>HMLA</w:t>
      </w:r>
    </w:p>
    <w:p w14:paraId="1B8A737C" w14:textId="3DF47769" w:rsidR="008058C7" w:rsidRDefault="008058C7" w:rsidP="008058C7">
      <w:pPr>
        <w:jc w:val="center"/>
      </w:pPr>
      <w:r>
        <w:rPr>
          <w:rFonts w:ascii="Times New Roman" w:eastAsia="DengXian" w:hAnsi="Times New Roman" w:cs="Times New Roman"/>
          <w:sz w:val="24"/>
          <w:szCs w:val="24"/>
        </w:rPr>
        <w:object w:dxaOrig="1724" w:dyaOrig="2906" w14:anchorId="297D10A6">
          <v:shape id="_x0000_i1026" type="#_x0000_t75" style="width:86pt;height:145.5pt" o:ole="">
            <v:imagedata r:id="rId9" o:title=""/>
          </v:shape>
          <o:OLEObject Type="Embed" ProgID="Unknown" ShapeID="_x0000_i1026" DrawAspect="Content" ObjectID="_1827057913" r:id="rId10"/>
        </w:object>
      </w:r>
    </w:p>
    <w:p w14:paraId="27A3D792" w14:textId="234B51B6" w:rsidR="00F03E22" w:rsidRDefault="00053A13" w:rsidP="00A55DA3">
      <w:pPr>
        <w:jc w:val="both"/>
      </w:pPr>
      <w:r>
        <w:rPr>
          <w:rFonts w:hint="eastAsia"/>
        </w:rPr>
        <w:t>The syn</w:t>
      </w:r>
      <w:r w:rsidR="008650FD">
        <w:rPr>
          <w:rFonts w:hint="eastAsia"/>
        </w:rPr>
        <w:t>erg</w:t>
      </w:r>
      <w:r w:rsidR="003933DB">
        <w:t>is</w:t>
      </w:r>
      <w:r w:rsidR="008650FD">
        <w:rPr>
          <w:rFonts w:hint="eastAsia"/>
        </w:rPr>
        <w:t xml:space="preserve">tic effect of a </w:t>
      </w:r>
      <w:r w:rsidR="008650FD" w:rsidRPr="008650FD">
        <w:t>TLR4 agonist, 3-O-desacyl-4'-monophosphoryl lipid A (MPL</w:t>
      </w:r>
      <w:r w:rsidR="00F03E22">
        <w:rPr>
          <w:rFonts w:hint="eastAsia"/>
        </w:rPr>
        <w:t>A</w:t>
      </w:r>
      <w:r w:rsidR="008650FD" w:rsidRPr="008650FD">
        <w:t>)</w:t>
      </w:r>
      <w:r w:rsidR="001771B5" w:rsidRPr="001771B5">
        <w:t xml:space="preserve"> </w:t>
      </w:r>
      <w:r w:rsidR="001771B5">
        <w:rPr>
          <w:rFonts w:hint="eastAsia"/>
        </w:rPr>
        <w:t xml:space="preserve">and </w:t>
      </w:r>
      <w:r w:rsidR="001771B5" w:rsidRPr="001771B5">
        <w:t>QS-21</w:t>
      </w:r>
      <w:r w:rsidR="008650FD" w:rsidRPr="008650FD">
        <w:t xml:space="preserve"> </w:t>
      </w:r>
      <w:r w:rsidR="00865882">
        <w:rPr>
          <w:rFonts w:hint="eastAsia"/>
        </w:rPr>
        <w:t xml:space="preserve">in a </w:t>
      </w:r>
      <w:r w:rsidR="006214F3">
        <w:rPr>
          <w:rFonts w:hint="eastAsia"/>
        </w:rPr>
        <w:t>liposomal fo</w:t>
      </w:r>
      <w:r w:rsidR="003933DB">
        <w:t>r</w:t>
      </w:r>
      <w:r w:rsidR="006214F3">
        <w:rPr>
          <w:rFonts w:hint="eastAsia"/>
        </w:rPr>
        <w:t>mulation</w:t>
      </w:r>
      <w:r w:rsidR="007D409A">
        <w:rPr>
          <w:rFonts w:hint="eastAsia"/>
        </w:rPr>
        <w:t>,</w:t>
      </w:r>
      <w:r w:rsidR="008E2344">
        <w:rPr>
          <w:rFonts w:hint="eastAsia"/>
        </w:rPr>
        <w:t xml:space="preserve"> such as </w:t>
      </w:r>
      <w:r w:rsidR="00F17B13">
        <w:rPr>
          <w:rFonts w:hint="eastAsia"/>
        </w:rPr>
        <w:t xml:space="preserve">the </w:t>
      </w:r>
      <w:r w:rsidR="008E2344">
        <w:rPr>
          <w:rFonts w:hint="eastAsia"/>
        </w:rPr>
        <w:t>AS01</w:t>
      </w:r>
      <w:r w:rsidR="007D409A">
        <w:rPr>
          <w:rFonts w:hint="eastAsia"/>
        </w:rPr>
        <w:t xml:space="preserve"> adjuvant,</w:t>
      </w:r>
      <w:r w:rsidR="006214F3">
        <w:rPr>
          <w:rFonts w:hint="eastAsia"/>
        </w:rPr>
        <w:t xml:space="preserve"> </w:t>
      </w:r>
      <w:r w:rsidR="00B545B7" w:rsidRPr="00B545B7">
        <w:t>induce</w:t>
      </w:r>
      <w:r w:rsidR="007D409A">
        <w:rPr>
          <w:rFonts w:hint="eastAsia"/>
        </w:rPr>
        <w:t>s</w:t>
      </w:r>
      <w:r w:rsidR="00B545B7" w:rsidRPr="00B545B7">
        <w:t xml:space="preserve"> </w:t>
      </w:r>
      <w:r w:rsidR="00B545B7">
        <w:rPr>
          <w:rFonts w:hint="eastAsia"/>
        </w:rPr>
        <w:t xml:space="preserve">potent </w:t>
      </w:r>
      <w:r w:rsidR="00B545B7" w:rsidRPr="00B545B7">
        <w:t>humoral and Th1-type cellular immune responses</w:t>
      </w:r>
      <w:r w:rsidR="001F1D13">
        <w:t>, which i</w:t>
      </w:r>
      <w:r w:rsidR="006A62D5">
        <w:rPr>
          <w:rFonts w:hint="eastAsia"/>
        </w:rPr>
        <w:t xml:space="preserve">s key to </w:t>
      </w:r>
      <w:r w:rsidR="007E68D8">
        <w:rPr>
          <w:rFonts w:hint="eastAsia"/>
        </w:rPr>
        <w:t xml:space="preserve">the </w:t>
      </w:r>
      <w:r w:rsidR="00EA58C3">
        <w:rPr>
          <w:rFonts w:hint="eastAsia"/>
        </w:rPr>
        <w:t>sup</w:t>
      </w:r>
      <w:r w:rsidR="003933DB">
        <w:t>er</w:t>
      </w:r>
      <w:r w:rsidR="00EA58C3">
        <w:rPr>
          <w:rFonts w:hint="eastAsia"/>
        </w:rPr>
        <w:t xml:space="preserve">ior efficacy of </w:t>
      </w:r>
      <w:r w:rsidR="00745856">
        <w:t xml:space="preserve">vaccines like </w:t>
      </w:r>
      <w:r w:rsidR="00745856" w:rsidRPr="002D3DE1">
        <w:t>Shingrix</w:t>
      </w:r>
      <w:r w:rsidR="00745856">
        <w:t>®</w:t>
      </w:r>
      <w:r w:rsidR="00C66A9D">
        <w:rPr>
          <w:rFonts w:hint="eastAsia"/>
        </w:rPr>
        <w:t>.</w:t>
      </w:r>
    </w:p>
    <w:p w14:paraId="644233BE" w14:textId="040BA30E" w:rsidR="006F6CDE" w:rsidRDefault="00120F0D" w:rsidP="006F6CDE">
      <w:pPr>
        <w:jc w:val="both"/>
      </w:pPr>
      <w:r w:rsidRPr="00120F0D">
        <w:t>MPL</w:t>
      </w:r>
      <w:r>
        <w:rPr>
          <w:rFonts w:hint="eastAsia"/>
        </w:rPr>
        <w:t>A</w:t>
      </w:r>
      <w:r w:rsidR="002C5582">
        <w:rPr>
          <w:rFonts w:hint="eastAsia"/>
        </w:rPr>
        <w:t>,</w:t>
      </w:r>
      <w:r w:rsidRPr="00120F0D">
        <w:t xml:space="preserve"> </w:t>
      </w:r>
      <w:r w:rsidR="00385E7E">
        <w:t>derived</w:t>
      </w:r>
      <w:r w:rsidR="002C5582" w:rsidRPr="002C5582">
        <w:t xml:space="preserve"> from Salmonella LPS through acid hydrolysis</w:t>
      </w:r>
      <w:r w:rsidR="002C5582">
        <w:rPr>
          <w:rFonts w:hint="eastAsia"/>
        </w:rPr>
        <w:t xml:space="preserve">, </w:t>
      </w:r>
      <w:r w:rsidR="00C71DBA">
        <w:rPr>
          <w:rFonts w:hint="eastAsia"/>
        </w:rPr>
        <w:t xml:space="preserve">is </w:t>
      </w:r>
      <w:r w:rsidR="002F206E" w:rsidRPr="002F206E">
        <w:t xml:space="preserve">heterogeneous </w:t>
      </w:r>
      <w:r w:rsidR="00100E02">
        <w:t xml:space="preserve">with </w:t>
      </w:r>
      <w:r w:rsidR="00F03E22" w:rsidRPr="00F03E22">
        <w:t xml:space="preserve">HMLA (Hexa-acyl Monophosphoryl Lipid A) </w:t>
      </w:r>
      <w:r w:rsidR="000042B0">
        <w:t>as</w:t>
      </w:r>
      <w:r w:rsidR="00F03E22" w:rsidRPr="00F03E22">
        <w:t xml:space="preserve"> the domin</w:t>
      </w:r>
      <w:r>
        <w:t>a</w:t>
      </w:r>
      <w:r w:rsidR="00F03E22" w:rsidRPr="00F03E22">
        <w:t xml:space="preserve">nt </w:t>
      </w:r>
      <w:r w:rsidR="000042B0">
        <w:t xml:space="preserve">and active </w:t>
      </w:r>
      <w:r w:rsidR="00F03E22" w:rsidRPr="00F03E22">
        <w:t>constituent</w:t>
      </w:r>
      <w:r w:rsidR="004F42EA">
        <w:rPr>
          <w:rFonts w:hint="eastAsia"/>
        </w:rPr>
        <w:t>.</w:t>
      </w:r>
      <w:r w:rsidR="00131FAE" w:rsidRPr="00131FAE">
        <w:t xml:space="preserve"> BDSyn</w:t>
      </w:r>
      <w:r w:rsidR="00E02534">
        <w:rPr>
          <w:rFonts w:hint="eastAsia"/>
        </w:rPr>
        <w:t xml:space="preserve"> </w:t>
      </w:r>
      <w:r w:rsidR="00131FAE" w:rsidRPr="00131FAE">
        <w:t>Bio</w:t>
      </w:r>
      <w:r w:rsidR="00FF4C1F">
        <w:t>’s syn</w:t>
      </w:r>
      <w:r w:rsidR="003252AC">
        <w:t xml:space="preserve">thetic HMLA </w:t>
      </w:r>
      <w:r w:rsidR="00C25472">
        <w:rPr>
          <w:rFonts w:hint="eastAsia"/>
        </w:rPr>
        <w:t xml:space="preserve">has the advantages of </w:t>
      </w:r>
      <w:r w:rsidR="00AD4AAE">
        <w:t>defi</w:t>
      </w:r>
      <w:r w:rsidR="001A0083">
        <w:t xml:space="preserve">ned </w:t>
      </w:r>
      <w:r w:rsidR="00F76D46">
        <w:t xml:space="preserve">chemical </w:t>
      </w:r>
      <w:r w:rsidR="001A0083">
        <w:t>structure</w:t>
      </w:r>
      <w:r w:rsidR="00E01BD3">
        <w:t xml:space="preserve">, </w:t>
      </w:r>
      <w:r w:rsidR="002D259D">
        <w:t xml:space="preserve">much improved </w:t>
      </w:r>
      <w:r w:rsidR="00135922">
        <w:t>batch-to-batch consis</w:t>
      </w:r>
      <w:r w:rsidR="00BE7CBE">
        <w:t>tency</w:t>
      </w:r>
      <w:r w:rsidR="00E01BD3">
        <w:t xml:space="preserve"> and process economics</w:t>
      </w:r>
      <w:r w:rsidR="00BE7CBE">
        <w:t>.</w:t>
      </w:r>
      <w:r w:rsidR="006924F9">
        <w:t xml:space="preserve"> </w:t>
      </w:r>
      <w:r w:rsidR="006F6CDE">
        <w:t xml:space="preserve">It has been </w:t>
      </w:r>
      <w:r w:rsidR="00954733">
        <w:t>u</w:t>
      </w:r>
      <w:r w:rsidR="0002635F">
        <w:t xml:space="preserve">tilised </w:t>
      </w:r>
      <w:r w:rsidR="006F6CDE">
        <w:t xml:space="preserve">in vaccine development for diseases such as </w:t>
      </w:r>
      <w:r w:rsidR="001D1013">
        <w:t xml:space="preserve">herpes zoster, </w:t>
      </w:r>
      <w:r w:rsidR="006F6CDE">
        <w:t>malaria</w:t>
      </w:r>
      <w:r w:rsidR="001D1013">
        <w:t xml:space="preserve"> and</w:t>
      </w:r>
      <w:r w:rsidR="006F6CDE">
        <w:t xml:space="preserve"> tuberculosis</w:t>
      </w:r>
      <w:r w:rsidR="005D51C4">
        <w:t>.</w:t>
      </w:r>
    </w:p>
    <w:p w14:paraId="21492600" w14:textId="2121330A" w:rsidR="00A55DA3" w:rsidRDefault="00A55DA3" w:rsidP="003C6B7F">
      <w:pPr>
        <w:jc w:val="both"/>
      </w:pPr>
    </w:p>
    <w:p w14:paraId="4804F163" w14:textId="0DACFEBC" w:rsidR="00617893" w:rsidRDefault="00617893" w:rsidP="00617893">
      <w:pPr>
        <w:pStyle w:val="ListParagraph"/>
        <w:numPr>
          <w:ilvl w:val="0"/>
          <w:numId w:val="3"/>
        </w:numPr>
        <w:jc w:val="both"/>
      </w:pPr>
      <w:r>
        <w:t>High Purity</w:t>
      </w:r>
    </w:p>
    <w:p w14:paraId="13444284" w14:textId="65ADCA4F" w:rsidR="00617893" w:rsidRDefault="00617893" w:rsidP="000F74C3">
      <w:pPr>
        <w:pStyle w:val="ListParagraph"/>
        <w:numPr>
          <w:ilvl w:val="0"/>
          <w:numId w:val="3"/>
        </w:numPr>
        <w:jc w:val="both"/>
      </w:pPr>
      <w:r>
        <w:t>GMP Grade</w:t>
      </w:r>
    </w:p>
    <w:p w14:paraId="0DC55FE2" w14:textId="230777C4" w:rsidR="00617893" w:rsidRDefault="00617893" w:rsidP="000F74C3">
      <w:pPr>
        <w:pStyle w:val="ListParagraph"/>
        <w:numPr>
          <w:ilvl w:val="0"/>
          <w:numId w:val="3"/>
        </w:numPr>
        <w:jc w:val="both"/>
      </w:pPr>
      <w:r>
        <w:t>Sustainable</w:t>
      </w:r>
    </w:p>
    <w:p w14:paraId="4FECFE10" w14:textId="1FAB5484" w:rsidR="00617893" w:rsidRDefault="00617893" w:rsidP="000F74C3">
      <w:pPr>
        <w:pStyle w:val="ListParagraph"/>
        <w:numPr>
          <w:ilvl w:val="0"/>
          <w:numId w:val="3"/>
        </w:numPr>
        <w:jc w:val="both"/>
      </w:pPr>
      <w:r>
        <w:t>Accessible</w:t>
      </w:r>
    </w:p>
    <w:p w14:paraId="6D4FCD16" w14:textId="65A1BBA7" w:rsidR="00617893" w:rsidRDefault="00617893" w:rsidP="000F74C3">
      <w:pPr>
        <w:pStyle w:val="ListParagraph"/>
        <w:numPr>
          <w:ilvl w:val="0"/>
          <w:numId w:val="3"/>
        </w:numPr>
        <w:jc w:val="both"/>
      </w:pPr>
      <w:r>
        <w:t>Security of Supply</w:t>
      </w:r>
    </w:p>
    <w:p w14:paraId="0CE139FC" w14:textId="293B1152" w:rsidR="00617893" w:rsidRDefault="00617893" w:rsidP="000F74C3">
      <w:pPr>
        <w:pStyle w:val="ListParagraph"/>
        <w:numPr>
          <w:ilvl w:val="0"/>
          <w:numId w:val="3"/>
        </w:numPr>
        <w:jc w:val="both"/>
      </w:pPr>
      <w:r>
        <w:t xml:space="preserve">Freedom to operate </w:t>
      </w:r>
    </w:p>
    <w:p w14:paraId="377A3756" w14:textId="4415F52D" w:rsidR="00617893" w:rsidRDefault="00617893" w:rsidP="0073452F">
      <w:pPr>
        <w:pStyle w:val="ListParagraph"/>
        <w:numPr>
          <w:ilvl w:val="0"/>
          <w:numId w:val="3"/>
        </w:numPr>
        <w:jc w:val="both"/>
      </w:pPr>
      <w:r>
        <w:t xml:space="preserve">A wide range of synthetic </w:t>
      </w:r>
      <w:r w:rsidR="003C6B7F">
        <w:t>MPLA</w:t>
      </w:r>
      <w:r>
        <w:t xml:space="preserve"> is available</w:t>
      </w:r>
    </w:p>
    <w:p w14:paraId="66A9C052" w14:textId="77777777" w:rsidR="00617893" w:rsidRDefault="00617893" w:rsidP="00617893">
      <w:pPr>
        <w:jc w:val="both"/>
      </w:pPr>
    </w:p>
    <w:p w14:paraId="47D9CB3D" w14:textId="77777777" w:rsidR="0073452F" w:rsidRDefault="0073452F" w:rsidP="006F6CDE">
      <w:pPr>
        <w:jc w:val="both"/>
      </w:pPr>
    </w:p>
    <w:p w14:paraId="5EF91D77" w14:textId="77777777" w:rsidR="0073452F" w:rsidRPr="0073452F" w:rsidRDefault="0073452F" w:rsidP="009E42CF">
      <w:pPr>
        <w:jc w:val="center"/>
        <w:rPr>
          <w:u w:val="single"/>
        </w:rPr>
      </w:pPr>
      <w:r w:rsidRPr="0073452F">
        <w:rPr>
          <w:u w:val="single"/>
        </w:rPr>
        <w:t>TDB</w:t>
      </w:r>
    </w:p>
    <w:p w14:paraId="10510ACB" w14:textId="64F77CFC" w:rsidR="009E42CF" w:rsidRDefault="009E42CF" w:rsidP="009E42CF">
      <w:pPr>
        <w:jc w:val="center"/>
      </w:pPr>
      <w:r>
        <w:rPr>
          <w:rFonts w:ascii="Times New Roman" w:hAnsi="Times New Roman" w:cs="Times New Roman"/>
          <w:sz w:val="24"/>
          <w:szCs w:val="24"/>
        </w:rPr>
        <w:object w:dxaOrig="2440" w:dyaOrig="2633" w14:anchorId="16981F5A">
          <v:shape id="_x0000_i1027" type="#_x0000_t75" style="width:122pt;height:132pt" o:ole="">
            <v:imagedata r:id="rId11" o:title=""/>
          </v:shape>
          <o:OLEObject Type="Embed" ProgID="Unknown" ShapeID="_x0000_i1027" DrawAspect="Content" ObjectID="_1827057914" r:id="rId12"/>
        </w:object>
      </w:r>
    </w:p>
    <w:p w14:paraId="5D2F8870" w14:textId="7CD1ADFB" w:rsidR="0073452F" w:rsidRDefault="0073452F" w:rsidP="0073452F">
      <w:pPr>
        <w:jc w:val="both"/>
      </w:pPr>
      <w:r>
        <w:t xml:space="preserve">D-(+)-Trehalose 6,6'-dibehenate (TDB) is a synthetic lipid that </w:t>
      </w:r>
      <w:r w:rsidR="009D0546">
        <w:rPr>
          <w:rFonts w:hint="eastAsia"/>
        </w:rPr>
        <w:t xml:space="preserve">has been shown to </w:t>
      </w:r>
      <w:r>
        <w:t>enhance vaccine immunogenicity when incorporated into cationic liposomes composed of DDA, forming systems like DDA/TDB and CAF01. It promotes robust cell-mediated (Th1/Th17) and antibody responses by stabili</w:t>
      </w:r>
      <w:r w:rsidR="003404BD">
        <w:t>s</w:t>
      </w:r>
      <w:r>
        <w:t>ing the liposomal structure, improving antigen delivery, and acting as an immunomodulator. Additionally, TDB serves as a cryoprotectant during lyophili</w:t>
      </w:r>
      <w:r w:rsidR="003404BD">
        <w:t>s</w:t>
      </w:r>
      <w:r>
        <w:t>ation, ensuring long-term stability and efficacy of the vaccine formulation.</w:t>
      </w:r>
    </w:p>
    <w:p w14:paraId="039215EB" w14:textId="77777777" w:rsidR="0073452F" w:rsidRDefault="0073452F" w:rsidP="0073452F">
      <w:pPr>
        <w:jc w:val="both"/>
      </w:pPr>
    </w:p>
    <w:p w14:paraId="165F9B0F" w14:textId="147BBD5F" w:rsidR="0073452F" w:rsidRDefault="0073452F" w:rsidP="0073452F">
      <w:pPr>
        <w:pStyle w:val="ListParagraph"/>
        <w:numPr>
          <w:ilvl w:val="0"/>
          <w:numId w:val="2"/>
        </w:numPr>
        <w:jc w:val="both"/>
      </w:pPr>
      <w:r>
        <w:t>High Purity</w:t>
      </w:r>
    </w:p>
    <w:p w14:paraId="6CCC5B40" w14:textId="51B29B6F" w:rsidR="0073452F" w:rsidRDefault="0073452F" w:rsidP="0073452F">
      <w:pPr>
        <w:pStyle w:val="ListParagraph"/>
        <w:numPr>
          <w:ilvl w:val="0"/>
          <w:numId w:val="2"/>
        </w:numPr>
        <w:jc w:val="both"/>
      </w:pPr>
      <w:r>
        <w:t xml:space="preserve">GMP </w:t>
      </w:r>
      <w:r w:rsidR="00247964">
        <w:t>Grade</w:t>
      </w:r>
    </w:p>
    <w:p w14:paraId="76D5870E" w14:textId="1442BDC3" w:rsidR="0073452F" w:rsidRDefault="0073452F" w:rsidP="0073452F">
      <w:pPr>
        <w:pStyle w:val="ListParagraph"/>
        <w:numPr>
          <w:ilvl w:val="0"/>
          <w:numId w:val="2"/>
        </w:numPr>
        <w:jc w:val="both"/>
      </w:pPr>
      <w:r>
        <w:t>FDADMF  040613</w:t>
      </w:r>
    </w:p>
    <w:p w14:paraId="6857E8BD" w14:textId="0EA7BD38" w:rsidR="00B52744" w:rsidRDefault="0073452F" w:rsidP="00B52744">
      <w:pPr>
        <w:pStyle w:val="ListParagraph"/>
        <w:numPr>
          <w:ilvl w:val="0"/>
          <w:numId w:val="2"/>
        </w:numPr>
        <w:jc w:val="both"/>
      </w:pPr>
      <w:r>
        <w:t>NMPA  F20230000625</w:t>
      </w:r>
    </w:p>
    <w:p w14:paraId="2EFEBE90" w14:textId="77777777" w:rsidR="00B911FD" w:rsidRDefault="00B911FD" w:rsidP="00B911FD">
      <w:pPr>
        <w:jc w:val="both"/>
      </w:pPr>
    </w:p>
    <w:p w14:paraId="07F78849" w14:textId="6EFB0514" w:rsidR="00B911FD" w:rsidRPr="00B911FD" w:rsidRDefault="00B911FD" w:rsidP="00B911FD">
      <w:pPr>
        <w:jc w:val="center"/>
        <w:rPr>
          <w:u w:val="single"/>
        </w:rPr>
      </w:pPr>
      <w:r w:rsidRPr="00B911FD">
        <w:rPr>
          <w:u w:val="single"/>
        </w:rPr>
        <w:t>Company Introduction</w:t>
      </w:r>
    </w:p>
    <w:p w14:paraId="2AF38A96" w14:textId="2E150DFC" w:rsidR="00DF2658" w:rsidRDefault="00B911FD" w:rsidP="00B911FD">
      <w:pPr>
        <w:jc w:val="both"/>
      </w:pPr>
      <w:r>
        <w:t xml:space="preserve">BDSyn Bio </w:t>
      </w:r>
      <w:r w:rsidR="00260E0C">
        <w:rPr>
          <w:rFonts w:hint="eastAsia"/>
        </w:rPr>
        <w:t>speci</w:t>
      </w:r>
      <w:r w:rsidR="003404BD">
        <w:rPr>
          <w:rFonts w:hint="eastAsia"/>
        </w:rPr>
        <w:t>ali</w:t>
      </w:r>
      <w:r w:rsidR="003404BD">
        <w:t>se</w:t>
      </w:r>
      <w:r w:rsidR="003404BD">
        <w:rPr>
          <w:rFonts w:hint="eastAsia"/>
        </w:rPr>
        <w:t xml:space="preserve">s in </w:t>
      </w:r>
      <w:r>
        <w:t xml:space="preserve">the development and </w:t>
      </w:r>
      <w:r w:rsidR="00437154">
        <w:rPr>
          <w:rFonts w:hint="eastAsia"/>
        </w:rPr>
        <w:t xml:space="preserve">manufacture </w:t>
      </w:r>
      <w:r>
        <w:t xml:space="preserve">of advanced vaccine adjuvants. </w:t>
      </w:r>
      <w:r w:rsidR="00840A17">
        <w:t>L</w:t>
      </w:r>
      <w:r w:rsidR="00840A17">
        <w:rPr>
          <w:rFonts w:hint="eastAsia"/>
        </w:rPr>
        <w:t xml:space="preserve">everaging </w:t>
      </w:r>
      <w:r w:rsidR="00E0051D">
        <w:t xml:space="preserve">proprietary technologies and in-depth expertise, the company </w:t>
      </w:r>
      <w:r w:rsidR="00EF2192">
        <w:t>offers a diverse range of synthetic</w:t>
      </w:r>
      <w:r w:rsidR="00B24733">
        <w:t xml:space="preserve">, clinically important adjuvants, </w:t>
      </w:r>
      <w:r w:rsidR="00840A1F">
        <w:rPr>
          <w:rFonts w:hint="eastAsia"/>
        </w:rPr>
        <w:t>benefit</w:t>
      </w:r>
      <w:r w:rsidR="007D63C2">
        <w:rPr>
          <w:rFonts w:hint="eastAsia"/>
        </w:rPr>
        <w:t>ing</w:t>
      </w:r>
      <w:r w:rsidR="00840A1F">
        <w:rPr>
          <w:rFonts w:hint="eastAsia"/>
        </w:rPr>
        <w:t xml:space="preserve"> from </w:t>
      </w:r>
      <w:r w:rsidR="00B24733">
        <w:rPr>
          <w:rFonts w:hint="eastAsia"/>
        </w:rPr>
        <w:t>much improved</w:t>
      </w:r>
      <w:r w:rsidR="005C0473" w:rsidRPr="005C0473">
        <w:t xml:space="preserve"> accessib</w:t>
      </w:r>
      <w:r w:rsidR="005923A6">
        <w:t>ility and security of supply</w:t>
      </w:r>
      <w:r w:rsidR="00B24733">
        <w:rPr>
          <w:rFonts w:hint="eastAsia"/>
        </w:rPr>
        <w:t xml:space="preserve">. </w:t>
      </w:r>
      <w:r w:rsidR="00231372" w:rsidRPr="00231372">
        <w:t xml:space="preserve">GMP-grade </w:t>
      </w:r>
      <w:r w:rsidR="003522CE">
        <w:rPr>
          <w:rFonts w:hint="eastAsia"/>
        </w:rPr>
        <w:t xml:space="preserve">adjuvants </w:t>
      </w:r>
      <w:r w:rsidR="003522CE">
        <w:t>are</w:t>
      </w:r>
      <w:r w:rsidR="00231372" w:rsidRPr="00231372">
        <w:t xml:space="preserve"> also now available </w:t>
      </w:r>
      <w:r w:rsidR="003522CE">
        <w:rPr>
          <w:rFonts w:hint="eastAsia"/>
        </w:rPr>
        <w:t>for vaccine developers.</w:t>
      </w:r>
    </w:p>
    <w:p w14:paraId="4A6223FD" w14:textId="3C84F5CE" w:rsidR="00DF2658" w:rsidRDefault="0039463C" w:rsidP="004306FF">
      <w:pPr>
        <w:jc w:val="center"/>
      </w:pPr>
      <w:r>
        <w:rPr>
          <w:rFonts w:ascii="Times New Roman" w:hAnsi="Times New Roman" w:cs="Times New Roman"/>
          <w:sz w:val="24"/>
        </w:rPr>
        <w:lastRenderedPageBreak/>
        <w:drawing>
          <wp:inline distT="0" distB="0" distL="114300" distR="114300" wp14:anchorId="53D6C18B" wp14:editId="70CBC5F0">
            <wp:extent cx="4998085" cy="2809240"/>
            <wp:effectExtent l="0" t="0" r="5715" b="10160"/>
            <wp:docPr id="1" name="图片 1" descr="df579e7a-6718-48f6-a93f-71cbd91da6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f579e7a-6718-48f6-a93f-71cbd91da6a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8085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87FF" w14:textId="77777777" w:rsidR="00DF2658" w:rsidRDefault="00DF2658" w:rsidP="00DF2658">
      <w:pPr>
        <w:jc w:val="both"/>
      </w:pPr>
    </w:p>
    <w:p w14:paraId="55B2B780" w14:textId="3478B190" w:rsidR="00143220" w:rsidRPr="005204E2" w:rsidRDefault="00143220" w:rsidP="00143220">
      <w:pPr>
        <w:jc w:val="both"/>
        <w:rPr>
          <w:b/>
          <w:bCs/>
        </w:rPr>
      </w:pPr>
      <w:r w:rsidRPr="005204E2">
        <w:rPr>
          <w:b/>
          <w:bCs/>
        </w:rPr>
        <w:t>Chongqing BDSyn Biotechnology Co., Ltd.</w:t>
      </w:r>
    </w:p>
    <w:p w14:paraId="44369133" w14:textId="2963F89C" w:rsidR="00143220" w:rsidRDefault="00143220" w:rsidP="00143220">
      <w:pPr>
        <w:jc w:val="both"/>
      </w:pPr>
      <w:r>
        <w:t>Address: D2-10, International</w:t>
      </w:r>
      <w:r w:rsidR="0039463C">
        <w:rPr>
          <w:rFonts w:hint="eastAsia"/>
        </w:rPr>
        <w:t xml:space="preserve"> </w:t>
      </w:r>
      <w:r w:rsidR="004306FF">
        <w:t>S</w:t>
      </w:r>
      <w:r>
        <w:t>tudent Entrepreneurship Park, No.77 Kecheng Road, Jiulongpo District, Chongqing</w:t>
      </w:r>
      <w:r w:rsidR="005204E2">
        <w:rPr>
          <w:rFonts w:hint="eastAsia"/>
        </w:rPr>
        <w:t>, China</w:t>
      </w:r>
    </w:p>
    <w:p w14:paraId="7C6D3A59" w14:textId="77777777" w:rsidR="00143220" w:rsidRDefault="00143220" w:rsidP="00143220">
      <w:pPr>
        <w:jc w:val="both"/>
      </w:pPr>
      <w:r>
        <w:t>Contact: Ms. Huang, +8613350310947</w:t>
      </w:r>
    </w:p>
    <w:p w14:paraId="5D576CD0" w14:textId="149E7F1D" w:rsidR="0039463C" w:rsidRDefault="00143220" w:rsidP="0039463C">
      <w:pPr>
        <w:jc w:val="both"/>
      </w:pPr>
      <w:r>
        <w:t xml:space="preserve">Email: </w:t>
      </w:r>
      <w:hyperlink r:id="rId14" w:history="1">
        <w:r w:rsidR="0039463C" w:rsidRPr="00D4334A">
          <w:rPr>
            <w:rStyle w:val="Hyperlink"/>
          </w:rPr>
          <w:t>huangxiaoying@bdsynbiotech.com</w:t>
        </w:r>
      </w:hyperlink>
    </w:p>
    <w:p w14:paraId="453AF672" w14:textId="77777777" w:rsidR="0039463C" w:rsidRDefault="0039463C" w:rsidP="0039463C">
      <w:pPr>
        <w:jc w:val="both"/>
      </w:pPr>
    </w:p>
    <w:p w14:paraId="7AD55049" w14:textId="1FAD0E8C" w:rsidR="0039463C" w:rsidRPr="00DF2658" w:rsidRDefault="0039463C" w:rsidP="0039463C">
      <w:pPr>
        <w:jc w:val="both"/>
        <w:rPr>
          <w:highlight w:val="yellow"/>
        </w:rPr>
      </w:pPr>
      <w:r w:rsidRPr="0039463C">
        <w:rPr>
          <w:highlight w:val="yellow"/>
          <w:u w:val="single"/>
        </w:rPr>
        <w:t xml:space="preserve"> </w:t>
      </w:r>
      <w:r w:rsidRPr="00DF2658">
        <w:rPr>
          <w:highlight w:val="yellow"/>
          <w:u w:val="single"/>
        </w:rPr>
        <w:t>S</w:t>
      </w:r>
      <w:r w:rsidRPr="00DF2658">
        <w:rPr>
          <w:rFonts w:hint="eastAsia"/>
          <w:highlight w:val="yellow"/>
          <w:u w:val="single"/>
        </w:rPr>
        <w:t>logan</w:t>
      </w:r>
      <w:r w:rsidR="00F44E2B">
        <w:rPr>
          <w:rFonts w:hint="eastAsia"/>
          <w:highlight w:val="yellow"/>
          <w:u w:val="single"/>
        </w:rPr>
        <w:t>?</w:t>
      </w:r>
    </w:p>
    <w:p w14:paraId="64760464" w14:textId="77777777" w:rsidR="0039463C" w:rsidRDefault="0039463C" w:rsidP="0039463C">
      <w:pPr>
        <w:jc w:val="both"/>
      </w:pPr>
      <w:r w:rsidRPr="00DF2658">
        <w:rPr>
          <w:highlight w:val="yellow"/>
        </w:rPr>
        <w:t>Synthetic Saponins For More Accessible Vaccines</w:t>
      </w:r>
    </w:p>
    <w:p w14:paraId="25FB469F" w14:textId="1E93648B" w:rsidR="00143220" w:rsidRDefault="00143220" w:rsidP="00143220">
      <w:pPr>
        <w:jc w:val="both"/>
      </w:pPr>
    </w:p>
    <w:sectPr w:rsidR="00143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9A895" w14:textId="77777777" w:rsidR="00B22069" w:rsidRDefault="00B22069" w:rsidP="00C02EA0">
      <w:pPr>
        <w:spacing w:after="0" w:line="240" w:lineRule="auto"/>
      </w:pPr>
      <w:r>
        <w:separator/>
      </w:r>
    </w:p>
  </w:endnote>
  <w:endnote w:type="continuationSeparator" w:id="0">
    <w:p w14:paraId="79976F67" w14:textId="77777777" w:rsidR="00B22069" w:rsidRDefault="00B22069" w:rsidP="00C02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6C544" w14:textId="77777777" w:rsidR="00B22069" w:rsidRDefault="00B22069" w:rsidP="00C02EA0">
      <w:pPr>
        <w:spacing w:after="0" w:line="240" w:lineRule="auto"/>
      </w:pPr>
      <w:r>
        <w:separator/>
      </w:r>
    </w:p>
  </w:footnote>
  <w:footnote w:type="continuationSeparator" w:id="0">
    <w:p w14:paraId="384F8103" w14:textId="77777777" w:rsidR="00B22069" w:rsidRDefault="00B22069" w:rsidP="00C02E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164D4"/>
    <w:multiLevelType w:val="hybridMultilevel"/>
    <w:tmpl w:val="43D23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571B36"/>
    <w:multiLevelType w:val="hybridMultilevel"/>
    <w:tmpl w:val="25CEB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3D22EE"/>
    <w:multiLevelType w:val="hybridMultilevel"/>
    <w:tmpl w:val="6F3A8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0788895">
    <w:abstractNumId w:val="1"/>
  </w:num>
  <w:num w:numId="2" w16cid:durableId="671757006">
    <w:abstractNumId w:val="2"/>
  </w:num>
  <w:num w:numId="3" w16cid:durableId="1388534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S3NDMxN7Q0MTQxsTBT0lEKTi0uzszPAykwrQUAQACVsiwAAAA="/>
  </w:docVars>
  <w:rsids>
    <w:rsidRoot w:val="00EB15E0"/>
    <w:rsid w:val="000042B0"/>
    <w:rsid w:val="0002466F"/>
    <w:rsid w:val="0002635F"/>
    <w:rsid w:val="0003392A"/>
    <w:rsid w:val="0003515F"/>
    <w:rsid w:val="0004334F"/>
    <w:rsid w:val="00052646"/>
    <w:rsid w:val="00053A13"/>
    <w:rsid w:val="000C3ADD"/>
    <w:rsid w:val="000C64D3"/>
    <w:rsid w:val="000E232E"/>
    <w:rsid w:val="000E429C"/>
    <w:rsid w:val="000E55A8"/>
    <w:rsid w:val="000F6A3F"/>
    <w:rsid w:val="000F74C3"/>
    <w:rsid w:val="00100E02"/>
    <w:rsid w:val="00120F0D"/>
    <w:rsid w:val="00131182"/>
    <w:rsid w:val="00131FAE"/>
    <w:rsid w:val="00135922"/>
    <w:rsid w:val="00143220"/>
    <w:rsid w:val="001449F8"/>
    <w:rsid w:val="001771B5"/>
    <w:rsid w:val="00183F49"/>
    <w:rsid w:val="00191178"/>
    <w:rsid w:val="001A0083"/>
    <w:rsid w:val="001B7395"/>
    <w:rsid w:val="001C4BFE"/>
    <w:rsid w:val="001D1013"/>
    <w:rsid w:val="001F1D13"/>
    <w:rsid w:val="002156AE"/>
    <w:rsid w:val="00231372"/>
    <w:rsid w:val="00233B0B"/>
    <w:rsid w:val="00233F64"/>
    <w:rsid w:val="00243CD0"/>
    <w:rsid w:val="00247964"/>
    <w:rsid w:val="00260E0C"/>
    <w:rsid w:val="002723A4"/>
    <w:rsid w:val="0028478E"/>
    <w:rsid w:val="002C4E67"/>
    <w:rsid w:val="002C5582"/>
    <w:rsid w:val="002D259D"/>
    <w:rsid w:val="002D3DE1"/>
    <w:rsid w:val="002D6C21"/>
    <w:rsid w:val="002F206E"/>
    <w:rsid w:val="003252AC"/>
    <w:rsid w:val="00332CFE"/>
    <w:rsid w:val="003404BD"/>
    <w:rsid w:val="003522CE"/>
    <w:rsid w:val="00356FFB"/>
    <w:rsid w:val="003574FA"/>
    <w:rsid w:val="00385E7E"/>
    <w:rsid w:val="003933DB"/>
    <w:rsid w:val="0039463C"/>
    <w:rsid w:val="003A064D"/>
    <w:rsid w:val="003B4A50"/>
    <w:rsid w:val="003C6B7F"/>
    <w:rsid w:val="003D1C6A"/>
    <w:rsid w:val="003E59C2"/>
    <w:rsid w:val="003F549D"/>
    <w:rsid w:val="004306FF"/>
    <w:rsid w:val="00437154"/>
    <w:rsid w:val="00450E79"/>
    <w:rsid w:val="00451CE3"/>
    <w:rsid w:val="00481920"/>
    <w:rsid w:val="00490E46"/>
    <w:rsid w:val="004A1AF3"/>
    <w:rsid w:val="004A6C87"/>
    <w:rsid w:val="004E20BA"/>
    <w:rsid w:val="004F42EA"/>
    <w:rsid w:val="005204E2"/>
    <w:rsid w:val="0053273B"/>
    <w:rsid w:val="00533CC3"/>
    <w:rsid w:val="00581114"/>
    <w:rsid w:val="005923A6"/>
    <w:rsid w:val="005A488A"/>
    <w:rsid w:val="005B0E3A"/>
    <w:rsid w:val="005B29A7"/>
    <w:rsid w:val="005C0216"/>
    <w:rsid w:val="005C0473"/>
    <w:rsid w:val="005C74A5"/>
    <w:rsid w:val="005D1C15"/>
    <w:rsid w:val="005D51C4"/>
    <w:rsid w:val="00603D7E"/>
    <w:rsid w:val="00617893"/>
    <w:rsid w:val="006214F3"/>
    <w:rsid w:val="0063753B"/>
    <w:rsid w:val="006667F9"/>
    <w:rsid w:val="006924F9"/>
    <w:rsid w:val="006A62D5"/>
    <w:rsid w:val="006B6134"/>
    <w:rsid w:val="006F63F3"/>
    <w:rsid w:val="006F6CDE"/>
    <w:rsid w:val="007113F5"/>
    <w:rsid w:val="00715AD6"/>
    <w:rsid w:val="0073452F"/>
    <w:rsid w:val="00734F1C"/>
    <w:rsid w:val="007415F6"/>
    <w:rsid w:val="00745856"/>
    <w:rsid w:val="00757C56"/>
    <w:rsid w:val="0076330D"/>
    <w:rsid w:val="0076643B"/>
    <w:rsid w:val="00772153"/>
    <w:rsid w:val="00773A2E"/>
    <w:rsid w:val="00776BE6"/>
    <w:rsid w:val="0078717F"/>
    <w:rsid w:val="007A4C37"/>
    <w:rsid w:val="007C0B0F"/>
    <w:rsid w:val="007C55B3"/>
    <w:rsid w:val="007D20C4"/>
    <w:rsid w:val="007D409A"/>
    <w:rsid w:val="007D63C2"/>
    <w:rsid w:val="007D7D6E"/>
    <w:rsid w:val="007E2CEC"/>
    <w:rsid w:val="007E68D8"/>
    <w:rsid w:val="007E79E7"/>
    <w:rsid w:val="008058C7"/>
    <w:rsid w:val="00817C28"/>
    <w:rsid w:val="00821F55"/>
    <w:rsid w:val="00840A17"/>
    <w:rsid w:val="00840A1F"/>
    <w:rsid w:val="008531DD"/>
    <w:rsid w:val="008650FD"/>
    <w:rsid w:val="00865882"/>
    <w:rsid w:val="00895992"/>
    <w:rsid w:val="008A1DC2"/>
    <w:rsid w:val="008E0793"/>
    <w:rsid w:val="008E2344"/>
    <w:rsid w:val="00915491"/>
    <w:rsid w:val="0092189D"/>
    <w:rsid w:val="00954733"/>
    <w:rsid w:val="00964083"/>
    <w:rsid w:val="009C1F03"/>
    <w:rsid w:val="009D0546"/>
    <w:rsid w:val="009D3000"/>
    <w:rsid w:val="009E1248"/>
    <w:rsid w:val="009E42CF"/>
    <w:rsid w:val="00A14F3D"/>
    <w:rsid w:val="00A31876"/>
    <w:rsid w:val="00A31F46"/>
    <w:rsid w:val="00A54CB0"/>
    <w:rsid w:val="00A55BFC"/>
    <w:rsid w:val="00A55DA3"/>
    <w:rsid w:val="00A74134"/>
    <w:rsid w:val="00AA4FB2"/>
    <w:rsid w:val="00AD0B89"/>
    <w:rsid w:val="00AD4AAE"/>
    <w:rsid w:val="00AE6F64"/>
    <w:rsid w:val="00AF3F7C"/>
    <w:rsid w:val="00B147A4"/>
    <w:rsid w:val="00B22069"/>
    <w:rsid w:val="00B24733"/>
    <w:rsid w:val="00B35810"/>
    <w:rsid w:val="00B426A0"/>
    <w:rsid w:val="00B52744"/>
    <w:rsid w:val="00B545B7"/>
    <w:rsid w:val="00B911FD"/>
    <w:rsid w:val="00BD37ED"/>
    <w:rsid w:val="00BD5ADD"/>
    <w:rsid w:val="00BE114A"/>
    <w:rsid w:val="00BE7CBE"/>
    <w:rsid w:val="00C02EA0"/>
    <w:rsid w:val="00C037EE"/>
    <w:rsid w:val="00C25472"/>
    <w:rsid w:val="00C46C00"/>
    <w:rsid w:val="00C4746E"/>
    <w:rsid w:val="00C66A9D"/>
    <w:rsid w:val="00C71DBA"/>
    <w:rsid w:val="00C91C00"/>
    <w:rsid w:val="00C9711A"/>
    <w:rsid w:val="00CA26BF"/>
    <w:rsid w:val="00CA6F08"/>
    <w:rsid w:val="00CF4888"/>
    <w:rsid w:val="00D06F62"/>
    <w:rsid w:val="00D13011"/>
    <w:rsid w:val="00D1595E"/>
    <w:rsid w:val="00D431BD"/>
    <w:rsid w:val="00D629AF"/>
    <w:rsid w:val="00D67DC4"/>
    <w:rsid w:val="00D74002"/>
    <w:rsid w:val="00D801F9"/>
    <w:rsid w:val="00D9520C"/>
    <w:rsid w:val="00DA048C"/>
    <w:rsid w:val="00DA2BD8"/>
    <w:rsid w:val="00DD3CBF"/>
    <w:rsid w:val="00DF17C1"/>
    <w:rsid w:val="00DF18B3"/>
    <w:rsid w:val="00DF2658"/>
    <w:rsid w:val="00DF6B52"/>
    <w:rsid w:val="00E0051D"/>
    <w:rsid w:val="00E01BD3"/>
    <w:rsid w:val="00E02534"/>
    <w:rsid w:val="00E04EE0"/>
    <w:rsid w:val="00E503D2"/>
    <w:rsid w:val="00E50FB1"/>
    <w:rsid w:val="00E67BA2"/>
    <w:rsid w:val="00E713CA"/>
    <w:rsid w:val="00E9012B"/>
    <w:rsid w:val="00E95A6A"/>
    <w:rsid w:val="00EA58C3"/>
    <w:rsid w:val="00EB15E0"/>
    <w:rsid w:val="00EB25BB"/>
    <w:rsid w:val="00EF2192"/>
    <w:rsid w:val="00EF6FBA"/>
    <w:rsid w:val="00F03E22"/>
    <w:rsid w:val="00F05411"/>
    <w:rsid w:val="00F17B13"/>
    <w:rsid w:val="00F402BA"/>
    <w:rsid w:val="00F44E2B"/>
    <w:rsid w:val="00F50050"/>
    <w:rsid w:val="00F60A5C"/>
    <w:rsid w:val="00F71375"/>
    <w:rsid w:val="00F76D46"/>
    <w:rsid w:val="00F83AD8"/>
    <w:rsid w:val="00FC5177"/>
    <w:rsid w:val="00FF4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C7E093"/>
  <w15:chartTrackingRefBased/>
  <w15:docId w15:val="{BF11BCD2-A5C8-42F2-9EAA-784BA12D7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1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5E0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5E0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5E0"/>
    <w:rPr>
      <w:rFonts w:eastAsiaTheme="majorEastAsia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5E0"/>
    <w:rPr>
      <w:rFonts w:eastAsiaTheme="majorEastAsia" w:cstheme="majorBidi"/>
      <w:i/>
      <w:iCs/>
      <w:noProof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5E0"/>
    <w:rPr>
      <w:rFonts w:eastAsiaTheme="majorEastAsia" w:cstheme="majorBidi"/>
      <w:noProof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5E0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5E0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5E0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5E0"/>
    <w:rPr>
      <w:rFonts w:eastAsiaTheme="majorEastAsia" w:cstheme="majorBidi"/>
      <w:noProof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B1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5E0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5E0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B1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5E0"/>
    <w:rPr>
      <w:i/>
      <w:iCs/>
      <w:noProof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B1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5E0"/>
    <w:rPr>
      <w:i/>
      <w:iCs/>
      <w:noProof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B15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2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EA0"/>
    <w:rPr>
      <w:noProof/>
      <w:lang w:val="en-GB"/>
    </w:rPr>
  </w:style>
  <w:style w:type="paragraph" w:styleId="Footer">
    <w:name w:val="footer"/>
    <w:basedOn w:val="Normal"/>
    <w:link w:val="FooterChar"/>
    <w:uiPriority w:val="99"/>
    <w:unhideWhenUsed/>
    <w:rsid w:val="00C02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EA0"/>
    <w:rPr>
      <w:noProof/>
      <w:lang w:val="en-GB"/>
    </w:rPr>
  </w:style>
  <w:style w:type="character" w:styleId="Hyperlink">
    <w:name w:val="Hyperlink"/>
    <w:basedOn w:val="DefaultParagraphFont"/>
    <w:uiPriority w:val="99"/>
    <w:unhideWhenUsed/>
    <w:rsid w:val="003946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46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hyperlink" Target="mailto:huangxiaoying@bdsynbiotech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 Jin</dc:creator>
  <cp:keywords/>
  <dc:description/>
  <cp:lastModifiedBy>Jing Jin</cp:lastModifiedBy>
  <cp:revision>12</cp:revision>
  <dcterms:created xsi:type="dcterms:W3CDTF">2025-12-12T07:12:00Z</dcterms:created>
  <dcterms:modified xsi:type="dcterms:W3CDTF">2025-12-12T07:18:00Z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8d1b7c95-80a1-4af2-a257-cd9d1ec0504c</vt:lpwstr>
  </property>
</Properties>
</file>