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b/>
          <w:bCs/>
          <w:sz w:val="32"/>
          <w:szCs w:val="32"/>
        </w:rPr>
        <w:t xml:space="preserve">Shayan's Biofeedback Math Pipeline</w:t>
      </w:r>
    </w:p>
    <w:p>
      <w:pPr>
        <w:spacing w:after="100" w:before="0"/>
      </w:pPr>
      <w:r>
        <w:rPr>
          <w:b/>
          <w:bCs/>
          <w:sz w:val="20"/>
          <w:szCs w:val="20"/>
        </w:rPr>
        <w:t xml:space="preserve">Provenance: </w:t>
      </w:r>
      <w:r>
        <w:rPr>
          <w:color w:val="404040"/>
          <w:sz w:val="20"/>
          <w:szCs w:val="20"/>
        </w:rPr>
        <w:t xml:space="preserve">Steps 0, 5, 6, 8 are supported by physiological / signal-processing literature (see Reference column and References section). Steps 1, 3, 7, 9 are statistical or signal-processing conventions. Steps 10 and 11 are engineering design choices specific to this exposure-therapy paradigm; the threshold multipliers, weights, rate parameters and dashboard mapping will be validated through pilot recordings.</w:t>
      </w:r>
    </w:p>
    <w:p>
      <w:pPr>
        <w:spacing w:after="80" w:before="0"/>
      </w:pPr>
      <w:r>
        <w:rPr>
          <w:b/>
          <w:bCs/>
          <w:sz w:val="21"/>
          <w:szCs w:val="21"/>
        </w:rPr>
        <w:t xml:space="preserve">Inputs: </w:t>
      </w:r>
      <w:r>
        <w:rPr>
          <w:sz w:val="21"/>
          <w:szCs w:val="21"/>
        </w:rPr>
        <w:t xml:space="preserve">HR (BPM), HRV = RMSSD (ms), EDA (μS) — three signals streamed via LSL.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3000"/>
      </w:tblGrid>
      <w:tr>
        <w:trPr>
          <w:cantSplit/>
          <w:tblHeader/>
        </w:trPr>
        <w:tc>
          <w:tcPr>
            <w:tcW w:type="dxa" w:w="700"/>
            <w:tcBorders>
              <w:top w:val="single" w:color="000000" w:sz="4"/>
              <w:left w:val="single" w:color="000000" w:sz="4"/>
              <w:bottom w:val="single" w:color="000000" w:sz="4"/>
              <w:right w:val="single" w:color="000000" w:sz="4"/>
            </w:tcBorders>
            <w:shd w:fill="000000" w:color="auto" w:val="clear"/>
            <w:tcMar>
              <w:top w:type="dxa" w:w="60"/>
              <w:left w:type="dxa" w:w="110"/>
              <w:bottom w:type="dxa" w:w="60"/>
              <w:right w:type="dxa" w:w="110"/>
            </w:tcMar>
          </w:tcPr>
          <w:p>
            <w:pPr>
              <w:jc w:val="left"/>
            </w:pPr>
            <w:r>
              <w:rPr>
                <w:b/>
                <w:bCs/>
                <w:color w:val="FFFFFF"/>
                <w:sz w:val="22"/>
                <w:szCs w:val="22"/>
              </w:rPr>
              <w:t xml:space="preserve">#</w:t>
            </w:r>
          </w:p>
        </w:tc>
        <w:tc>
          <w:tcPr>
            <w:tcW w:type="dxa" w:w="7100"/>
            <w:tcBorders>
              <w:top w:val="single" w:color="000000" w:sz="4"/>
              <w:left w:val="single" w:color="000000" w:sz="4"/>
              <w:bottom w:val="single" w:color="000000" w:sz="4"/>
              <w:right w:val="single" w:color="000000" w:sz="4"/>
            </w:tcBorders>
            <w:shd w:fill="000000" w:color="auto" w:val="clear"/>
            <w:tcMar>
              <w:top w:type="dxa" w:w="60"/>
              <w:left w:type="dxa" w:w="110"/>
              <w:bottom w:type="dxa" w:w="60"/>
              <w:right w:type="dxa" w:w="110"/>
            </w:tcMar>
          </w:tcPr>
          <w:p>
            <w:pPr>
              <w:jc w:val="left"/>
            </w:pPr>
            <w:r>
              <w:rPr>
                <w:b/>
                <w:bCs/>
                <w:color w:val="FFFFFF"/>
                <w:sz w:val="22"/>
                <w:szCs w:val="22"/>
              </w:rPr>
              <w:t xml:space="preserve">Operation</w:t>
            </w:r>
          </w:p>
        </w:tc>
        <w:tc>
          <w:tcPr>
            <w:tcW w:type="dxa" w:w="3000"/>
            <w:tcBorders>
              <w:top w:val="single" w:color="000000" w:sz="4"/>
              <w:left w:val="single" w:color="000000" w:sz="4"/>
              <w:bottom w:val="single" w:color="000000" w:sz="4"/>
              <w:right w:val="single" w:color="000000" w:sz="4"/>
            </w:tcBorders>
            <w:shd w:fill="000000" w:color="auto" w:val="clear"/>
            <w:tcMar>
              <w:top w:type="dxa" w:w="60"/>
              <w:left w:type="dxa" w:w="110"/>
              <w:bottom w:type="dxa" w:w="60"/>
              <w:right w:type="dxa" w:w="110"/>
            </w:tcMar>
          </w:tcPr>
          <w:p>
            <w:pPr>
              <w:jc w:val="left"/>
            </w:pPr>
            <w:r>
              <w:rPr>
                <w:b/>
                <w:bCs/>
                <w:color w:val="FFFFFF"/>
                <w:sz w:val="22"/>
                <w:szCs w:val="22"/>
              </w:rPr>
              <w:t xml:space="preserve">Reference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jc w:val="center"/>
            </w:pPr>
            <w:r>
              <w:rPr>
                <w:b/>
                <w:bCs/>
                <w:sz w:val="21"/>
                <w:szCs w:val="21"/>
              </w:rPr>
              <w:t xml:space="preserve">0</w:t>
            </w:r>
          </w:p>
        </w:tc>
        <w:tc>
          <w:tcPr>
            <w:tcW w:type="dxa" w:w="7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30" w:before="0"/>
            </w:pPr>
            <w:r>
              <w:rPr>
                <w:b/>
                <w:bCs/>
                <w:sz w:val="21"/>
                <w:szCs w:val="21"/>
              </w:rPr>
              <w:t xml:space="preserve">Acquisition</w:t>
            </w:r>
          </w:p>
          <w:p>
            <w:pPr>
              <w:spacing w:after="20" w:before="0"/>
            </w:pPr>
            <w:r>
              <w:rPr>
                <w:b/>
                <w:bCs/>
                <w:color w:val="404040"/>
                <w:sz w:val="19"/>
                <w:szCs w:val="19"/>
              </w:rPr>
              <w:t xml:space="preserve">Why: </w:t>
            </w:r>
            <w:r>
              <w:rPr>
                <w:color w:val="404040"/>
                <w:sz w:val="19"/>
                <w:szCs w:val="19"/>
              </w:rPr>
              <w:t xml:space="preserve">Get the participant's autonomic-nervous-system signals into the server in real time.</w:t>
            </w:r>
          </w:p>
          <w:p>
            <w:pPr>
              <w:spacing w:after="20" w:before="0"/>
            </w:pPr>
            <w:r>
              <w:rPr>
                <w:b/>
                <w:bCs/>
                <w:color w:val="404040"/>
                <w:sz w:val="19"/>
                <w:szCs w:val="19"/>
              </w:rPr>
              <w:t xml:space="preserve">In: </w:t>
            </w:r>
            <w:r>
              <w:rPr>
                <w:color w:val="404040"/>
                <w:sz w:val="19"/>
                <w:szCs w:val="19"/>
              </w:rPr>
              <w:t xml:space="preserve">Raw biosignals from the PLUX hardware via Lab Streaming Layer.</w:t>
            </w:r>
          </w:p>
          <w:p>
            <w:pPr>
              <w:spacing w:after="20" w:before="0"/>
            </w:pPr>
            <w:r>
              <w:rPr>
                <w:b/>
                <w:bCs/>
                <w:color w:val="404040"/>
                <w:sz w:val="19"/>
                <w:szCs w:val="19"/>
              </w:rPr>
              <w:t xml:space="preserve">Out: </w:t>
            </w:r>
            <w:r>
              <w:rPr>
                <w:color w:val="404040"/>
                <w:sz w:val="19"/>
                <w:szCs w:val="19"/>
              </w:rPr>
              <w:t xml:space="preserve">Three time-series streams sampled at the hardware rate (treated as 50 Hz).</w:t>
            </w:r>
          </w:p>
          <w:p>
            <w:pPr>
              <w:spacing w:after="30" w:before="0"/>
            </w:pPr>
            <w:r>
              <w:t xml:space="preserve"/>
            </w:r>
          </w:p>
          <w:p>
            <w:pPr>
              <w:spacing w:after="0" w:before="0"/>
            </w:pPr>
            <w:r>
              <w:rPr>
                <w:sz w:val="19"/>
                <w:szCs w:val="19"/>
              </w:rPr>
              <w:t xml:space="preserve">Three signals streamed in: HR (BPM), HRV = RMSSD (ms), EDA (μS).</w:t>
            </w:r>
          </w:p>
          <w:p>
            <w:pPr>
              <w:spacing w:after="0" w:before="0"/>
            </w:pPr>
            <w:r>
              <w:rPr>
                <w:sz w:val="19"/>
                <w:szCs w:val="19"/>
              </w:rPr>
              <w:t xml:space="preserve">EDA electrodes on distal phalanges of the index and middle fingers, nondominant hand.</w:t>
            </w:r>
          </w:p>
        </w:tc>
        <w:tc>
          <w:tcPr>
            <w:tcW w:type="dxa" w:w="30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pPr>
            <w:r>
              <w:rPr>
                <w:sz w:val="19"/>
                <w:szCs w:val="19"/>
              </w:rPr>
              <w:t xml:space="preserve">Boucsein et al., 2012 (placement) </w:t>
            </w:r>
            <w:hyperlink w:history="1" r:id="rIdet8k5njkamomjkxmirwba">
              <w:r>
                <w:rPr>
                  <w:color w:val="000000"/>
                  <w:sz w:val="19"/>
                  <w:szCs w:val="19"/>
                  <w:u w:val="single"/>
                </w:rPr>
                <w:t xml:space="preserve">[3]</w:t>
              </w:r>
            </w:hyperlink>
          </w:p>
          <w:p>
            <w:pPr>
              <w:spacing w:after="0" w:before="0"/>
            </w:pPr>
            <w:r>
              <w:rPr>
                <w:sz w:val="19"/>
                <w:szCs w:val="19"/>
              </w:rPr>
              <w:t xml:space="preserve">Task Force, 1996 (RMSSD) </w:t>
            </w:r>
            <w:hyperlink w:history="1" r:id="rIdmckakmru_uk3c_lz_14dj">
              <w:r>
                <w:rPr>
                  <w:color w:val="000000"/>
                  <w:sz w:val="19"/>
                  <w:szCs w:val="19"/>
                  <w:u w:val="single"/>
                </w:rPr>
                <w:t xml:space="preserve">[8]</w:t>
              </w:r>
            </w:hyperlink>
          </w:p>
          <w:p>
            <w:pPr>
              <w:spacing w:after="0" w:before="0"/>
            </w:pPr>
            <w:r>
              <w:rPr>
                <w:sz w:val="19"/>
                <w:szCs w:val="19"/>
              </w:rPr>
              <w:t xml:space="preserve">Kothe et al., 2025 (LSL) </w:t>
            </w:r>
            <w:hyperlink w:history="1" r:id="rIdel9ppf-uibqgrainmldk0">
              <w:r>
                <w:rPr>
                  <w:color w:val="000000"/>
                  <w:sz w:val="19"/>
                  <w:szCs w:val="19"/>
                  <w:u w:val="single"/>
                </w:rPr>
                <w:t xml:space="preserve">[5]</w:t>
              </w:r>
            </w:hyperlink>
          </w:p>
        </w:tc>
      </w:tr>
      <w:tr>
        <w:trPr>
          <w:cantSplit/>
        </w:trPr>
        <w:tc>
          <w:tcPr>
            <w:tcW w:type="dxa" w:w="7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jc w:val="center"/>
            </w:pPr>
            <w:r>
              <w:rPr>
                <w:b/>
                <w:bCs/>
                <w:sz w:val="21"/>
                <w:szCs w:val="21"/>
              </w:rPr>
              <w:t xml:space="preserve">1</w:t>
            </w:r>
          </w:p>
        </w:tc>
        <w:tc>
          <w:tcPr>
            <w:tcW w:type="dxa" w:w="7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30" w:before="0"/>
            </w:pPr>
            <w:r>
              <w:rPr>
                <w:b/>
                <w:bCs/>
                <w:sz w:val="21"/>
                <w:szCs w:val="21"/>
              </w:rPr>
              <w:t xml:space="preserve">EMA smoothing (per signal)</w:t>
            </w:r>
          </w:p>
          <w:p>
            <w:pPr>
              <w:spacing w:after="20" w:before="0"/>
            </w:pPr>
            <w:r>
              <w:rPr>
                <w:b/>
                <w:bCs/>
                <w:color w:val="404040"/>
                <w:sz w:val="19"/>
                <w:szCs w:val="19"/>
              </w:rPr>
              <w:t xml:space="preserve">Why: </w:t>
            </w:r>
            <w:r>
              <w:rPr>
                <w:color w:val="404040"/>
                <w:sz w:val="19"/>
                <w:szCs w:val="19"/>
              </w:rPr>
              <w:t xml:space="preserve">Suppress sample-to-sample noise (sensor jitter, quantisation) without distorting the slower physiological dynamics. Each α is tuned to its signal's bandwidth — smaller α = stronger smoothing.</w:t>
            </w:r>
          </w:p>
          <w:p>
            <w:pPr>
              <w:spacing w:after="20" w:before="0"/>
            </w:pPr>
            <w:r>
              <w:rPr>
                <w:b/>
                <w:bCs/>
                <w:color w:val="404040"/>
                <w:sz w:val="19"/>
                <w:szCs w:val="19"/>
              </w:rPr>
              <w:t xml:space="preserve">In: </w:t>
            </w:r>
            <w:r>
              <w:rPr>
                <w:color w:val="404040"/>
                <w:sz w:val="19"/>
                <w:szCs w:val="19"/>
              </w:rPr>
              <w:t xml:space="preserve">Raw HR, HRV, EDA samples from Step 0.</w:t>
            </w:r>
          </w:p>
          <w:p>
            <w:pPr>
              <w:spacing w:after="20" w:before="0"/>
            </w:pPr>
            <w:r>
              <w:rPr>
                <w:b/>
                <w:bCs/>
                <w:color w:val="404040"/>
                <w:sz w:val="19"/>
                <w:szCs w:val="19"/>
              </w:rPr>
              <w:t xml:space="preserve">Out: </w:t>
            </w:r>
            <w:r>
              <w:rPr>
                <w:color w:val="404040"/>
                <w:sz w:val="19"/>
                <w:szCs w:val="19"/>
              </w:rPr>
              <w:t xml:space="preserve">Smoothed HR, HRV, EDA samples — same rate, less noise.</w:t>
            </w:r>
          </w:p>
          <w:p>
            <w:pPr>
              <w:spacing w:after="30" w:before="0"/>
            </w:pPr>
            <w:r>
              <w:t xml:space="preserve"/>
            </w:r>
          </w:p>
          <w:p>
            <w:pPr>
              <w:spacing w:after="0" w:before="0"/>
            </w:pPr>
            <w:r>
              <w:rPr>
                <w:sz w:val="19"/>
                <w:szCs w:val="19"/>
              </w:rPr>
              <w:t xml:space="preserve">y_t = α · x_t + (1 − α) · y_(t−1)</w:t>
            </w:r>
          </w:p>
          <w:p>
            <w:pPr>
              <w:spacing w:after="0" w:before="0"/>
            </w:pPr>
            <w:r>
              <w:rPr>
                <w:sz w:val="19"/>
                <w:szCs w:val="19"/>
              </w:rPr>
              <w:t xml:space="preserve">α_HR = 0.10,   α_HRV = 0.05,   α_EDA = 0.05</w:t>
            </w:r>
          </w:p>
        </w:tc>
        <w:tc>
          <w:tcPr>
            <w:tcW w:type="dxa" w:w="30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pPr>
            <w:r>
              <w:rPr>
                <w:sz w:val="19"/>
                <w:szCs w:val="19"/>
              </w:rPr>
              <w:t xml:space="preserve">Convention in signal processing</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jc w:val="center"/>
            </w:pPr>
            <w:r>
              <w:rPr>
                <w:b/>
                <w:bCs/>
                <w:sz w:val="21"/>
                <w:szCs w:val="21"/>
              </w:rPr>
              <w:t xml:space="preserve">2</w:t>
            </w:r>
          </w:p>
        </w:tc>
        <w:tc>
          <w:tcPr>
            <w:tcW w:type="dxa" w:w="7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30" w:before="0"/>
            </w:pPr>
            <w:r>
              <w:rPr>
                <w:b/>
                <w:bCs/>
                <w:sz w:val="21"/>
                <w:szCs w:val="21"/>
              </w:rPr>
              <w:t xml:space="preserve">Baseline buffering (0–120 s)</w:t>
            </w:r>
          </w:p>
          <w:p>
            <w:pPr>
              <w:spacing w:after="20" w:before="0"/>
            </w:pPr>
            <w:r>
              <w:rPr>
                <w:b/>
                <w:bCs/>
                <w:color w:val="404040"/>
                <w:sz w:val="19"/>
                <w:szCs w:val="19"/>
              </w:rPr>
              <w:t xml:space="preserve">Why: </w:t>
            </w:r>
            <w:r>
              <w:rPr>
                <w:color w:val="404040"/>
                <w:sz w:val="19"/>
                <w:szCs w:val="19"/>
              </w:rPr>
              <w:t xml:space="preserve">Capture the participant's resting physiology so everything afterwards can be measured against their personal baseline (not population norms). The 120 s window is a compromise between data sufficiency and participant comfort.</w:t>
            </w:r>
          </w:p>
          <w:p>
            <w:pPr>
              <w:spacing w:after="20" w:before="0"/>
            </w:pPr>
            <w:r>
              <w:rPr>
                <w:b/>
                <w:bCs/>
                <w:color w:val="404040"/>
                <w:sz w:val="19"/>
                <w:szCs w:val="19"/>
              </w:rPr>
              <w:t xml:space="preserve">In: </w:t>
            </w:r>
            <w:r>
              <w:rPr>
                <w:color w:val="404040"/>
                <w:sz w:val="19"/>
                <w:szCs w:val="19"/>
              </w:rPr>
              <w:t xml:space="preserve">Smoothed samples from Step 1.</w:t>
            </w:r>
          </w:p>
          <w:p>
            <w:pPr>
              <w:spacing w:after="20" w:before="0"/>
            </w:pPr>
            <w:r>
              <w:rPr>
                <w:b/>
                <w:bCs/>
                <w:color w:val="404040"/>
                <w:sz w:val="19"/>
                <w:szCs w:val="19"/>
              </w:rPr>
              <w:t xml:space="preserve">Out: </w:t>
            </w:r>
            <w:r>
              <w:rPr>
                <w:color w:val="404040"/>
                <w:sz w:val="19"/>
                <w:szCs w:val="19"/>
              </w:rPr>
              <w:t xml:space="preserve">Three per-signal buffers, ~6000 samples each at 50 Hz.</w:t>
            </w:r>
          </w:p>
          <w:p>
            <w:pPr>
              <w:spacing w:after="30" w:before="0"/>
            </w:pPr>
            <w:r>
              <w:t xml:space="preserve"/>
            </w:r>
          </w:p>
          <w:p>
            <w:pPr>
              <w:spacing w:after="0" w:before="0"/>
            </w:pPr>
            <w:r>
              <w:rPr>
                <w:sz w:val="19"/>
                <w:szCs w:val="19"/>
              </w:rPr>
              <w:t xml:space="preserve">Accumulate smoothed samples per signal:  X = {x_1, …, x_N}</w:t>
            </w:r>
          </w:p>
        </w:tc>
        <w:tc>
          <w:tcPr>
            <w:tcW w:type="dxa" w:w="30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pPr>
            <w:r>
              <w:rPr>
                <w:sz w:val="19"/>
                <w:szCs w:val="19"/>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jc w:val="center"/>
            </w:pPr>
            <w:r>
              <w:rPr>
                <w:b/>
                <w:bCs/>
                <w:sz w:val="21"/>
                <w:szCs w:val="21"/>
              </w:rPr>
              <w:t xml:space="preserve">3</w:t>
            </w:r>
          </w:p>
        </w:tc>
        <w:tc>
          <w:tcPr>
            <w:tcW w:type="dxa" w:w="7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30" w:before="0"/>
            </w:pPr>
            <w:r>
              <w:rPr>
                <w:b/>
                <w:bCs/>
                <w:sz w:val="21"/>
                <w:szCs w:val="21"/>
              </w:rPr>
              <w:t xml:space="preserve">3σ outlier removal (at t = 120 s)</w:t>
            </w:r>
          </w:p>
          <w:p>
            <w:pPr>
              <w:spacing w:after="20" w:before="0"/>
            </w:pPr>
            <w:r>
              <w:rPr>
                <w:b/>
                <w:bCs/>
                <w:color w:val="404040"/>
                <w:sz w:val="19"/>
                <w:szCs w:val="19"/>
              </w:rPr>
              <w:t xml:space="preserve">Why: </w:t>
            </w:r>
            <w:r>
              <w:rPr>
                <w:color w:val="404040"/>
                <w:sz w:val="19"/>
                <w:szCs w:val="19"/>
              </w:rPr>
              <w:t xml:space="preserve">Reject artifacts in the baseline (motion, electrode pop, sensor glitch) so the personal baseline isn't biased by transient errors. 3σ ≈ 99.7% inclusion under a normal distribution.</w:t>
            </w:r>
          </w:p>
          <w:p>
            <w:pPr>
              <w:spacing w:after="20" w:before="0"/>
            </w:pPr>
            <w:r>
              <w:rPr>
                <w:b/>
                <w:bCs/>
                <w:color w:val="404040"/>
                <w:sz w:val="19"/>
                <w:szCs w:val="19"/>
              </w:rPr>
              <w:t xml:space="preserve">In: </w:t>
            </w:r>
            <w:r>
              <w:rPr>
                <w:color w:val="404040"/>
                <w:sz w:val="19"/>
                <w:szCs w:val="19"/>
              </w:rPr>
              <w:t xml:space="preserve">Each per-signal baseline buffer from Step 2.</w:t>
            </w:r>
          </w:p>
          <w:p>
            <w:pPr>
              <w:spacing w:after="20" w:before="0"/>
            </w:pPr>
            <w:r>
              <w:rPr>
                <w:b/>
                <w:bCs/>
                <w:color w:val="404040"/>
                <w:sz w:val="19"/>
                <w:szCs w:val="19"/>
              </w:rPr>
              <w:t xml:space="preserve">Out: </w:t>
            </w:r>
            <w:r>
              <w:rPr>
                <w:color w:val="404040"/>
                <w:sz w:val="19"/>
                <w:szCs w:val="19"/>
              </w:rPr>
              <w:t xml:space="preserve">Cleaned per-signal buffers — same content, artifacts removed.</w:t>
            </w:r>
          </w:p>
          <w:p>
            <w:pPr>
              <w:spacing w:after="30" w:before="0"/>
            </w:pPr>
            <w:r>
              <w:t xml:space="preserve"/>
            </w:r>
          </w:p>
          <w:p>
            <w:pPr>
              <w:spacing w:after="0" w:before="0"/>
            </w:pPr>
            <w:r>
              <w:rPr>
                <w:sz w:val="19"/>
                <w:szCs w:val="19"/>
              </w:rPr>
              <w:t xml:space="preserve">X_clean = { x ∈ X :  |x − μ_X| ≤ 3·σ_X }</w:t>
            </w:r>
          </w:p>
        </w:tc>
        <w:tc>
          <w:tcPr>
            <w:tcW w:type="dxa" w:w="30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pPr>
            <w:r>
              <w:rPr>
                <w:sz w:val="19"/>
                <w:szCs w:val="19"/>
              </w:rPr>
              <w:t xml:space="preserve">Statistical convention</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jc w:val="center"/>
            </w:pPr>
            <w:r>
              <w:rPr>
                <w:b/>
                <w:bCs/>
                <w:sz w:val="21"/>
                <w:szCs w:val="21"/>
              </w:rPr>
              <w:t xml:space="preserve">4</w:t>
            </w:r>
          </w:p>
        </w:tc>
        <w:tc>
          <w:tcPr>
            <w:tcW w:type="dxa" w:w="7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30" w:before="0"/>
            </w:pPr>
            <w:r>
              <w:rPr>
                <w:b/>
                <w:bCs/>
                <w:sz w:val="21"/>
                <w:szCs w:val="21"/>
              </w:rPr>
              <w:t xml:space="preserve">Compute personal baselines</w:t>
            </w:r>
          </w:p>
          <w:p>
            <w:pPr>
              <w:spacing w:after="20" w:before="0"/>
            </w:pPr>
            <w:r>
              <w:rPr>
                <w:b/>
                <w:bCs/>
                <w:color w:val="404040"/>
                <w:sz w:val="19"/>
                <w:szCs w:val="19"/>
              </w:rPr>
              <w:t xml:space="preserve">Why: </w:t>
            </w:r>
            <w:r>
              <w:rPr>
                <w:color w:val="404040"/>
                <w:sz w:val="19"/>
                <w:szCs w:val="19"/>
              </w:rPr>
              <w:t xml:space="preserve">Single per-signal reference values for this participant's resting state. From this point on, the live phase is measured relative to these.</w:t>
            </w:r>
          </w:p>
          <w:p>
            <w:pPr>
              <w:spacing w:after="20" w:before="0"/>
            </w:pPr>
            <w:r>
              <w:rPr>
                <w:b/>
                <w:bCs/>
                <w:color w:val="404040"/>
                <w:sz w:val="19"/>
                <w:szCs w:val="19"/>
              </w:rPr>
              <w:t xml:space="preserve">In: </w:t>
            </w:r>
            <w:r>
              <w:rPr>
                <w:color w:val="404040"/>
                <w:sz w:val="19"/>
                <w:szCs w:val="19"/>
              </w:rPr>
              <w:t xml:space="preserve">Cleaned baseline buffers from Step 3.</w:t>
            </w:r>
          </w:p>
          <w:p>
            <w:pPr>
              <w:spacing w:after="20" w:before="0"/>
            </w:pPr>
            <w:r>
              <w:rPr>
                <w:b/>
                <w:bCs/>
                <w:color w:val="404040"/>
                <w:sz w:val="19"/>
                <w:szCs w:val="19"/>
              </w:rPr>
              <w:t xml:space="preserve">Out: </w:t>
            </w:r>
            <w:r>
              <w:rPr>
                <w:color w:val="404040"/>
                <w:sz w:val="19"/>
                <w:szCs w:val="19"/>
              </w:rPr>
              <w:t xml:space="preserve">Three scalars: avgHR, avgHRV, avgEDA. Stored for the rest of the session.</w:t>
            </w:r>
          </w:p>
          <w:p>
            <w:pPr>
              <w:spacing w:after="30" w:before="0"/>
            </w:pPr>
            <w:r>
              <w:t xml:space="preserve"/>
            </w:r>
          </w:p>
          <w:p>
            <w:pPr>
              <w:spacing w:after="0" w:before="0"/>
            </w:pPr>
            <w:r>
              <w:rPr>
                <w:sz w:val="19"/>
                <w:szCs w:val="19"/>
              </w:rPr>
              <w:t xml:space="preserve">avgHR  = mean(HR_clean)</w:t>
            </w:r>
          </w:p>
          <w:p>
            <w:pPr>
              <w:spacing w:after="0" w:before="0"/>
            </w:pPr>
            <w:r>
              <w:rPr>
                <w:sz w:val="19"/>
                <w:szCs w:val="19"/>
              </w:rPr>
              <w:t xml:space="preserve">avgHRV = mean(HRV_clean)</w:t>
            </w:r>
          </w:p>
          <w:p>
            <w:pPr>
              <w:spacing w:after="0" w:before="0"/>
            </w:pPr>
            <w:r>
              <w:rPr>
                <w:sz w:val="19"/>
                <w:szCs w:val="19"/>
              </w:rPr>
              <w:t xml:space="preserve">avgEDA = mean(EDA_clean)</w:t>
            </w:r>
          </w:p>
        </w:tc>
        <w:tc>
          <w:tcPr>
            <w:tcW w:type="dxa" w:w="30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pPr>
            <w:r>
              <w:rPr>
                <w:sz w:val="19"/>
                <w:szCs w:val="19"/>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jc w:val="center"/>
            </w:pPr>
            <w:r>
              <w:rPr>
                <w:b/>
                <w:bCs/>
                <w:sz w:val="21"/>
                <w:szCs w:val="21"/>
              </w:rPr>
              <w:t xml:space="preserve">5</w:t>
            </w:r>
          </w:p>
        </w:tc>
        <w:tc>
          <w:tcPr>
            <w:tcW w:type="dxa" w:w="7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30" w:before="0"/>
            </w:pPr>
            <w:r>
              <w:rPr>
                <w:b/>
                <w:bCs/>
                <w:sz w:val="21"/>
                <w:szCs w:val="21"/>
              </w:rPr>
              <w:t xml:space="preserve">Percentage deviation from baseline (HRV inverted)</w:t>
            </w:r>
          </w:p>
          <w:p>
            <w:pPr>
              <w:spacing w:after="20" w:before="0"/>
            </w:pPr>
            <w:r>
              <w:rPr>
                <w:b/>
                <w:bCs/>
                <w:color w:val="404040"/>
                <w:sz w:val="19"/>
                <w:szCs w:val="19"/>
              </w:rPr>
              <w:t xml:space="preserve">Why: </w:t>
            </w:r>
            <w:r>
              <w:rPr>
                <w:color w:val="404040"/>
                <w:sz w:val="19"/>
                <w:szCs w:val="19"/>
              </w:rPr>
              <w:t xml:space="preserve">Convert each signal into a single comparable scale (% above resting). HRV is inverted because RMSSD DROPS during stress (parasympathetic withdrawal) — inversion makes all three Δ signed positive when stressed.</w:t>
            </w:r>
          </w:p>
          <w:p>
            <w:pPr>
              <w:spacing w:after="20" w:before="0"/>
            </w:pPr>
            <w:r>
              <w:rPr>
                <w:b/>
                <w:bCs/>
                <w:color w:val="404040"/>
                <w:sz w:val="19"/>
                <w:szCs w:val="19"/>
              </w:rPr>
              <w:t xml:space="preserve">In: </w:t>
            </w:r>
            <w:r>
              <w:rPr>
                <w:color w:val="404040"/>
                <w:sz w:val="19"/>
                <w:szCs w:val="19"/>
              </w:rPr>
              <w:t xml:space="preserve">Smoothed live samples + personal baselines from Step 4.</w:t>
            </w:r>
          </w:p>
          <w:p>
            <w:pPr>
              <w:spacing w:after="20" w:before="0"/>
            </w:pPr>
            <w:r>
              <w:rPr>
                <w:b/>
                <w:bCs/>
                <w:color w:val="404040"/>
                <w:sz w:val="19"/>
                <w:szCs w:val="19"/>
              </w:rPr>
              <w:t xml:space="preserve">Out: </w:t>
            </w:r>
            <w:r>
              <w:rPr>
                <w:color w:val="404040"/>
                <w:sz w:val="19"/>
                <w:szCs w:val="19"/>
              </w:rPr>
              <w:t xml:space="preserve">Three percentage-deviation streams ΔHR, ΔHRV, ΔEDA.</w:t>
            </w:r>
          </w:p>
          <w:p>
            <w:pPr>
              <w:spacing w:after="30" w:before="0"/>
            </w:pPr>
            <w:r>
              <w:t xml:space="preserve"/>
            </w:r>
          </w:p>
          <w:p>
            <w:pPr>
              <w:spacing w:after="0" w:before="0"/>
            </w:pPr>
            <w:r>
              <w:rPr>
                <w:sz w:val="19"/>
                <w:szCs w:val="19"/>
              </w:rPr>
              <w:t xml:space="preserve">ΔHR  = (HR  − avgHR ) / avgHR  · 100</w:t>
            </w:r>
          </w:p>
          <w:p>
            <w:pPr>
              <w:spacing w:after="0" w:before="0"/>
            </w:pPr>
            <w:r>
              <w:rPr>
                <w:sz w:val="19"/>
                <w:szCs w:val="19"/>
              </w:rPr>
              <w:t xml:space="preserve">ΔHRV = (avgHRV − HRV) / avgHRV · 100   (inverted)</w:t>
            </w:r>
          </w:p>
          <w:p>
            <w:pPr>
              <w:spacing w:after="0" w:before="0"/>
            </w:pPr>
            <w:r>
              <w:rPr>
                <w:sz w:val="19"/>
                <w:szCs w:val="19"/>
              </w:rPr>
              <w:t xml:space="preserve">ΔEDA = (EDA − avgEDA) / avgEDA · 100</w:t>
            </w:r>
          </w:p>
        </w:tc>
        <w:tc>
          <w:tcPr>
            <w:tcW w:type="dxa" w:w="30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pPr>
            <w:r>
              <w:rPr>
                <w:sz w:val="19"/>
                <w:szCs w:val="19"/>
              </w:rPr>
              <w:t xml:space="preserve">Task Force, 1996 (RMSSD ↔ HF ↔ vagal) </w:t>
            </w:r>
            <w:hyperlink w:history="1" r:id="rIdmrwn-4jqqctkyry6elfxl">
              <w:r>
                <w:rPr>
                  <w:color w:val="000000"/>
                  <w:sz w:val="19"/>
                  <w:szCs w:val="19"/>
                  <w:u w:val="single"/>
                </w:rPr>
                <w:t xml:space="preserve">[8]</w:t>
              </w:r>
            </w:hyperlink>
          </w:p>
          <w:p>
            <w:pPr>
              <w:spacing w:after="0" w:before="0"/>
            </w:pPr>
            <w:r>
              <w:rPr>
                <w:sz w:val="19"/>
                <w:szCs w:val="19"/>
              </w:rPr>
              <w:t xml:space="preserve">Billman, 2013 (LF/HF critique) </w:t>
            </w:r>
            <w:hyperlink w:history="1" r:id="rIdfuzj8td5fzlyeg1ipgnbb">
              <w:r>
                <w:rPr>
                  <w:color w:val="000000"/>
                  <w:sz w:val="19"/>
                  <w:szCs w:val="19"/>
                  <w:u w:val="single"/>
                </w:rPr>
                <w:t xml:space="preserve">[2]</w:t>
              </w:r>
            </w:hyperlink>
          </w:p>
          <w:p>
            <w:pPr>
              <w:spacing w:after="0" w:before="0"/>
            </w:pPr>
            <w:r>
              <w:rPr>
                <w:sz w:val="19"/>
                <w:szCs w:val="19"/>
              </w:rPr>
              <w:t xml:space="preserve">Quigley et al., 2024 (modern HRV guidelines) </w:t>
            </w:r>
            <w:hyperlink w:history="1" r:id="rIdws0p_xjg4yl16mj9pu_e2">
              <w:r>
                <w:rPr>
                  <w:color w:val="000000"/>
                  <w:sz w:val="19"/>
                  <w:szCs w:val="19"/>
                  <w:u w:val="single"/>
                </w:rPr>
                <w:t xml:space="preserve">[7]</w:t>
              </w:r>
            </w:hyperlink>
          </w:p>
        </w:tc>
      </w:tr>
      <w:tr>
        <w:trPr>
          <w:cantSplit/>
        </w:trPr>
        <w:tc>
          <w:tcPr>
            <w:tcW w:type="dxa" w:w="7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jc w:val="center"/>
            </w:pPr>
            <w:r>
              <w:rPr>
                <w:b/>
                <w:bCs/>
                <w:sz w:val="21"/>
                <w:szCs w:val="21"/>
              </w:rPr>
              <w:t xml:space="preserve">6</w:t>
            </w:r>
          </w:p>
        </w:tc>
        <w:tc>
          <w:tcPr>
            <w:tcW w:type="dxa" w:w="7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30" w:before="0"/>
            </w:pPr>
            <w:r>
              <w:rPr>
                <w:b/>
                <w:bCs/>
                <w:sz w:val="21"/>
                <w:szCs w:val="21"/>
              </w:rPr>
              <w:t xml:space="preserve">Weighted fusion — instantaneous stress</w:t>
            </w:r>
          </w:p>
          <w:p>
            <w:pPr>
              <w:spacing w:after="20" w:before="0"/>
            </w:pPr>
            <w:r>
              <w:rPr>
                <w:b/>
                <w:bCs/>
                <w:color w:val="404040"/>
                <w:sz w:val="19"/>
                <w:szCs w:val="19"/>
              </w:rPr>
              <w:t xml:space="preserve">Why: </w:t>
            </w:r>
            <w:r>
              <w:rPr>
                <w:color w:val="404040"/>
                <w:sz w:val="19"/>
                <w:szCs w:val="19"/>
              </w:rPr>
              <w:t xml:space="preserve">Combine three physiological signals into one number. Weights reflect physiological specificity: EDA is purely sympathetic (highest weight), HRV is purely parasympathetic (mid), HR is mixed (lowest).</w:t>
            </w:r>
          </w:p>
          <w:p>
            <w:pPr>
              <w:spacing w:after="20" w:before="0"/>
            </w:pPr>
            <w:r>
              <w:rPr>
                <w:b/>
                <w:bCs/>
                <w:color w:val="404040"/>
                <w:sz w:val="19"/>
                <w:szCs w:val="19"/>
              </w:rPr>
              <w:t xml:space="preserve">In: </w:t>
            </w:r>
            <w:r>
              <w:rPr>
                <w:color w:val="404040"/>
                <w:sz w:val="19"/>
                <w:szCs w:val="19"/>
              </w:rPr>
              <w:t xml:space="preserve">ΔHR, ΔHRV, ΔEDA from Step 5.</w:t>
            </w:r>
          </w:p>
          <w:p>
            <w:pPr>
              <w:spacing w:after="20" w:before="0"/>
            </w:pPr>
            <w:r>
              <w:rPr>
                <w:b/>
                <w:bCs/>
                <w:color w:val="404040"/>
                <w:sz w:val="19"/>
                <w:szCs w:val="19"/>
              </w:rPr>
              <w:t xml:space="preserve">Out: </w:t>
            </w:r>
            <w:r>
              <w:rPr>
                <w:color w:val="404040"/>
                <w:sz w:val="19"/>
                <w:szCs w:val="19"/>
              </w:rPr>
              <w:t xml:space="preserve">Single instantaneous stress value S_instant (a number, signed: positive = stressed).</w:t>
            </w:r>
          </w:p>
          <w:p>
            <w:pPr>
              <w:spacing w:after="30" w:before="0"/>
            </w:pPr>
            <w:r>
              <w:t xml:space="preserve"/>
            </w:r>
          </w:p>
          <w:p>
            <w:pPr>
              <w:spacing w:after="0" w:before="0"/>
            </w:pPr>
            <w:r>
              <w:rPr>
                <w:sz w:val="19"/>
                <w:szCs w:val="19"/>
              </w:rPr>
              <w:t xml:space="preserve">S_instant = 0.5 · ΔEDA  +  0.3 · ΔHRV  +  0.2 · ΔHR</w:t>
            </w:r>
          </w:p>
        </w:tc>
        <w:tc>
          <w:tcPr>
            <w:tcW w:type="dxa" w:w="30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pPr>
            <w:r>
              <w:rPr>
                <w:sz w:val="19"/>
                <w:szCs w:val="19"/>
              </w:rPr>
              <w:t xml:space="preserve">Posada-Quintero &amp; Chon, 2020 (EDA solely sympathetic) </w:t>
            </w:r>
            <w:hyperlink w:history="1" r:id="rId8wezizuf3zgwqjjvots3n">
              <w:r>
                <w:rPr>
                  <w:color w:val="000000"/>
                  <w:sz w:val="19"/>
                  <w:szCs w:val="19"/>
                  <w:u w:val="single"/>
                </w:rPr>
                <w:t xml:space="preserve">[6]</w:t>
              </w:r>
            </w:hyperlink>
          </w:p>
          <w:p>
            <w:pPr>
              <w:spacing w:after="0" w:before="0"/>
            </w:pPr>
            <w:r>
              <w:rPr>
                <w:sz w:val="19"/>
                <w:szCs w:val="19"/>
              </w:rPr>
              <w:t xml:space="preserve">Baghestani et al., 2024 (recent SNS-EDA confirmation) </w:t>
            </w:r>
            <w:hyperlink w:history="1" r:id="rIdkd4aqrheutiyl_mofuvzm">
              <w:r>
                <w:rPr>
                  <w:color w:val="000000"/>
                  <w:sz w:val="19"/>
                  <w:szCs w:val="19"/>
                  <w:u w:val="single"/>
                </w:rPr>
                <w:t xml:space="preserve">[1]</w:t>
              </w:r>
            </w:hyperlink>
          </w:p>
          <w:p>
            <w:pPr>
              <w:spacing w:after="0" w:before="0"/>
            </w:pPr>
            <w:r>
              <w:rPr>
                <w:sz w:val="19"/>
                <w:szCs w:val="19"/>
              </w:rPr>
              <w:t xml:space="preserve">Gamboa et al., 2025 (PLUX, current literature) </w:t>
            </w:r>
            <w:hyperlink w:history="1" r:id="rIdq2h9bgyliydg-gs-p90jr">
              <w:r>
                <w:rPr>
                  <w:color w:val="000000"/>
                  <w:sz w:val="19"/>
                  <w:szCs w:val="19"/>
                  <w:u w:val="single"/>
                </w:rPr>
                <w:t xml:space="preserve">[4]</w:t>
              </w:r>
            </w:hyperlink>
          </w:p>
        </w:tc>
      </w:tr>
      <w:tr>
        <w:trPr>
          <w:cantSplit/>
        </w:trPr>
        <w:tc>
          <w:tcPr>
            <w:tcW w:type="dxa" w:w="7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jc w:val="center"/>
            </w:pPr>
            <w:r>
              <w:rPr>
                <w:b/>
                <w:bCs/>
                <w:sz w:val="21"/>
                <w:szCs w:val="21"/>
              </w:rPr>
              <w:t xml:space="preserve">7</w:t>
            </w:r>
          </w:p>
        </w:tc>
        <w:tc>
          <w:tcPr>
            <w:tcW w:type="dxa" w:w="7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30" w:before="0"/>
            </w:pPr>
            <w:r>
              <w:rPr>
                <w:b/>
                <w:bCs/>
                <w:sz w:val="21"/>
                <w:szCs w:val="21"/>
              </w:rPr>
              <w:t xml:space="preserve">Rolling-mean smoothing (50 samples = 1 s @ 50 Hz)</w:t>
            </w:r>
          </w:p>
          <w:p>
            <w:pPr>
              <w:spacing w:after="20" w:before="0"/>
            </w:pPr>
            <w:r>
              <w:rPr>
                <w:b/>
                <w:bCs/>
                <w:color w:val="404040"/>
                <w:sz w:val="19"/>
                <w:szCs w:val="19"/>
              </w:rPr>
              <w:t xml:space="preserve">Why: </w:t>
            </w:r>
            <w:r>
              <w:rPr>
                <w:color w:val="404040"/>
                <w:sz w:val="19"/>
                <w:szCs w:val="19"/>
              </w:rPr>
              <w:t xml:space="preserve">Single-sample S_instant is jittery. Averaging over 1 second of samples removes residual noise without lagging the signal noticeably. From here on, S_t is the canonical stress measurement.</w:t>
            </w:r>
          </w:p>
          <w:p>
            <w:pPr>
              <w:spacing w:after="20" w:before="0"/>
            </w:pPr>
            <w:r>
              <w:rPr>
                <w:b/>
                <w:bCs/>
                <w:color w:val="404040"/>
                <w:sz w:val="19"/>
                <w:szCs w:val="19"/>
              </w:rPr>
              <w:t xml:space="preserve">In: </w:t>
            </w:r>
            <w:r>
              <w:rPr>
                <w:color w:val="404040"/>
                <w:sz w:val="19"/>
                <w:szCs w:val="19"/>
              </w:rPr>
              <w:t xml:space="preserve">Stream of S_instant from Step 6.</w:t>
            </w:r>
          </w:p>
          <w:p>
            <w:pPr>
              <w:spacing w:after="20" w:before="0"/>
            </w:pPr>
            <w:r>
              <w:rPr>
                <w:b/>
                <w:bCs/>
                <w:color w:val="404040"/>
                <w:sz w:val="19"/>
                <w:szCs w:val="19"/>
              </w:rPr>
              <w:t xml:space="preserve">Out: </w:t>
            </w:r>
            <w:r>
              <w:rPr>
                <w:color w:val="404040"/>
                <w:sz w:val="19"/>
                <w:szCs w:val="19"/>
              </w:rPr>
              <w:t xml:space="preserve">Smoothed stress index S_t (one value per output tick).</w:t>
            </w:r>
          </w:p>
          <w:p>
            <w:pPr>
              <w:spacing w:after="30" w:before="0"/>
            </w:pPr>
            <w:r>
              <w:t xml:space="preserve"/>
            </w:r>
          </w:p>
          <w:p>
            <w:pPr>
              <w:spacing w:after="0" w:before="0"/>
            </w:pPr>
            <w:r>
              <w:rPr>
                <w:sz w:val="19"/>
                <w:szCs w:val="19"/>
              </w:rPr>
              <w:t xml:space="preserve">S_t = (1/50) · Σ_{k = t−49 … t}  S_instant,k</w:t>
            </w:r>
          </w:p>
        </w:tc>
        <w:tc>
          <w:tcPr>
            <w:tcW w:type="dxa" w:w="30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pPr>
            <w:r>
              <w:rPr>
                <w:sz w:val="19"/>
                <w:szCs w:val="19"/>
              </w:rPr>
              <w:t xml:space="preserve">Statistical convention</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jc w:val="center"/>
            </w:pPr>
            <w:r>
              <w:rPr>
                <w:b/>
                <w:bCs/>
                <w:sz w:val="21"/>
                <w:szCs w:val="21"/>
              </w:rPr>
              <w:t xml:space="preserve">8</w:t>
            </w:r>
          </w:p>
        </w:tc>
        <w:tc>
          <w:tcPr>
            <w:tcW w:type="dxa" w:w="7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30" w:before="0"/>
            </w:pPr>
            <w:r>
              <w:rPr>
                <w:b/>
                <w:bCs/>
                <w:sz w:val="21"/>
                <w:szCs w:val="21"/>
              </w:rPr>
              <w:t xml:space="preserve">Welford running standard deviation</w:t>
            </w:r>
          </w:p>
          <w:p>
            <w:pPr>
              <w:spacing w:after="20" w:before="0"/>
            </w:pPr>
            <w:r>
              <w:rPr>
                <w:b/>
                <w:bCs/>
                <w:color w:val="404040"/>
                <w:sz w:val="19"/>
                <w:szCs w:val="19"/>
              </w:rPr>
              <w:t xml:space="preserve">Why: </w:t>
            </w:r>
            <w:r>
              <w:rPr>
                <w:color w:val="404040"/>
                <w:sz w:val="19"/>
                <w:szCs w:val="19"/>
              </w:rPr>
              <w:t xml:space="preserve">We need σ_S to set thresholds in Step 9, but we can't store the full session history (sessions can be hours long). Welford's algorithm computes the same σ as a one-pass batch computation, but uses constant memory.</w:t>
            </w:r>
          </w:p>
          <w:p>
            <w:pPr>
              <w:spacing w:after="20" w:before="0"/>
            </w:pPr>
            <w:r>
              <w:rPr>
                <w:b/>
                <w:bCs/>
                <w:color w:val="404040"/>
                <w:sz w:val="19"/>
                <w:szCs w:val="19"/>
              </w:rPr>
              <w:t xml:space="preserve">In: </w:t>
            </w:r>
            <w:r>
              <w:rPr>
                <w:color w:val="404040"/>
                <w:sz w:val="19"/>
                <w:szCs w:val="19"/>
              </w:rPr>
              <w:t xml:space="preserve">Each new S_t from Step 7.</w:t>
            </w:r>
          </w:p>
          <w:p>
            <w:pPr>
              <w:spacing w:after="20" w:before="0"/>
            </w:pPr>
            <w:r>
              <w:rPr>
                <w:b/>
                <w:bCs/>
                <w:color w:val="404040"/>
                <w:sz w:val="19"/>
                <w:szCs w:val="19"/>
              </w:rPr>
              <w:t xml:space="preserve">Out: </w:t>
            </w:r>
            <w:r>
              <w:rPr>
                <w:color w:val="404040"/>
                <w:sz w:val="19"/>
                <w:szCs w:val="19"/>
              </w:rPr>
              <w:t xml:space="preserve">Running mean μ_S and running standard deviation σ_S, updated incrementally.</w:t>
            </w:r>
          </w:p>
          <w:p>
            <w:pPr>
              <w:spacing w:after="30" w:before="0"/>
            </w:pPr>
            <w:r>
              <w:t xml:space="preserve"/>
            </w:r>
          </w:p>
          <w:p>
            <w:pPr>
              <w:spacing w:after="0" w:before="0"/>
            </w:pPr>
            <w:r>
              <w:rPr>
                <w:sz w:val="19"/>
                <w:szCs w:val="19"/>
              </w:rPr>
              <w:t xml:space="preserve">n      ← n + 1</w:t>
            </w:r>
          </w:p>
          <w:p>
            <w:pPr>
              <w:spacing w:after="0" w:before="0"/>
            </w:pPr>
            <w:r>
              <w:rPr>
                <w:sz w:val="19"/>
                <w:szCs w:val="19"/>
              </w:rPr>
              <w:t xml:space="preserve">δ      ← S_t − μ_old</w:t>
            </w:r>
          </w:p>
          <w:p>
            <w:pPr>
              <w:spacing w:after="0" w:before="0"/>
            </w:pPr>
            <w:r>
              <w:rPr>
                <w:sz w:val="19"/>
                <w:szCs w:val="19"/>
              </w:rPr>
              <w:t xml:space="preserve">μ_new  ← μ_old + δ / n</w:t>
            </w:r>
          </w:p>
          <w:p>
            <w:pPr>
              <w:spacing w:after="0" w:before="0"/>
            </w:pPr>
            <w:r>
              <w:rPr>
                <w:sz w:val="19"/>
                <w:szCs w:val="19"/>
              </w:rPr>
              <w:t xml:space="preserve">M₂     ← M₂ + δ · (S_t − μ_new)</w:t>
            </w:r>
          </w:p>
          <w:p>
            <w:pPr>
              <w:spacing w:after="0" w:before="0"/>
            </w:pPr>
            <w:r>
              <w:rPr>
                <w:sz w:val="19"/>
                <w:szCs w:val="19"/>
              </w:rPr>
              <w:t xml:space="preserve">σ_S²   ← M₂ / n</w:t>
            </w:r>
          </w:p>
        </w:tc>
        <w:tc>
          <w:tcPr>
            <w:tcW w:type="dxa" w:w="30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pPr>
            <w:r>
              <w:rPr>
                <w:sz w:val="19"/>
                <w:szCs w:val="19"/>
              </w:rPr>
              <w:t xml:space="preserve">Welford, 1962, pp. 419–420 </w:t>
            </w:r>
            <w:hyperlink w:history="1" r:id="rId19dq_iyc7pcas5wt-az3b">
              <w:r>
                <w:rPr>
                  <w:color w:val="000000"/>
                  <w:sz w:val="19"/>
                  <w:szCs w:val="19"/>
                  <w:u w:val="single"/>
                </w:rPr>
                <w:t xml:space="preserve">[9]</w:t>
              </w:r>
            </w:hyperlink>
          </w:p>
        </w:tc>
      </w:tr>
      <w:tr>
        <w:trPr>
          <w:cantSplit/>
        </w:trPr>
        <w:tc>
          <w:tcPr>
            <w:tcW w:type="dxa" w:w="7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jc w:val="center"/>
            </w:pPr>
            <w:r>
              <w:rPr>
                <w:b/>
                <w:bCs/>
                <w:sz w:val="21"/>
                <w:szCs w:val="21"/>
              </w:rPr>
              <w:t xml:space="preserve">9</w:t>
            </w:r>
          </w:p>
        </w:tc>
        <w:tc>
          <w:tcPr>
            <w:tcW w:type="dxa" w:w="7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30" w:before="0"/>
            </w:pPr>
            <w:r>
              <w:rPr>
                <w:b/>
                <w:bCs/>
                <w:sz w:val="21"/>
                <w:szCs w:val="21"/>
              </w:rPr>
              <w:t xml:space="preserve">Threshold derivation</w:t>
            </w:r>
          </w:p>
          <w:p>
            <w:pPr>
              <w:spacing w:after="20" w:before="0"/>
            </w:pPr>
            <w:r>
              <w:rPr>
                <w:b/>
                <w:bCs/>
                <w:color w:val="404040"/>
                <w:sz w:val="19"/>
                <w:szCs w:val="19"/>
              </w:rPr>
              <w:t xml:space="preserve">Why: </w:t>
            </w:r>
            <w:r>
              <w:rPr>
                <w:color w:val="404040"/>
                <w:sz w:val="19"/>
                <w:szCs w:val="19"/>
              </w:rPr>
              <w:t xml:space="preserve">Define how big a deviation has to be before it counts as 'stressed' or 'ultra-stressed'. Multiplying σ_S by these constants yields the corresponding standard-normal percentiles, so deviations are interpretable in statistical terms.</w:t>
            </w:r>
          </w:p>
          <w:p>
            <w:pPr>
              <w:spacing w:after="20" w:before="0"/>
            </w:pPr>
            <w:r>
              <w:rPr>
                <w:b/>
                <w:bCs/>
                <w:color w:val="404040"/>
                <w:sz w:val="19"/>
                <w:szCs w:val="19"/>
              </w:rPr>
              <w:t xml:space="preserve">In: </w:t>
            </w:r>
            <w:r>
              <w:rPr>
                <w:color w:val="404040"/>
                <w:sz w:val="19"/>
                <w:szCs w:val="19"/>
              </w:rPr>
              <w:t xml:space="preserve">σ_S from Step 8.</w:t>
            </w:r>
          </w:p>
          <w:p>
            <w:pPr>
              <w:spacing w:after="20" w:before="0"/>
            </w:pPr>
            <w:r>
              <w:rPr>
                <w:b/>
                <w:bCs/>
                <w:color w:val="404040"/>
                <w:sz w:val="19"/>
                <w:szCs w:val="19"/>
              </w:rPr>
              <w:t xml:space="preserve">Out: </w:t>
            </w:r>
            <w:r>
              <w:rPr>
                <w:color w:val="404040"/>
                <w:sz w:val="19"/>
                <w:szCs w:val="19"/>
              </w:rPr>
              <w:t xml:space="preserve">Two threshold values, updated each tick. Used by Step 10.</w:t>
            </w:r>
          </w:p>
          <w:p>
            <w:pPr>
              <w:spacing w:after="30" w:before="0"/>
            </w:pPr>
            <w:r>
              <w:t xml:space="preserve"/>
            </w:r>
          </w:p>
          <w:p>
            <w:pPr>
              <w:spacing w:after="0" w:before="0"/>
            </w:pPr>
            <w:r>
              <w:rPr>
                <w:sz w:val="19"/>
                <w:szCs w:val="19"/>
              </w:rPr>
              <w:t xml:space="preserve">thresh_mild = 1.33 · σ_S       (boundary: calm / stressed)</w:t>
            </w:r>
          </w:p>
          <w:p>
            <w:pPr>
              <w:spacing w:after="0" w:before="0"/>
            </w:pPr>
            <w:r>
              <w:rPr>
                <w:sz w:val="19"/>
                <w:szCs w:val="19"/>
              </w:rPr>
              <w:t xml:space="preserve">thresh_high = 2.28 · σ_S       (boundary: stressed / ultra_stressed)</w:t>
            </w:r>
          </w:p>
          <w:p>
            <w:pPr>
              <w:spacing w:after="0" w:before="0"/>
            </w:pPr>
            <w:r>
              <w:rPr>
                <w:sz w:val="19"/>
                <w:szCs w:val="19"/>
              </w:rPr>
              <w:t xml:space="preserve">(≈ 90th and 99th percentile of standard normal)</w:t>
            </w:r>
          </w:p>
        </w:tc>
        <w:tc>
          <w:tcPr>
            <w:tcW w:type="dxa" w:w="30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pPr>
            <w:r>
              <w:rPr>
                <w:sz w:val="19"/>
                <w:szCs w:val="19"/>
              </w:rPr>
              <w:t xml:space="preserve">Statistical convention</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jc w:val="center"/>
            </w:pPr>
            <w:r>
              <w:rPr>
                <w:b/>
                <w:bCs/>
                <w:sz w:val="21"/>
                <w:szCs w:val="21"/>
              </w:rPr>
              <w:t xml:space="preserve">10</w:t>
            </w:r>
          </w:p>
        </w:tc>
        <w:tc>
          <w:tcPr>
            <w:tcW w:type="dxa" w:w="7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30" w:before="0"/>
            </w:pPr>
            <w:r>
              <w:rPr>
                <w:b/>
                <w:bCs/>
                <w:sz w:val="21"/>
                <w:szCs w:val="21"/>
              </w:rPr>
              <w:t xml:space="preserve">State classification + rate-based balloon control</w:t>
            </w:r>
          </w:p>
          <w:p>
            <w:pPr>
              <w:spacing w:after="20" w:before="0"/>
            </w:pPr>
            <w:r>
              <w:rPr>
                <w:b/>
                <w:bCs/>
                <w:color w:val="404040"/>
                <w:sz w:val="19"/>
                <w:szCs w:val="19"/>
              </w:rPr>
              <w:t xml:space="preserve">Why: </w:t>
            </w:r>
            <w:r>
              <w:rPr>
                <w:color w:val="404040"/>
                <w:sz w:val="19"/>
                <w:szCs w:val="19"/>
              </w:rPr>
              <w:t xml:space="preserve">This is the therapeutic core. The balloon implements graded exposure: descend when participant is overwhelmed (relief), hold when in the goal stress band, ascend when too calm (more exposure). Three difficulty modes let the operator scale the height range to the participant's tolerance. Rates scale with the range so all modes feel equally responsive.</w:t>
            </w:r>
          </w:p>
          <w:p>
            <w:pPr>
              <w:spacing w:after="20" w:before="0"/>
            </w:pPr>
            <w:r>
              <w:rPr>
                <w:b/>
                <w:bCs/>
                <w:color w:val="404040"/>
                <w:sz w:val="19"/>
                <w:szCs w:val="19"/>
              </w:rPr>
              <w:t xml:space="preserve">In: </w:t>
            </w:r>
            <w:r>
              <w:rPr>
                <w:color w:val="404040"/>
                <w:sz w:val="19"/>
                <w:szCs w:val="19"/>
              </w:rPr>
              <w:t xml:space="preserve">S_t, thresh_mild, thresh_high, mode (easy/moderate/intense from Unity).</w:t>
            </w:r>
          </w:p>
          <w:p>
            <w:pPr>
              <w:spacing w:after="20" w:before="0"/>
            </w:pPr>
            <w:r>
              <w:rPr>
                <w:b/>
                <w:bCs/>
                <w:color w:val="404040"/>
                <w:sz w:val="19"/>
                <w:szCs w:val="19"/>
              </w:rPr>
              <w:t xml:space="preserve">Out: </w:t>
            </w:r>
            <w:r>
              <w:rPr>
                <w:color w:val="404040"/>
                <w:sz w:val="19"/>
                <w:szCs w:val="19"/>
              </w:rPr>
              <w:t xml:space="preserve">State label (calm/stressed/ultra_stressed) and balloon target height y_t.</w:t>
            </w:r>
          </w:p>
          <w:p>
            <w:pPr>
              <w:spacing w:after="30" w:before="0"/>
            </w:pPr>
            <w:r>
              <w:t xml:space="preserve"/>
            </w:r>
          </w:p>
          <w:p>
            <w:pPr>
              <w:spacing w:after="0" w:before="0"/>
            </w:pPr>
            <w:r>
              <w:rPr>
                <w:sz w:val="19"/>
                <w:szCs w:val="19"/>
              </w:rPr>
              <w:t xml:space="preserve">Three states (all on positive side; acrophobia paradigm — going below baseline is rare):</w:t>
            </w:r>
          </w:p>
          <w:p>
            <w:pPr>
              <w:spacing w:after="0" w:before="0"/>
            </w:pPr>
            <w:r>
              <w:rPr>
                <w:sz w:val="19"/>
                <w:szCs w:val="19"/>
              </w:rPr>
              <w:t xml:space="preserve">  ultra_stressed   if  S_t &gt; +thresh_high</w:t>
            </w:r>
          </w:p>
          <w:p>
            <w:pPr>
              <w:spacing w:after="0" w:before="0"/>
            </w:pPr>
            <w:r>
              <w:rPr>
                <w:sz w:val="19"/>
                <w:szCs w:val="19"/>
              </w:rPr>
              <w:t xml:space="preserve">  stressed         if  +thresh_mild &lt; S_t ≤ +thresh_high   (goal zone)</w:t>
            </w:r>
          </w:p>
          <w:p>
            <w:pPr>
              <w:spacing w:after="0" w:before="0"/>
            </w:pPr>
            <w:r>
              <w:rPr>
                <w:sz w:val="19"/>
                <w:szCs w:val="19"/>
              </w:rPr>
              <w:t xml:space="preserve">  calm             if  S_t ≤ +thresh_mild</w:t>
            </w:r>
          </w:p>
          <w:p>
            <w:pPr>
              <w:spacing w:after="0" w:before="0"/>
            </w:pPr>
            <w:r>
              <w:rPr>
                <w:sz w:val="19"/>
                <w:szCs w:val="19"/>
              </w:rPr>
              <w:t xml:space="preserve"/>
            </w:r>
          </w:p>
          <w:p>
            <w:pPr>
              <w:spacing w:after="0" w:before="0"/>
            </w:pPr>
            <w:r>
              <w:rPr>
                <w:sz w:val="19"/>
                <w:szCs w:val="19"/>
              </w:rPr>
              <w:t xml:space="preserve">Difficulty mode (selected by Unity at session start):</w:t>
            </w:r>
          </w:p>
          <w:p>
            <w:pPr>
              <w:spacing w:after="0" w:before="0"/>
            </w:pPr>
            <w:r>
              <w:rPr>
                <w:sz w:val="19"/>
                <w:szCs w:val="19"/>
              </w:rPr>
              <w:t xml:space="preserve">  easy:      y_low = 20 m,  y_high = 30 m,  y_mid = 25.0 m   (range 10 m)</w:t>
            </w:r>
          </w:p>
          <w:p>
            <w:pPr>
              <w:spacing w:after="0" w:before="0"/>
            </w:pPr>
            <w:r>
              <w:rPr>
                <w:sz w:val="19"/>
                <w:szCs w:val="19"/>
              </w:rPr>
              <w:t xml:space="preserve">  moderate:  y_low = 30 m,  y_high = 45 m,  y_mid = 37.5 m   (range 15 m)</w:t>
            </w:r>
          </w:p>
          <w:p>
            <w:pPr>
              <w:spacing w:after="0" w:before="0"/>
            </w:pPr>
            <w:r>
              <w:rPr>
                <w:sz w:val="19"/>
                <w:szCs w:val="19"/>
              </w:rPr>
              <w:t xml:space="preserve">  intense:   y_low = 45 m,  y_high = 65 m,  y_mid = 55.0 m   (range 20 m)</w:t>
            </w:r>
          </w:p>
          <w:p>
            <w:pPr>
              <w:spacing w:after="0" w:before="0"/>
            </w:pPr>
            <w:r>
              <w:rPr>
                <w:sz w:val="19"/>
                <w:szCs w:val="19"/>
              </w:rPr>
              <w:t xml:space="preserve"/>
            </w:r>
          </w:p>
          <w:p>
            <w:pPr>
              <w:spacing w:after="0" w:before="0"/>
            </w:pPr>
            <w:r>
              <w:rPr>
                <w:sz w:val="19"/>
                <w:szCs w:val="19"/>
              </w:rPr>
              <w:t xml:space="preserve">y_mid is the geometric midpoint and the balloon's starting height each session.</w:t>
            </w:r>
          </w:p>
          <w:p>
            <w:pPr>
              <w:spacing w:after="0" w:before="0"/>
            </w:pPr>
            <w:r>
              <w:rPr>
                <w:sz w:val="19"/>
                <w:szCs w:val="19"/>
              </w:rPr>
              <w:t xml:space="preserve"/>
            </w:r>
          </w:p>
          <w:p>
            <w:pPr>
              <w:spacing w:after="0" w:before="0"/>
            </w:pPr>
            <w:r>
              <w:rPr>
                <w:sz w:val="19"/>
                <w:szCs w:val="19"/>
              </w:rPr>
              <w:t xml:space="preserve">Rate-based balloon update (Δt = 1/output rate):</w:t>
            </w:r>
          </w:p>
          <w:p>
            <w:pPr>
              <w:spacing w:after="0" w:before="0"/>
            </w:pPr>
            <w:r>
              <w:rPr>
                <w:sz w:val="19"/>
                <w:szCs w:val="19"/>
              </w:rPr>
              <w:t xml:space="preserve">  if state = ultra_stressed:    y_(t+1) = y_t − k_down · Δt</w:t>
            </w:r>
          </w:p>
          <w:p>
            <w:pPr>
              <w:spacing w:after="0" w:before="0"/>
            </w:pPr>
            <w:r>
              <w:rPr>
                <w:sz w:val="19"/>
                <w:szCs w:val="19"/>
              </w:rPr>
              <w:t xml:space="preserve">  if state = stressed:          y_(t+1) = y_t                (hold)</w:t>
            </w:r>
          </w:p>
          <w:p>
            <w:pPr>
              <w:spacing w:after="0" w:before="0"/>
            </w:pPr>
            <w:r>
              <w:rPr>
                <w:sz w:val="19"/>
                <w:szCs w:val="19"/>
              </w:rPr>
              <w:t xml:space="preserve">  if state = calm:              y_(t+1) = y_t + k_up   · Δt</w:t>
            </w:r>
          </w:p>
          <w:p>
            <w:pPr>
              <w:spacing w:after="0" w:before="0"/>
            </w:pPr>
            <w:r>
              <w:rPr>
                <w:sz w:val="19"/>
                <w:szCs w:val="19"/>
              </w:rPr>
              <w:t xml:space="preserve">  clamped to [y_low, y_high]</w:t>
            </w:r>
          </w:p>
          <w:p>
            <w:pPr>
              <w:spacing w:after="0" w:before="0"/>
            </w:pPr>
            <w:r>
              <w:rPr>
                <w:sz w:val="19"/>
                <w:szCs w:val="19"/>
              </w:rPr>
              <w:t xml:space="preserve"/>
            </w:r>
          </w:p>
          <w:p>
            <w:pPr>
              <w:spacing w:after="0" w:before="0"/>
            </w:pPr>
            <w:r>
              <w:rPr>
                <w:sz w:val="19"/>
                <w:szCs w:val="19"/>
              </w:rPr>
              <w:t xml:space="preserve">Rates SCALED with mode range so traversal time is constant across modes:</w:t>
            </w:r>
          </w:p>
          <w:p>
            <w:pPr>
              <w:spacing w:after="0" w:before="0"/>
            </w:pPr>
            <w:r>
              <w:rPr>
                <w:sz w:val="19"/>
                <w:szCs w:val="19"/>
              </w:rPr>
              <w:t xml:space="preserve">  k_down = c_down · (y_high − y_low),   k_up = c_up · (y_high − y_low)</w:t>
            </w:r>
          </w:p>
          <w:p>
            <w:pPr>
              <w:spacing w:after="0" w:before="0"/>
            </w:pPr>
            <w:r>
              <w:rPr>
                <w:sz w:val="19"/>
                <w:szCs w:val="19"/>
              </w:rPr>
              <w:t xml:space="preserve">  c_down = 0.010 / s,  c_up = 0.005 / s   (asymmetric: relief faster than re-exposure)</w:t>
            </w:r>
          </w:p>
          <w:p>
            <w:pPr>
              <w:spacing w:after="0" w:before="0"/>
            </w:pPr>
            <w:r>
              <w:rPr>
                <w:sz w:val="19"/>
                <w:szCs w:val="19"/>
              </w:rPr>
              <w:t xml:space="preserve">  → easy: k_down=0.10, k_up=0.05;  moderate: k_down=0.15, k_up=0.075;  intense: k_down=0.20, k_up=0.10  (m/s)</w:t>
            </w:r>
          </w:p>
          <w:p>
            <w:pPr>
              <w:spacing w:after="0" w:before="0"/>
            </w:pPr>
            <w:r>
              <w:rPr>
                <w:sz w:val="19"/>
                <w:szCs w:val="19"/>
              </w:rPr>
              <w:t xml:space="preserve"/>
            </w:r>
          </w:p>
          <w:p>
            <w:pPr>
              <w:spacing w:after="0" w:before="0"/>
            </w:pPr>
            <w:r>
              <w:rPr>
                <w:sz w:val="19"/>
                <w:szCs w:val="19"/>
              </w:rPr>
              <w:t xml:space="preserve">Per-frame Unity lerp toward the running y target:</w:t>
            </w:r>
          </w:p>
          <w:p>
            <w:pPr>
              <w:spacing w:after="0" w:before="0"/>
            </w:pPr>
            <w:r>
              <w:rPr>
                <w:sz w:val="19"/>
                <w:szCs w:val="19"/>
              </w:rPr>
              <w:t xml:space="preserve">  y_render_(t+1) = y_render_t + λ · (y_t − y_render_t),   λ ∈ (0, 1]</w:t>
            </w:r>
          </w:p>
        </w:tc>
        <w:tc>
          <w:tcPr>
            <w:tcW w:type="dxa" w:w="30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pPr>
            <w:r>
              <w:rPr>
                <w:sz w:val="19"/>
                <w:szCs w:val="19"/>
              </w:rPr>
              <w:t xml:space="preserve">Engineering design</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jc w:val="center"/>
            </w:pPr>
            <w:r>
              <w:rPr>
                <w:b/>
                <w:bCs/>
                <w:sz w:val="21"/>
                <w:szCs w:val="21"/>
              </w:rPr>
              <w:t xml:space="preserve">11</w:t>
            </w:r>
          </w:p>
        </w:tc>
        <w:tc>
          <w:tcPr>
            <w:tcW w:type="dxa" w:w="71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30" w:before="0"/>
            </w:pPr>
            <w:r>
              <w:rPr>
                <w:b/>
                <w:bCs/>
                <w:sz w:val="21"/>
                <w:szCs w:val="21"/>
              </w:rPr>
              <w:t xml:space="preserve">Dashboard 0–100 score (operator display only — does NOT drive balloon)</w:t>
            </w:r>
          </w:p>
          <w:p>
            <w:pPr>
              <w:spacing w:after="20" w:before="0"/>
            </w:pPr>
            <w:r>
              <w:rPr>
                <w:b/>
                <w:bCs/>
                <w:color w:val="404040"/>
                <w:sz w:val="19"/>
                <w:szCs w:val="19"/>
              </w:rPr>
              <w:t xml:space="preserve">Why: </w:t>
            </w:r>
            <w:r>
              <w:rPr>
                <w:color w:val="404040"/>
                <w:sz w:val="19"/>
                <w:szCs w:val="19"/>
              </w:rPr>
              <w:t xml:space="preserve">Quick visual readout for the operator running the session. Maps S_t to a familiar 0–100 scale, calibrated so 50 marks the stressed boundary and 100 the ultra-stressed boundary.</w:t>
            </w:r>
          </w:p>
          <w:p>
            <w:pPr>
              <w:spacing w:after="20" w:before="0"/>
            </w:pPr>
            <w:r>
              <w:rPr>
                <w:b/>
                <w:bCs/>
                <w:color w:val="404040"/>
                <w:sz w:val="19"/>
                <w:szCs w:val="19"/>
              </w:rPr>
              <w:t xml:space="preserve">In: </w:t>
            </w:r>
            <w:r>
              <w:rPr>
                <w:color w:val="404040"/>
                <w:sz w:val="19"/>
                <w:szCs w:val="19"/>
              </w:rPr>
              <w:t xml:space="preserve">S_t and current thresholds.</w:t>
            </w:r>
          </w:p>
          <w:p>
            <w:pPr>
              <w:spacing w:after="20" w:before="0"/>
            </w:pPr>
            <w:r>
              <w:rPr>
                <w:b/>
                <w:bCs/>
                <w:color w:val="404040"/>
                <w:sz w:val="19"/>
                <w:szCs w:val="19"/>
              </w:rPr>
              <w:t xml:space="preserve">Out: </w:t>
            </w:r>
            <w:r>
              <w:rPr>
                <w:color w:val="404040"/>
                <w:sz w:val="19"/>
                <w:szCs w:val="19"/>
              </w:rPr>
              <w:t xml:space="preserve">Number 0–100 sent to Unity as the `stress` field.</w:t>
            </w:r>
          </w:p>
          <w:p>
            <w:pPr>
              <w:spacing w:after="30" w:before="0"/>
            </w:pPr>
            <w:r>
              <w:t xml:space="preserve"/>
            </w:r>
          </w:p>
          <w:p>
            <w:pPr>
              <w:spacing w:after="0" w:before="0"/>
            </w:pPr>
            <w:r>
              <w:rPr>
                <w:sz w:val="19"/>
                <w:szCs w:val="19"/>
              </w:rPr>
              <w:t xml:space="preserve">Cosmetic mapping for the operator's dashboard, sent to Unity as the `stress` field</w:t>
            </w:r>
          </w:p>
          <w:p>
            <w:pPr>
              <w:spacing w:after="0" w:before="0"/>
            </w:pPr>
            <w:r>
              <w:rPr>
                <w:sz w:val="19"/>
                <w:szCs w:val="19"/>
              </w:rPr>
              <w:t xml:space="preserve">for backwards compatibility with existing visualisation code:</w:t>
            </w:r>
          </w:p>
          <w:p>
            <w:pPr>
              <w:spacing w:after="0" w:before="0"/>
            </w:pPr>
            <w:r>
              <w:rPr>
                <w:sz w:val="19"/>
                <w:szCs w:val="19"/>
              </w:rPr>
              <w:t xml:space="preserve"/>
            </w:r>
          </w:p>
          <w:p>
            <w:pPr>
              <w:spacing w:after="0" w:before="0"/>
            </w:pPr>
            <w:r>
              <w:rPr>
                <w:sz w:val="19"/>
                <w:szCs w:val="19"/>
              </w:rPr>
              <w:t xml:space="preserve">  if S_t ≤ thresh_mild:   display = 50 · (S_t / thresh_mild)</w:t>
            </w:r>
          </w:p>
          <w:p>
            <w:pPr>
              <w:spacing w:after="0" w:before="0"/>
            </w:pPr>
            <w:r>
              <w:rPr>
                <w:sz w:val="19"/>
                <w:szCs w:val="19"/>
              </w:rPr>
              <w:t xml:space="preserve">  if S_t ≤ thresh_high:   display = 50 + 50 · (S_t − thresh_mild) / (thresh_high − thresh_mild)</w:t>
            </w:r>
          </w:p>
          <w:p>
            <w:pPr>
              <w:spacing w:after="0" w:before="0"/>
            </w:pPr>
            <w:r>
              <w:rPr>
                <w:sz w:val="19"/>
                <w:szCs w:val="19"/>
              </w:rPr>
              <w:t xml:space="preserve">  if S_t &gt; thresh_high:   display = 100        (clamped)</w:t>
            </w:r>
          </w:p>
          <w:p>
            <w:pPr>
              <w:spacing w:after="0" w:before="0"/>
            </w:pPr>
            <w:r>
              <w:rPr>
                <w:sz w:val="19"/>
                <w:szCs w:val="19"/>
              </w:rPr>
              <w:t xml:space="preserve"/>
            </w:r>
          </w:p>
          <w:p>
            <w:pPr>
              <w:spacing w:after="0" w:before="0"/>
            </w:pPr>
            <w:r>
              <w:rPr>
                <w:sz w:val="19"/>
                <w:szCs w:val="19"/>
              </w:rPr>
              <w:t xml:space="preserve">Interpretation:  0 = baseline,  50 = entering stressed zone,</w:t>
            </w:r>
          </w:p>
          <w:p>
            <w:pPr>
              <w:spacing w:after="0" w:before="0"/>
            </w:pPr>
            <w:r>
              <w:rPr>
                <w:sz w:val="19"/>
                <w:szCs w:val="19"/>
              </w:rPr>
              <w:t xml:space="preserve">                 100 = entering ultra-stressed zone.</w:t>
            </w:r>
          </w:p>
        </w:tc>
        <w:tc>
          <w:tcPr>
            <w:tcW w:type="dxa" w:w="3000"/>
            <w:tcBorders>
              <w:top w:val="single" w:color="000000" w:sz="4"/>
              <w:left w:val="single" w:color="000000" w:sz="4"/>
              <w:bottom w:val="single" w:color="000000" w:sz="4"/>
              <w:right w:val="single" w:color="000000" w:sz="4"/>
            </w:tcBorders>
            <w:tcMar>
              <w:top w:type="dxa" w:w="60"/>
              <w:left w:type="dxa" w:w="110"/>
              <w:bottom w:type="dxa" w:w="60"/>
              <w:right w:type="dxa" w:w="110"/>
            </w:tcMar>
          </w:tcPr>
          <w:p>
            <w:pPr>
              <w:spacing w:after="0" w:before="0"/>
            </w:pPr>
            <w:r>
              <w:rPr>
                <w:sz w:val="19"/>
                <w:szCs w:val="19"/>
              </w:rPr>
              <w:t xml:space="preserve">Engineering design</w:t>
            </w:r>
          </w:p>
        </w:tc>
      </w:tr>
    </w:tbl>
    <w:p>
      <w:pPr>
        <w:spacing w:after="0" w:before="100"/>
      </w:pPr>
      <w:r>
        <w:rPr>
          <w:b/>
          <w:bCs/>
          <w:sz w:val="21"/>
          <w:szCs w:val="21"/>
        </w:rPr>
        <w:t xml:space="preserve">Outputs per tick (50 Hz): </w:t>
      </w:r>
      <w:r>
        <w:rPr>
          <w:sz w:val="21"/>
          <w:szCs w:val="21"/>
        </w:rPr>
        <w:t xml:space="preserve">S_t,  state (ultra_stressed / stressed / calm),  y_t (balloon target),  display 0–100,  thresh_mild,  thresh_high,  smoothed HR / HRV / EDA,  baseline status,  mode (echoed from Unity).</w:t>
      </w:r>
    </w:p>
    <w:p>
      <w:pPr>
        <w:spacing w:after="180" w:before="360"/>
      </w:pPr>
      <w:r>
        <w:rPr>
          <w:b/>
          <w:bCs/>
          <w:sz w:val="32"/>
          <w:szCs w:val="32"/>
        </w:rPr>
        <w:t xml:space="preserve">References</w:t>
      </w:r>
    </w:p>
    <w:p>
      <w:pPr>
        <w:spacing w:after="30" w:before="100" w:line="280"/>
        <w:ind w:left="540" w:hanging="540"/>
      </w:pPr>
      <w:hyperlink w:history="1" r:id="rIdxmkt4ubxrq0b92vxhndfl">
        <w:r>
          <w:rPr>
            <w:color w:val="000000"/>
            <w:sz w:val="20"/>
            <w:szCs w:val="20"/>
            <w:u w:val="single"/>
          </w:rPr>
          <w:t xml:space="preserve">[1]</w:t>
        </w:r>
      </w:hyperlink>
      <w:r>
        <w:rPr>
          <w:sz w:val="20"/>
          <w:szCs w:val="20"/>
        </w:rPr>
        <w:t xml:space="preserve">  Baghestani, F., Kong, Y., D'Angelo, W., &amp; Chon, K. H. (2024). Analysis of sympathetic responses to cognitive stress and pain through skin sympathetic nerve activity and electrodermal activity. Computers in Biology and Medicine, 173, 108070.</w:t>
      </w:r>
    </w:p>
    <w:p>
      <w:pPr>
        <w:spacing w:after="80" w:before="0" w:line="260"/>
        <w:ind w:left="540"/>
      </w:pPr>
      <w:r>
        <w:rPr>
          <w:b/>
          <w:bCs/>
          <w:sz w:val="18"/>
          <w:szCs w:val="18"/>
        </w:rPr>
        <w:t xml:space="preserve">Cited for: </w:t>
      </w:r>
      <w:r>
        <w:rPr>
          <w:sz w:val="18"/>
          <w:szCs w:val="18"/>
        </w:rPr>
        <w:t xml:space="preserve">Step 6 — recent comparative confirmation that EDA is a well-studied non-invasive marker of sympathetic nervous system assessment, validated against direct nerve recordings under cognitive stress and pain (whole paper).</w:t>
      </w:r>
    </w:p>
    <w:p>
      <w:pPr>
        <w:spacing w:after="30" w:before="100" w:line="280"/>
        <w:ind w:left="540" w:hanging="540"/>
      </w:pPr>
      <w:hyperlink w:history="1" r:id="rId8ui7cfqskajmz0lu1iafy">
        <w:r>
          <w:rPr>
            <w:color w:val="000000"/>
            <w:sz w:val="20"/>
            <w:szCs w:val="20"/>
            <w:u w:val="single"/>
          </w:rPr>
          <w:t xml:space="preserve">[2]</w:t>
        </w:r>
      </w:hyperlink>
      <w:r>
        <w:rPr>
          <w:sz w:val="20"/>
          <w:szCs w:val="20"/>
        </w:rPr>
        <w:t xml:space="preserve">  Billman, G. E. (2013). The LF/HF ratio does not accurately measure cardiac sympatho-vagal balance. Frontiers in Physiology, 4, 26.</w:t>
      </w:r>
    </w:p>
    <w:p>
      <w:pPr>
        <w:spacing w:after="80" w:before="0" w:line="260"/>
        <w:ind w:left="540"/>
      </w:pPr>
      <w:r>
        <w:rPr>
          <w:b/>
          <w:bCs/>
          <w:sz w:val="18"/>
          <w:szCs w:val="18"/>
        </w:rPr>
        <w:t xml:space="preserve">Cited for: </w:t>
      </w:r>
      <w:r>
        <w:rPr>
          <w:sz w:val="18"/>
          <w:szCs w:val="18"/>
        </w:rPr>
        <w:t xml:space="preserve">Step 5 (HRV justification) — argument that the LF/HF ratio cannot accurately quantify cardiac sympathovagal balance (whole paper; central thesis).</w:t>
      </w:r>
    </w:p>
    <w:p>
      <w:pPr>
        <w:spacing w:after="30" w:before="100" w:line="280"/>
        <w:ind w:left="540" w:hanging="540"/>
      </w:pPr>
      <w:hyperlink w:history="1" r:id="rIdwrrjx8_4jxsvvmduth1cn">
        <w:r>
          <w:rPr>
            <w:color w:val="000000"/>
            <w:sz w:val="20"/>
            <w:szCs w:val="20"/>
            <w:u w:val="single"/>
          </w:rPr>
          <w:t xml:space="preserve">[3]</w:t>
        </w:r>
      </w:hyperlink>
      <w:r>
        <w:rPr>
          <w:sz w:val="20"/>
          <w:szCs w:val="20"/>
        </w:rPr>
        <w:t xml:space="preserve">  Boucsein, W., Fowles, D. C., Grimnes, S., Ben-Shakhar, G., Roth, W. T., Dawson, M. E., &amp; Filion, D. L. (2012). Publication recommendations for electrodermal measurements. Psychophysiology, 49(8), 1017–1034.</w:t>
      </w:r>
    </w:p>
    <w:p>
      <w:pPr>
        <w:spacing w:after="80" w:before="0" w:line="260"/>
        <w:ind w:left="540"/>
      </w:pPr>
      <w:r>
        <w:rPr>
          <w:b/>
          <w:bCs/>
          <w:sz w:val="18"/>
          <w:szCs w:val="18"/>
        </w:rPr>
        <w:t xml:space="preserve">Cited for: </w:t>
      </w:r>
      <w:r>
        <w:rPr>
          <w:sz w:val="18"/>
          <w:szCs w:val="18"/>
        </w:rPr>
        <w:t xml:space="preserve">Step 0 — EDA electrode placement on distal phalanges of fingers, nondominant hand. §2.2 Recording Sites and Pretreatment, p. 1022.</w:t>
      </w:r>
    </w:p>
    <w:p>
      <w:pPr>
        <w:spacing w:after="30" w:before="100" w:line="280"/>
        <w:ind w:left="540" w:hanging="540"/>
      </w:pPr>
      <w:hyperlink w:history="1" r:id="rIdexolnz9ewmnpgtglhmqra">
        <w:r>
          <w:rPr>
            <w:color w:val="000000"/>
            <w:sz w:val="20"/>
            <w:szCs w:val="20"/>
            <w:u w:val="single"/>
          </w:rPr>
          <w:t xml:space="preserve">[4]</w:t>
        </w:r>
      </w:hyperlink>
      <w:r>
        <w:rPr>
          <w:sz w:val="20"/>
          <w:szCs w:val="20"/>
        </w:rPr>
        <w:t xml:space="preserve">  Gamboa, P., Varandas, R., Mrotzeck, K., Plácido da Silva, H., &amp; Quaresma, C. (2025). Electrodermal activity analysis at different body locations. Sensors, 25(6), 1762.</w:t>
      </w:r>
    </w:p>
    <w:p>
      <w:pPr>
        <w:spacing w:after="80" w:before="0" w:line="260"/>
        <w:ind w:left="540"/>
      </w:pPr>
      <w:r>
        <w:rPr>
          <w:b/>
          <w:bCs/>
          <w:sz w:val="18"/>
          <w:szCs w:val="18"/>
        </w:rPr>
        <w:t xml:space="preserve">Cited for: </w:t>
      </w:r>
      <w:r>
        <w:rPr>
          <w:sz w:val="18"/>
          <w:szCs w:val="18"/>
        </w:rPr>
        <w:t xml:space="preserve">Step 6 — current biosignals platform literature confirming EDA as a non-invasive measure of the sympathetic nervous system (Abstract). PLUX-affiliated paper.</w:t>
      </w:r>
    </w:p>
    <w:p>
      <w:pPr>
        <w:spacing w:after="30" w:before="100" w:line="280"/>
        <w:ind w:left="540" w:hanging="540"/>
      </w:pPr>
      <w:hyperlink w:history="1" r:id="rIdmn_yy89v3xat2_mup9ltd">
        <w:r>
          <w:rPr>
            <w:color w:val="000000"/>
            <w:sz w:val="20"/>
            <w:szCs w:val="20"/>
            <w:u w:val="single"/>
          </w:rPr>
          <w:t xml:space="preserve">[5]</w:t>
        </w:r>
      </w:hyperlink>
      <w:r>
        <w:rPr>
          <w:sz w:val="20"/>
          <w:szCs w:val="20"/>
        </w:rPr>
        <w:t xml:space="preserve">  Kothe, C., Shirazi, S. Y., Stenner, T., Medine, D., Boulay, C., Grivich, M. I., Artoni, F., Mullen, T., Delorme, A., &amp; Makeig, S. (2025). The lab streaming layer for synchronized multimodal recording. Imaging Neuroscience, 3, IMAG.a.136.</w:t>
      </w:r>
    </w:p>
    <w:p>
      <w:pPr>
        <w:spacing w:after="80" w:before="0" w:line="260"/>
        <w:ind w:left="540"/>
      </w:pPr>
      <w:r>
        <w:rPr>
          <w:b/>
          <w:bCs/>
          <w:sz w:val="18"/>
          <w:szCs w:val="18"/>
        </w:rPr>
        <w:t xml:space="preserve">Cited for: </w:t>
      </w:r>
      <w:r>
        <w:rPr>
          <w:sz w:val="18"/>
          <w:szCs w:val="18"/>
        </w:rPr>
        <w:t xml:space="preserve">Step 0 — LSL middleware: software-based clock synchronisation and millisecond-precise timestamps (Abstract); UDP broadcast and multicast outlet discovery (§2.2.1 The discovery protocol).</w:t>
      </w:r>
    </w:p>
    <w:p>
      <w:pPr>
        <w:spacing w:after="30" w:before="100" w:line="280"/>
        <w:ind w:left="540" w:hanging="540"/>
      </w:pPr>
      <w:hyperlink w:history="1" r:id="rIdonubpgo4e-p_r91p7sq7k">
        <w:r>
          <w:rPr>
            <w:color w:val="000000"/>
            <w:sz w:val="20"/>
            <w:szCs w:val="20"/>
            <w:u w:val="single"/>
          </w:rPr>
          <w:t xml:space="preserve">[6]</w:t>
        </w:r>
      </w:hyperlink>
      <w:r>
        <w:rPr>
          <w:sz w:val="20"/>
          <w:szCs w:val="20"/>
        </w:rPr>
        <w:t xml:space="preserve">  Posada-Quintero, H. F., &amp; Chon, K. H. (2020). Innovations in electrodermal activity data collection and signal processing: A systematic review. Sensors, 20(2), 479.</w:t>
      </w:r>
    </w:p>
    <w:p>
      <w:pPr>
        <w:spacing w:after="80" w:before="0" w:line="260"/>
        <w:ind w:left="540"/>
      </w:pPr>
      <w:r>
        <w:rPr>
          <w:b/>
          <w:bCs/>
          <w:sz w:val="18"/>
          <w:szCs w:val="18"/>
        </w:rPr>
        <w:t xml:space="preserve">Cited for: </w:t>
      </w:r>
      <w:r>
        <w:rPr>
          <w:sz w:val="18"/>
          <w:szCs w:val="18"/>
        </w:rPr>
        <w:t xml:space="preserve">Step 6 — solely sympathetic control of EDA, evidenced by simultaneous sympathetic-nerve and EDA recordings showing direct correspondence between nerve bursts and skin conductance responses (Abstract; §Basics of the Signal Analysis of EDA).</w:t>
      </w:r>
    </w:p>
    <w:p>
      <w:pPr>
        <w:spacing w:after="30" w:before="100" w:line="280"/>
        <w:ind w:left="540" w:hanging="540"/>
      </w:pPr>
      <w:hyperlink w:history="1" r:id="rId_fr0ma6zihszfke9vng_r">
        <w:r>
          <w:rPr>
            <w:color w:val="000000"/>
            <w:sz w:val="20"/>
            <w:szCs w:val="20"/>
            <w:u w:val="single"/>
          </w:rPr>
          <w:t xml:space="preserve">[7]</w:t>
        </w:r>
      </w:hyperlink>
      <w:r>
        <w:rPr>
          <w:sz w:val="20"/>
          <w:szCs w:val="20"/>
        </w:rPr>
        <w:t xml:space="preserve">  Quigley, K. S., Gianaros, P. J., Norman, G. J., Jennings, J. R., Berntson, G. G., &amp; de Geus, E. J. C. (2024). Publication guidelines for human heart rate and heart rate variability studies in psychophysiology — Part 1: Physiological underpinnings and foundations of measurement. Psychophysiology, 61(9), e14604.</w:t>
      </w:r>
    </w:p>
    <w:p>
      <w:pPr>
        <w:spacing w:after="80" w:before="0" w:line="260"/>
        <w:ind w:left="540"/>
      </w:pPr>
      <w:r>
        <w:rPr>
          <w:b/>
          <w:bCs/>
          <w:sz w:val="18"/>
          <w:szCs w:val="18"/>
        </w:rPr>
        <w:t xml:space="preserve">Cited for: </w:t>
      </w:r>
      <w:r>
        <w:rPr>
          <w:sz w:val="18"/>
          <w:szCs w:val="18"/>
        </w:rPr>
        <w:t xml:space="preserve">Step 5 (HRV justification) — modern Committee Report cautioning against LF/HF as a sympathovagal balance index; cardiac sympathetic and parasympathetic activity occupy a 2-dimensional space rather than a single reciprocal axis.</w:t>
      </w:r>
    </w:p>
    <w:p>
      <w:pPr>
        <w:spacing w:after="30" w:before="100" w:line="280"/>
        <w:ind w:left="540" w:hanging="540"/>
      </w:pPr>
      <w:hyperlink w:history="1" r:id="rIdzyq0rhgbwqpslxgv4cocn">
        <w:r>
          <w:rPr>
            <w:color w:val="000000"/>
            <w:sz w:val="20"/>
            <w:szCs w:val="20"/>
            <w:u w:val="single"/>
          </w:rPr>
          <w:t xml:space="preserve">[8]</w:t>
        </w:r>
      </w:hyperlink>
      <w:r>
        <w:rPr>
          <w:sz w:val="20"/>
          <w:szCs w:val="20"/>
        </w:rPr>
        <w:t xml:space="preserve">  Task Force of the European Society of Cardiology and the North American Society of Pacing and Electrophysiology. (1996). Heart rate variability: Standards of measurement, physiological interpretation, and clinical use. Circulation, 93(5), 1043–1065.</w:t>
      </w:r>
    </w:p>
    <w:p>
      <w:pPr>
        <w:spacing w:after="80" w:before="0" w:line="260"/>
        <w:ind w:left="540"/>
      </w:pPr>
      <w:r>
        <w:rPr>
          <w:b/>
          <w:bCs/>
          <w:sz w:val="18"/>
          <w:szCs w:val="18"/>
        </w:rPr>
        <w:t xml:space="preserve">Cited for: </w:t>
      </w:r>
      <w:r>
        <w:rPr>
          <w:sz w:val="18"/>
          <w:szCs w:val="18"/>
        </w:rPr>
        <w:t xml:space="preserve">Step 0 — RMSSD definition (§Measurement of HRV → Time Domain Methods → Statistical Methods). Step 5 — RMSSD inverse to sympathetic arousal, via §Components of HRV (HF reflects efferent vagal activity) combined with Table 3, Approximate Correspondence of Time Domain and Frequency Domain Methods (RMSSD ↔ HF).</w:t>
      </w:r>
    </w:p>
    <w:p>
      <w:pPr>
        <w:spacing w:after="30" w:before="100" w:line="280"/>
        <w:ind w:left="540" w:hanging="540"/>
      </w:pPr>
      <w:hyperlink w:history="1" r:id="rIdtmj_6g-rcxoruu1zngzla">
        <w:r>
          <w:rPr>
            <w:color w:val="000000"/>
            <w:sz w:val="20"/>
            <w:szCs w:val="20"/>
            <w:u w:val="single"/>
          </w:rPr>
          <w:t xml:space="preserve">[9]</w:t>
        </w:r>
      </w:hyperlink>
      <w:r>
        <w:rPr>
          <w:sz w:val="20"/>
          <w:szCs w:val="20"/>
        </w:rPr>
        <w:t xml:space="preserve">  Welford, B. P. (1962). Note on a method for calculating corrected sums of squares and products. Technometrics, 4(3), 419–420.</w:t>
      </w:r>
    </w:p>
    <w:p>
      <w:pPr>
        <w:spacing w:after="80" w:before="0" w:line="260"/>
        <w:ind w:left="540"/>
      </w:pPr>
      <w:r>
        <w:rPr>
          <w:b/>
          <w:bCs/>
          <w:sz w:val="18"/>
          <w:szCs w:val="18"/>
        </w:rPr>
        <w:t xml:space="preserve">Cited for: </w:t>
      </w:r>
      <w:r>
        <w:rPr>
          <w:sz w:val="18"/>
          <w:szCs w:val="18"/>
        </w:rPr>
        <w:t xml:space="preserve">Step 8 — incremental online algorithm for running mean and running variance without storing the full history (whole paper, pp. 419–420).</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t8k5njkamomjkxmirwba" Type="http://schemas.openxmlformats.org/officeDocument/2006/relationships/hyperlink" Target="https://doi.org/10.1111/j.1469-8986.2012.01384.x" TargetMode="External"/><Relationship Id="rIdmckakmru_uk3c_lz_14dj" Type="http://schemas.openxmlformats.org/officeDocument/2006/relationships/hyperlink" Target="https://doi.org/10.1161/01.cir.93.5.1043" TargetMode="External"/><Relationship Id="rIdel9ppf-uibqgrainmldk0" Type="http://schemas.openxmlformats.org/officeDocument/2006/relationships/hyperlink" Target="https://doi.org/10.1162/IMAG.a.136" TargetMode="External"/><Relationship Id="rIdmrwn-4jqqctkyry6elfxl" Type="http://schemas.openxmlformats.org/officeDocument/2006/relationships/hyperlink" Target="https://doi.org/10.1161/01.cir.93.5.1043" TargetMode="External"/><Relationship Id="rIdfuzj8td5fzlyeg1ipgnbb" Type="http://schemas.openxmlformats.org/officeDocument/2006/relationships/hyperlink" Target="https://doi.org/10.3389/fphys.2013.00026" TargetMode="External"/><Relationship Id="rIdws0p_xjg4yl16mj9pu_e2" Type="http://schemas.openxmlformats.org/officeDocument/2006/relationships/hyperlink" Target="https://doi.org/10.1111/psyp.14604" TargetMode="External"/><Relationship Id="rId8wezizuf3zgwqjjvots3n" Type="http://schemas.openxmlformats.org/officeDocument/2006/relationships/hyperlink" Target="https://doi.org/10.3390/s20020479" TargetMode="External"/><Relationship Id="rIdkd4aqrheutiyl_mofuvzm" Type="http://schemas.openxmlformats.org/officeDocument/2006/relationships/hyperlink" Target="https://doi.org/10.1016/j.compbiomed.2024.108070" TargetMode="External"/><Relationship Id="rIdq2h9bgyliydg-gs-p90jr" Type="http://schemas.openxmlformats.org/officeDocument/2006/relationships/hyperlink" Target="https://doi.org/10.3390/s25061762" TargetMode="External"/><Relationship Id="rId19dq_iyc7pcas5wt-az3b" Type="http://schemas.openxmlformats.org/officeDocument/2006/relationships/hyperlink" Target="https://doi.org/10.1080/00401706.1962.10490022" TargetMode="External"/><Relationship Id="rIdxmkt4ubxrq0b92vxhndfl" Type="http://schemas.openxmlformats.org/officeDocument/2006/relationships/hyperlink" Target="https://doi.org/10.1016/j.compbiomed.2024.108070" TargetMode="External"/><Relationship Id="rId8ui7cfqskajmz0lu1iafy" Type="http://schemas.openxmlformats.org/officeDocument/2006/relationships/hyperlink" Target="https://doi.org/10.3389/fphys.2013.00026" TargetMode="External"/><Relationship Id="rIdwrrjx8_4jxsvvmduth1cn" Type="http://schemas.openxmlformats.org/officeDocument/2006/relationships/hyperlink" Target="https://doi.org/10.1111/j.1469-8986.2012.01384.x" TargetMode="External"/><Relationship Id="rIdexolnz9ewmnpgtglhmqra" Type="http://schemas.openxmlformats.org/officeDocument/2006/relationships/hyperlink" Target="https://doi.org/10.3390/s25061762" TargetMode="External"/><Relationship Id="rIdmn_yy89v3xat2_mup9ltd" Type="http://schemas.openxmlformats.org/officeDocument/2006/relationships/hyperlink" Target="https://doi.org/10.1162/IMAG.a.136" TargetMode="External"/><Relationship Id="rIdonubpgo4e-p_r91p7sq7k" Type="http://schemas.openxmlformats.org/officeDocument/2006/relationships/hyperlink" Target="https://doi.org/10.3390/s20020479" TargetMode="External"/><Relationship Id="rId_fr0ma6zihszfke9vng_r" Type="http://schemas.openxmlformats.org/officeDocument/2006/relationships/hyperlink" Target="https://doi.org/10.1111/psyp.14604" TargetMode="External"/><Relationship Id="rIdzyq0rhgbwqpslxgv4cocn" Type="http://schemas.openxmlformats.org/officeDocument/2006/relationships/hyperlink" Target="https://doi.org/10.1161/01.cir.93.5.1043" TargetMode="External"/><Relationship Id="rIdtmj_6g-rcxoruu1zngzla" Type="http://schemas.openxmlformats.org/officeDocument/2006/relationships/hyperlink" Target="https://doi.org/10.1080/00401706.1962.10490022"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2026-05-09T06:14:24.695Z</dcterms:created>
  <dcterms:modified xsi:type="dcterms:W3CDTF">2026-05-09T06:14:24.709Z</dcterms:modified>
</cp:coreProperties>
</file>

<file path=docProps/custom.xml><?xml version="1.0" encoding="utf-8"?>
<Properties xmlns="http://schemas.openxmlformats.org/officeDocument/2006/custom-properties" xmlns:vt="http://schemas.openxmlformats.org/officeDocument/2006/docPropsVTypes"/>
</file>