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bidi w:val="1"/>
        <w:spacing w:after="120" w:line="276" w:lineRule="auto"/>
        <w:jc w:val="right"/>
      </w:pPr>
      <w:r>
        <w:rPr>
          <w:rFonts w:ascii="Times New Roman" w:hAnsi="Times New Roman" w:eastAsia="Times New Roman" w:cs="B Lotus"/>
          <w:b/>
          <w:bCs/>
          <w:sz w:val="28"/>
          <w:szCs w:val="28"/>
          <w:rtl/>
          <w:cs/>
          <w:lang w:bidi="fa-IR" w:val="en-US"/>
        </w:rPr>
        <w:t>نظریه‌های سالمندی</w:t>
      </w:r>
    </w:p>
    <w:p>
      <w:pPr>
        <w:bidi w:val="0"/>
        <w:spacing w:after="120" w:line="276" w:lineRule="auto"/>
        <w:jc w:val="center"/>
      </w:pPr>
      <w:r>
        <w:rPr>
          <w:rFonts w:ascii="Times New Roman" w:hAnsi="Times New Roman" w:eastAsia="Times New Roman" w:cs="B Lotus"/>
          <w:sz w:val="28"/>
          <w:szCs w:val="28"/>
          <w:rtl w:val="0"/>
          <w:cs w:val="0"/>
          <w:lang w:val="en-US"/>
        </w:rPr>
        <w:drawing xmlns:a="http://schemas.openxmlformats.org/drawingml/2006/main" xmlns:pic="http://schemas.openxmlformats.org/drawingml/2006/picture">
          <wp:inline distT="0" distB="0" distL="0" distR="0">
            <wp:extent cx="5486400" cy="3411900"/>
            <wp:effectExtent l="0" t="0" r="0" b="0"/>
            <wp:docPr id="10" name="tree" descr="درختواره نظریه‌های سالمندی"/>
            <wp:cNvGraphicFramePr>
              <a:graphicFrameLocks noChangeAspect="1"/>
            </wp:cNvGraphicFramePr>
            <a:graphic>
              <a:graphicData uri="http://schemas.openxmlformats.org/drawingml/2006/picture">
                <pic:pic>
                  <pic:nvPicPr>
                    <pic:cNvPr id="0" name="tree.png"/>
                    <pic:cNvPicPr>
                      <a:picLocks noChangeAspect="1" noChangeArrowheads="1"/>
                    </pic:cNvPicPr>
                  </pic:nvPicPr>
                  <pic:blipFill>
                    <a:blip r:embed="rIdTree"/>
                    <a:stretch>
                      <a:fillRect/>
                    </a:stretch>
                  </pic:blipFill>
                  <pic:spPr bwMode="auto">
                    <a:xfrm>
                      <a:off x="0" y="0"/>
                      <a:ext cx="5486400" cy="3411900"/>
                    </a:xfrm>
                    <a:prstGeom prst="rect">
                      <a:avLst/>
                    </a:prstGeom>
                  </pic:spPr>
                </pic:pic>
              </a:graphicData>
            </a: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۱- درختواره نظریه‌های سالمندی (شاخه زیست‌شناختی، روان‌شناختی و جامعه‌شناختی)</w:t>
      </w:r>
    </w:p>
    <w:p>
      <w:pPr>
        <w:pStyle w:val="Heading2"/>
        <w:bidi w:val="1"/>
        <w:spacing w:after="120" w:line="276" w:lineRule="auto"/>
        <w:jc w:val="right"/>
      </w:pPr>
      <w:r>
        <w:rPr>
          <w:rFonts w:ascii="Times New Roman" w:hAnsi="Times New Roman" w:eastAsia="Times New Roman" w:cs="B Lotus"/>
          <w:b/>
          <w:bCs/>
          <w:sz w:val="28"/>
          <w:szCs w:val="28"/>
          <w:rtl/>
          <w:cs/>
          <w:lang w:bidi="fa-IR" w:val="en-US"/>
        </w:rPr>
        <w:t>فهرست مطالب</w:t>
      </w:r>
    </w:p>
    <w:p>
      <w:pPr>
        <w:pStyle w:val="TOC1"/>
        <w:bidi w:val="1"/>
        <w:spacing w:after="120" w:line="276" w:lineRule="auto"/>
        <w:jc w:val="right"/>
      </w:pPr>
      <w:r>
        <w:rPr>
          <w:rFonts w:ascii="Times New Roman" w:hAnsi="Times New Roman" w:eastAsia="Times New Roman" w:cs="B Lotus"/>
          <w:sz w:val="28"/>
          <w:szCs w:val="28"/>
          <w:rtl/>
          <w:cs/>
          <w:lang w:bidi="fa-IR" w:val="en-US"/>
        </w:rPr>
        <w:t>نظریه‌های سالمندی</w:t>
      </w:r>
    </w:p>
    <w:p>
      <w:pPr>
        <w:pStyle w:val="TOC3"/>
        <w:bidi w:val="1"/>
        <w:spacing w:after="120" w:line="276" w:lineRule="auto"/>
        <w:jc w:val="right"/>
      </w:pPr>
      <w:r>
        <w:rPr>
          <w:rFonts w:ascii="Times New Roman" w:hAnsi="Times New Roman" w:eastAsia="Times New Roman" w:cs="B Lotus"/>
          <w:sz w:val="28"/>
          <w:szCs w:val="28"/>
          <w:rtl/>
          <w:cs/>
          <w:lang w:bidi="fa-IR" w:val="en-US"/>
        </w:rPr>
        <w:t>۲-۱-۲- نظریه‌های سالمندی</w:t>
      </w:r>
    </w:p>
    <w:p>
      <w:pPr>
        <w:pStyle w:val="TOC4"/>
        <w:bidi w:val="1"/>
        <w:spacing w:after="120" w:line="276" w:lineRule="auto"/>
        <w:jc w:val="right"/>
      </w:pPr>
      <w:r>
        <w:rPr>
          <w:rFonts w:ascii="Times New Roman" w:hAnsi="Times New Roman" w:eastAsia="Times New Roman" w:cs="B Lotus"/>
          <w:sz w:val="28"/>
          <w:szCs w:val="28"/>
          <w:rtl/>
          <w:cs/>
          <w:lang w:bidi="fa-IR" w:val="en-US"/>
        </w:rPr>
        <w:t>۲-۱-۲-۱- نظریه‌های زیست‌شناختی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۲-۱-۲-۱-۱- نظریه ایمنی</w:t>
      </w:r>
    </w:p>
    <w:p>
      <w:pPr>
        <w:pStyle w:val="TOC5"/>
        <w:bidi w:val="1"/>
        <w:spacing w:after="120" w:line="276" w:lineRule="auto"/>
        <w:jc w:val="right"/>
      </w:pPr>
      <w:r>
        <w:rPr>
          <w:rFonts w:ascii="Times New Roman" w:hAnsi="Times New Roman" w:eastAsia="Times New Roman" w:cs="B Lotus"/>
          <w:sz w:val="28"/>
          <w:szCs w:val="28"/>
          <w:rtl/>
          <w:cs/>
          <w:lang w:bidi="fa-IR" w:val="en-US"/>
        </w:rPr>
        <w:t>۲-۱-۲-۱-۲- نظریه پیر شدن سلولی</w:t>
      </w:r>
    </w:p>
    <w:p>
      <w:pPr>
        <w:pStyle w:val="TOC5"/>
        <w:bidi w:val="1"/>
        <w:spacing w:after="120" w:line="276" w:lineRule="auto"/>
        <w:jc w:val="right"/>
      </w:pPr>
      <w:r>
        <w:rPr>
          <w:rFonts w:ascii="Times New Roman" w:hAnsi="Times New Roman" w:eastAsia="Times New Roman" w:cs="B Lotus"/>
          <w:sz w:val="28"/>
          <w:szCs w:val="28"/>
          <w:rtl/>
          <w:cs/>
          <w:lang w:bidi="fa-IR" w:val="en-US"/>
        </w:rPr>
        <w:t>۲-۱-۲-۱-۳- نظریه رادیکال آزاد</w:t>
      </w:r>
    </w:p>
    <w:p>
      <w:pPr>
        <w:pStyle w:val="TOC4"/>
        <w:bidi w:val="1"/>
        <w:spacing w:after="120" w:line="276" w:lineRule="auto"/>
        <w:jc w:val="right"/>
      </w:pPr>
      <w:r>
        <w:rPr>
          <w:rFonts w:ascii="Times New Roman" w:hAnsi="Times New Roman" w:eastAsia="Times New Roman" w:cs="B Lotus"/>
          <w:sz w:val="28"/>
          <w:szCs w:val="28"/>
          <w:rtl/>
          <w:cs/>
          <w:lang w:bidi="fa-IR" w:val="en-US"/>
        </w:rPr>
        <w:t>۲-۱-۲-۲- نظریه‌های روان‌شناختی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۲-۱-۲-۲-۱- نظریه گولد</w:t>
      </w:r>
    </w:p>
    <w:p>
      <w:pPr>
        <w:pStyle w:val="TOC5"/>
        <w:bidi w:val="1"/>
        <w:spacing w:after="120" w:line="276" w:lineRule="auto"/>
        <w:jc w:val="right"/>
      </w:pPr>
      <w:r>
        <w:rPr>
          <w:rFonts w:ascii="Times New Roman" w:hAnsi="Times New Roman" w:eastAsia="Times New Roman" w:cs="B Lotus"/>
          <w:sz w:val="28"/>
          <w:szCs w:val="28"/>
          <w:rtl/>
          <w:cs/>
          <w:lang w:bidi="fa-IR" w:val="en-US"/>
        </w:rPr>
        <w:t>۲-۱-۲-۲-۲- نظریه لوینسون و شی</w:t>
      </w:r>
    </w:p>
    <w:p>
      <w:pPr>
        <w:pStyle w:val="TOC5"/>
        <w:bidi w:val="1"/>
        <w:spacing w:after="120" w:line="276" w:lineRule="auto"/>
        <w:jc w:val="right"/>
      </w:pPr>
      <w:r>
        <w:rPr>
          <w:rFonts w:ascii="Times New Roman" w:hAnsi="Times New Roman" w:eastAsia="Times New Roman" w:cs="B Lotus"/>
          <w:sz w:val="28"/>
          <w:szCs w:val="28"/>
          <w:rtl/>
          <w:cs/>
          <w:lang w:bidi="fa-IR" w:val="en-US"/>
        </w:rPr>
        <w:t>۲-۱-۲-۲-۳- نظریه اریکسون</w:t>
      </w:r>
    </w:p>
    <w:p>
      <w:pPr>
        <w:pStyle w:val="TOC5"/>
        <w:bidi w:val="1"/>
        <w:spacing w:after="120" w:line="276" w:lineRule="auto"/>
        <w:jc w:val="right"/>
      </w:pPr>
      <w:r>
        <w:rPr>
          <w:rFonts w:ascii="Times New Roman" w:hAnsi="Times New Roman" w:eastAsia="Times New Roman" w:cs="B Lotus"/>
          <w:color w:val="1B7A3D"/>
          <w:sz w:val="28"/>
          <w:szCs w:val="28"/>
          <w:rtl/>
          <w:cs/>
          <w:lang w:bidi="fa-IR" w:val="en-US"/>
        </w:rPr>
        <w:t>۲-۱-۲-۲-۴- نظریه انتخاب اجتماعی-هیجانی</w:t>
      </w:r>
    </w:p>
    <w:p>
      <w:pPr>
        <w:pStyle w:val="TOC4"/>
        <w:bidi w:val="1"/>
        <w:spacing w:after="120" w:line="276" w:lineRule="auto"/>
        <w:jc w:val="right"/>
      </w:pPr>
      <w:r>
        <w:rPr>
          <w:rFonts w:ascii="Times New Roman" w:hAnsi="Times New Roman" w:eastAsia="Times New Roman" w:cs="B Lotus"/>
          <w:sz w:val="28"/>
          <w:szCs w:val="28"/>
          <w:rtl/>
          <w:cs/>
          <w:lang w:bidi="fa-IR" w:val="en-US"/>
        </w:rPr>
        <w:t>۲-۱-۲-۳- نظریه‌های جامعه‌شناختی</w:t>
      </w:r>
    </w:p>
    <w:p>
      <w:pPr>
        <w:pStyle w:val="TOC5"/>
        <w:bidi w:val="1"/>
        <w:spacing w:after="120" w:line="276" w:lineRule="auto"/>
        <w:jc w:val="right"/>
      </w:pPr>
      <w:r>
        <w:rPr>
          <w:rFonts w:ascii="Times New Roman" w:hAnsi="Times New Roman" w:eastAsia="Times New Roman" w:cs="B Lotus"/>
          <w:sz w:val="28"/>
          <w:szCs w:val="28"/>
          <w:rtl/>
          <w:cs/>
          <w:lang w:bidi="fa-IR" w:val="en-US"/>
        </w:rPr>
        <w:t>۲-۱-۲-۳-۱- نظریه عدم تعهد</w:t>
      </w:r>
    </w:p>
    <w:p>
      <w:pPr>
        <w:pStyle w:val="TOC5"/>
        <w:bidi w:val="1"/>
        <w:spacing w:after="120" w:line="276" w:lineRule="auto"/>
        <w:jc w:val="right"/>
      </w:pPr>
      <w:r>
        <w:rPr>
          <w:rFonts w:ascii="Times New Roman" w:hAnsi="Times New Roman" w:eastAsia="Times New Roman" w:cs="B Lotus"/>
          <w:sz w:val="28"/>
          <w:szCs w:val="28"/>
          <w:rtl/>
          <w:cs/>
          <w:lang w:bidi="fa-IR" w:val="en-US"/>
        </w:rPr>
        <w:t>۲-۱-۲-۳-۲- نظریه فعالیت</w:t>
      </w:r>
    </w:p>
    <w:p>
      <w:pPr>
        <w:pStyle w:val="TOC5"/>
        <w:bidi w:val="1"/>
        <w:spacing w:after="120" w:line="276" w:lineRule="auto"/>
        <w:jc w:val="right"/>
      </w:pPr>
      <w:r>
        <w:rPr>
          <w:rFonts w:ascii="Times New Roman" w:hAnsi="Times New Roman" w:eastAsia="Times New Roman" w:cs="B Lotus"/>
          <w:sz w:val="28"/>
          <w:szCs w:val="28"/>
          <w:rtl/>
          <w:cs/>
          <w:lang w:bidi="fa-IR" w:val="en-US"/>
        </w:rPr>
        <w:t>۲-۱-۲-۳-۳- نظریه مبادله یا تعامل</w:t>
      </w:r>
    </w:p>
    <w:p>
      <w:pPr>
        <w:pStyle w:val="TOC5"/>
        <w:bidi w:val="1"/>
        <w:spacing w:after="120" w:line="276" w:lineRule="auto"/>
        <w:jc w:val="right"/>
      </w:pPr>
      <w:r>
        <w:rPr>
          <w:rFonts w:ascii="Times New Roman" w:hAnsi="Times New Roman" w:eastAsia="Times New Roman" w:cs="B Lotus"/>
          <w:sz w:val="28"/>
          <w:szCs w:val="28"/>
          <w:rtl/>
          <w:cs/>
          <w:lang w:bidi="fa-IR" w:val="en-US"/>
        </w:rPr>
        <w:t>۲-۱-۲-۳-۴- نظریه استمرار</w:t>
      </w:r>
    </w:p>
    <w:p>
      <w:pPr>
        <w:pStyle w:val="TOC1"/>
        <w:bidi w:val="1"/>
        <w:spacing w:after="120" w:line="276" w:lineRule="auto"/>
        <w:jc w:val="right"/>
      </w:pPr>
      <w:r>
        <w:rPr>
          <w:rFonts w:ascii="Times New Roman" w:hAnsi="Times New Roman" w:eastAsia="Times New Roman" w:cs="B Lotus"/>
          <w:sz w:val="28"/>
          <w:szCs w:val="28"/>
          <w:rtl/>
          <w:cs/>
          <w:lang w:bidi="fa-IR" w:val="en-US"/>
        </w:rPr>
        <w:t>منابع فارسی</w:t>
      </w:r>
    </w:p>
    <w:p>
      <w:pPr>
        <w:pStyle w:val="TOC1"/>
        <w:bidi w:val="1"/>
        <w:spacing w:after="120" w:line="276" w:lineRule="auto"/>
        <w:jc w:val="right"/>
      </w:pPr>
      <w:r>
        <w:rPr>
          <w:rFonts w:ascii="Times New Roman" w:hAnsi="Times New Roman" w:eastAsia="Times New Roman" w:cs="B Lotus"/>
          <w:sz w:val="28"/>
          <w:szCs w:val="28"/>
          <w:rtl/>
          <w:cs/>
          <w:lang w:bidi="fa-IR" w:val="en-US"/>
        </w:rPr>
        <w:t>منابع لاتین</w:t>
      </w:r>
    </w:p>
    <w:p>
      <w:pPr>
        <w:pStyle w:val="Heading3"/>
        <w:bidi w:val="1"/>
        <w:spacing w:after="120" w:line="276" w:lineRule="auto"/>
        <w:jc w:val="right"/>
        <w:pageBreakBefore/>
      </w:pPr>
      <w:r>
        <w:rPr>
          <w:rFonts w:ascii="Times New Roman" w:hAnsi="Times New Roman" w:eastAsia="Times New Roman" w:cs="B Lotus"/>
          <w:b/>
          <w:bCs/>
          <w:sz w:val="28"/>
          <w:szCs w:val="28"/>
          <w:rtl/>
          <w:cs/>
          <w:lang w:bidi="fa-IR" w:val="en-US"/>
        </w:rPr>
        <w:t>۲-۱-۲- نظریه‌های سالمندی</w:t>
      </w:r>
    </w:p>
    <w:p>
      <w:pPr>
        <w:pStyle w:val="Normal"/>
        <w:bidi w:val="1"/>
        <w:spacing w:after="120" w:line="276" w:lineRule="auto"/>
        <w:jc w:val="right"/>
      </w:pPr>
      <w:r>
        <w:rPr>
          <w:rFonts w:ascii="Times New Roman" w:hAnsi="Times New Roman" w:eastAsia="Times New Roman" w:cs="B Lotus"/>
          <w:sz w:val="28"/>
          <w:szCs w:val="28"/>
          <w:rtl/>
          <w:cs/>
          <w:lang w:bidi="fa-IR" w:val="en-US"/>
        </w:rPr>
        <w:t>ژرونتولوژی</w:t>
      </w:r>
      <w:r>
        <w:rPr>
          <w:rFonts w:ascii="Times New Roman" w:hAnsi="Times New Roman" w:eastAsia="Times New Roman" w:cs="Times New Roman"/>
          <w:rStyle w:val="FootnoteReference"/>
          <w:sz w:val="20"/>
          <w:szCs w:val="20"/>
          <w:vertAlign w:val="superscript"/>
          <w:rtl w:val="0"/>
          <w:cs w:val="0"/>
          <w:lang w:val="en-US"/>
        </w:rPr>
        <w:footnoteReference w:id="1"/>
      </w:r>
      <w:r>
        <w:rPr>
          <w:rFonts w:ascii="Times New Roman" w:hAnsi="Times New Roman" w:eastAsia="Times New Roman" w:cs="B Lotus"/>
          <w:sz w:val="28"/>
          <w:szCs w:val="28"/>
          <w:rtl/>
          <w:cs/>
          <w:lang w:bidi="fa-IR" w:val="en-US"/>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همچنین، نظریه‌های مختلف سالمندی با رویکردهای زیستی، روان‌شناختی و اجتماعی برای تبیین علل و پیامدهای این فرایند ارائه شده‌اند (سازمان جهانی بهداشت</w:t>
      </w:r>
      <w:r>
        <w:rPr>
          <w:rFonts w:ascii="Times New Roman" w:hAnsi="Times New Roman" w:eastAsia="Times New Roman" w:cs="Times New Roman"/>
          <w:rStyle w:val="FootnoteReference"/>
          <w:sz w:val="20"/>
          <w:szCs w:val="20"/>
          <w:vertAlign w:val="superscript"/>
          <w:rtl w:val="0"/>
          <w:cs w:val="0"/>
          <w:lang w:val="en-US"/>
        </w:rPr>
        <w:footnoteReference w:id="2"/>
      </w:r>
      <w:r>
        <w:rPr>
          <w:rFonts w:ascii="Times New Roman" w:hAnsi="Times New Roman" w:eastAsia="Times New Roman" w:cs="B Lotus"/>
          <w:sz w:val="28"/>
          <w:szCs w:val="28"/>
          <w:rtl/>
          <w:cs/>
          <w:lang w:bidi="fa-IR" w:val="en-US"/>
        </w:rPr>
        <w:t>، ۲۰۲۳؛ سازمان جهانی بهداشت، ۲۰۲۰).</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 را نیز در میان نظریه‌های روان‌شناختی جای داده است.</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۲-۱-۲-۱- نظریه‌های زیست‌شناختی</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نظریه‌های زیست‌شناختی به سه دسته تقسیم می‌شوند:</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۲-۱-۲-۱-۱- نظریه ایمنی</w:t>
      </w:r>
    </w:p>
    <w:p>
      <w:pPr>
        <w:pStyle w:val="Normal"/>
        <w:bidi w:val="1"/>
        <w:spacing w:after="120" w:line="276" w:lineRule="auto"/>
        <w:jc w:val="right"/>
      </w:pPr>
      <w:r>
        <w:rPr>
          <w:rFonts w:ascii="Times New Roman" w:hAnsi="Times New Roman" w:eastAsia="Times New Roman" w:cs="B Lotus"/>
          <w:sz w:val="28"/>
          <w:szCs w:val="28"/>
          <w:rtl/>
          <w:cs/>
          <w:lang w:bidi="fa-IR" w:val="en-US"/>
        </w:rPr>
        <w:t>بر اساس نظریه ایمنی</w:t>
      </w:r>
      <w:r>
        <w:rPr>
          <w:rFonts w:ascii="Times New Roman" w:hAnsi="Times New Roman" w:eastAsia="Times New Roman" w:cs="Times New Roman"/>
          <w:rStyle w:val="FootnoteReference"/>
          <w:sz w:val="20"/>
          <w:szCs w:val="20"/>
          <w:vertAlign w:val="superscript"/>
          <w:rtl w:val="0"/>
          <w:cs w:val="0"/>
          <w:lang w:val="en-US"/>
        </w:rPr>
        <w:footnoteReference w:id="3"/>
      </w:r>
      <w:r>
        <w:rPr>
          <w:rFonts w:ascii="Times New Roman" w:hAnsi="Times New Roman" w:eastAsia="Times New Roman" w:cs="B Lotus"/>
          <w:sz w:val="28"/>
          <w:szCs w:val="28"/>
          <w:rtl/>
          <w:cs/>
          <w:lang w:bidi="fa-IR" w:val="en-US"/>
        </w:rPr>
        <w:t xml:space="preserve"> پیری تا حدی نتیجه تغییرات تدریجی در عملکرد سیستم ایمنی بدن است. سیستم ایمنی وظیفه شناسایی و حذف عوامل بیماری‌زا مانند ویروس‌ها، باکتری‌ها، قارچ‌ها و همچنین سلول‌های غیرطبیعی از جمله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علاوه بر این، در سالمندی احتمال بروز پاسخ‌های خودایمنی و التهاب مزمن نیز افزایش می‌یابد که می‌تواند به آسیب بافت‌های سالم بدن منجر شود. اگرچه نظریه ایمنی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 و همکاران</w:t>
      </w:r>
      <w:r>
        <w:rPr>
          <w:rFonts w:ascii="Times New Roman" w:hAnsi="Times New Roman" w:eastAsia="Times New Roman" w:cs="Times New Roman"/>
          <w:rStyle w:val="FootnoteReference"/>
          <w:sz w:val="20"/>
          <w:szCs w:val="20"/>
          <w:vertAlign w:val="superscript"/>
          <w:rtl w:val="0"/>
          <w:cs w:val="0"/>
          <w:lang w:val="en-US"/>
        </w:rPr>
        <w:footnoteReference w:id="4"/>
      </w:r>
      <w:r>
        <w:rPr>
          <w:rFonts w:ascii="Times New Roman" w:hAnsi="Times New Roman" w:eastAsia="Times New Roman" w:cs="B Lotus"/>
          <w:sz w:val="28"/>
          <w:szCs w:val="28"/>
          <w:rtl/>
          <w:cs/>
          <w:lang w:bidi="fa-IR" w:val="en-US"/>
        </w:rPr>
        <w:t>، ۲۰۲۳؛ فولپ و همکاران</w:t>
      </w:r>
      <w:r>
        <w:rPr>
          <w:rFonts w:ascii="Times New Roman" w:hAnsi="Times New Roman" w:eastAsia="Times New Roman" w:cs="Times New Roman"/>
          <w:rStyle w:val="FootnoteReference"/>
          <w:sz w:val="20"/>
          <w:szCs w:val="20"/>
          <w:vertAlign w:val="superscript"/>
          <w:rtl w:val="0"/>
          <w:cs w:val="0"/>
          <w:lang w:val="en-US"/>
        </w:rPr>
        <w:footnoteReference w:id="5"/>
      </w:r>
      <w:r>
        <w:rPr>
          <w:rFonts w:ascii="Times New Roman" w:hAnsi="Times New Roman" w:eastAsia="Times New Roman" w:cs="B Lotus"/>
          <w:sz w:val="28"/>
          <w:szCs w:val="28"/>
          <w:rtl/>
          <w:cs/>
          <w:lang w:bidi="fa-IR" w:val="en-US"/>
        </w:rPr>
        <w:t>، ۲۰۲۳).</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در پژوهش‌های سال‌های اخیر، مفهوم «التهاب پیری» یا اینفلامجینگ</w:t>
      </w:r>
      <w:r>
        <w:rPr>
          <w:rFonts w:ascii="Times New Roman" w:hAnsi="Times New Roman" w:eastAsia="Times New Roman" w:cs="Times New Roman"/>
          <w:rStyle w:val="FootnoteReference"/>
          <w:color w:val="1B7A3D"/>
          <w:sz w:val="20"/>
          <w:szCs w:val="20"/>
          <w:vertAlign w:val="superscript"/>
          <w:rtl w:val="0"/>
          <w:cs w:val="0"/>
          <w:lang w:val="en-US"/>
        </w:rPr>
        <w:footnoteReference w:id="6"/>
      </w:r>
      <w:r>
        <w:rPr>
          <w:rFonts w:ascii="Times New Roman" w:hAnsi="Times New Roman" w:eastAsia="Times New Roman" w:cs="B Lotus"/>
          <w:color w:val="1B7A3D"/>
          <w:sz w:val="28"/>
          <w:szCs w:val="28"/>
          <w:rtl/>
          <w:cs/>
          <w:lang w:bidi="fa-IR" w:val="en-US"/>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نشان می‌دهد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 و همکاران</w:t>
      </w:r>
      <w:r>
        <w:rPr>
          <w:rFonts w:ascii="Times New Roman" w:hAnsi="Times New Roman" w:eastAsia="Times New Roman" w:cs="Times New Roman"/>
          <w:rStyle w:val="FootnoteReference"/>
          <w:color w:val="1B7A3D"/>
          <w:sz w:val="20"/>
          <w:szCs w:val="20"/>
          <w:vertAlign w:val="superscript"/>
          <w:rtl w:val="0"/>
          <w:cs w:val="0"/>
          <w:lang w:val="en-US"/>
        </w:rPr>
        <w:footnoteReference w:id="7"/>
      </w:r>
      <w:r>
        <w:rPr>
          <w:rFonts w:ascii="Times New Roman" w:hAnsi="Times New Roman" w:eastAsia="Times New Roman" w:cs="B Lotus"/>
          <w:color w:val="1B7A3D"/>
          <w:sz w:val="28"/>
          <w:szCs w:val="28"/>
          <w:rtl/>
          <w:cs/>
          <w:lang w:bidi="fa-IR" w:val="en-US"/>
        </w:rPr>
        <w:t>، ۲۰۱۸؛ فولپ و همکاران،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۲-۱-۲-۱-۲- نظریه پیر شدن سلولی</w:t>
      </w:r>
    </w:p>
    <w:p>
      <w:pPr>
        <w:pStyle w:val="Normal"/>
        <w:bidi w:val="1"/>
        <w:spacing w:after="120" w:line="276" w:lineRule="auto"/>
        <w:jc w:val="right"/>
      </w:pPr>
      <w:r>
        <w:rPr>
          <w:rFonts w:ascii="Times New Roman" w:hAnsi="Times New Roman" w:eastAsia="Times New Roman" w:cs="B Lotus"/>
          <w:sz w:val="28"/>
          <w:szCs w:val="28"/>
          <w:rtl/>
          <w:cs/>
          <w:lang w:bidi="fa-IR" w:val="en-US"/>
        </w:rPr>
        <w:t>بر اساس نظریه پیری سلولی، سالمندی نتیجه تجمع تدریجی آسیب‌های مولکولی و سلولی، به‌ویژه در ماده ژنتیکی سلول‌ها (DNA)، است. در طول زندگی، عوامل درونی و محیطی موجب بروز آسیب در DNA و سایر اجزای سلول می‌شوند و با کاهش توانایی سیستم‌های ترمیم DNA، این آسیب‌ها به‌تدریج انباشته می‌شوند. در نتیجه، عملکرد طبیعی سلول‌ها مختل شده و ظرفیت تکثیر و بازسازی آن‌ها کاهش می‌یابد. علاوه بر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 و همکاران</w:t>
      </w:r>
      <w:r>
        <w:rPr>
          <w:rFonts w:ascii="Times New Roman" w:hAnsi="Times New Roman" w:eastAsia="Times New Roman" w:cs="Times New Roman"/>
          <w:rStyle w:val="FootnoteReference"/>
          <w:sz w:val="20"/>
          <w:szCs w:val="20"/>
          <w:vertAlign w:val="superscript"/>
          <w:rtl w:val="0"/>
          <w:cs w:val="0"/>
          <w:lang w:val="en-US"/>
        </w:rPr>
        <w:footnoteReference w:id="8"/>
      </w:r>
      <w:r>
        <w:rPr>
          <w:rFonts w:ascii="Times New Roman" w:hAnsi="Times New Roman" w:eastAsia="Times New Roman" w:cs="B Lotus"/>
          <w:sz w:val="28"/>
          <w:szCs w:val="28"/>
          <w:rtl/>
          <w:cs/>
          <w:lang w:bidi="fa-IR" w:val="en-US"/>
        </w:rPr>
        <w:t>، ۲۰۲۳؛ کامپیزی</w:t>
      </w:r>
      <w:r>
        <w:rPr>
          <w:rFonts w:ascii="Times New Roman" w:hAnsi="Times New Roman" w:eastAsia="Times New Roman" w:cs="Times New Roman"/>
          <w:rStyle w:val="FootnoteReference"/>
          <w:sz w:val="20"/>
          <w:szCs w:val="20"/>
          <w:vertAlign w:val="superscript"/>
          <w:rtl w:val="0"/>
          <w:cs w:val="0"/>
          <w:lang w:val="en-US"/>
        </w:rPr>
        <w:footnoteReference w:id="9"/>
      </w:r>
      <w:r>
        <w:rPr>
          <w:rFonts w:ascii="Times New Roman" w:hAnsi="Times New Roman" w:eastAsia="Times New Roman" w:cs="B Lotus"/>
          <w:sz w:val="28"/>
          <w:szCs w:val="28"/>
          <w:rtl/>
          <w:cs/>
          <w:lang w:bidi="fa-IR" w:val="en-US"/>
        </w:rPr>
        <w:t>، ۲۰۲۴).</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بازنگری‌های زیست‌شناسی سالمندی، پیری سلولی را در چارچوب «نشانه‌های دوازده‌گانه سالمندی» جای داده‌اند؛ از جمله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 و همکاران</w:t>
      </w:r>
      <w:r>
        <w:rPr>
          <w:rFonts w:ascii="Times New Roman" w:hAnsi="Times New Roman" w:eastAsia="Times New Roman" w:cs="Times New Roman"/>
          <w:rStyle w:val="FootnoteReference"/>
          <w:color w:val="1B7A3D"/>
          <w:sz w:val="20"/>
          <w:szCs w:val="20"/>
          <w:vertAlign w:val="superscript"/>
          <w:rtl w:val="0"/>
          <w:cs w:val="0"/>
          <w:lang w:val="en-US"/>
        </w:rPr>
        <w:footnoteReference w:id="8"/>
      </w:r>
      <w:r>
        <w:rPr>
          <w:rFonts w:ascii="Times New Roman" w:hAnsi="Times New Roman" w:eastAsia="Times New Roman" w:cs="B Lotus"/>
          <w:color w:val="1B7A3D"/>
          <w:sz w:val="28"/>
          <w:szCs w:val="28"/>
          <w:rtl/>
          <w:cs/>
          <w:lang w:bidi="fa-IR" w:val="en-US"/>
        </w:rPr>
        <w:t>،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۲-۱-۲-۱-۳- نظریه رادیکال آزاد</w:t>
      </w:r>
    </w:p>
    <w:p>
      <w:pPr>
        <w:pStyle w:val="Normal"/>
        <w:bidi w:val="1"/>
        <w:spacing w:after="120" w:line="276" w:lineRule="auto"/>
        <w:jc w:val="right"/>
      </w:pPr>
      <w:r>
        <w:rPr>
          <w:rFonts w:ascii="Times New Roman" w:hAnsi="Times New Roman" w:eastAsia="Times New Roman" w:cs="B Lotus"/>
          <w:sz w:val="28"/>
          <w:szCs w:val="28"/>
          <w:rtl/>
          <w:cs/>
          <w:lang w:bidi="fa-IR" w:val="en-US"/>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DNA، پروتئین‌ها، لیپیدهای غشایی و سایر اجزای سلولی آسیب برساند و به اختلال عملکرد سلول‌ها و بافت‌ها منجر شود. همچنین،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 و همکاران، </w:t>
      </w:r>
      <w:r>
        <w:rPr>
          <w:rFonts w:ascii="Times New Roman" w:hAnsi="Times New Roman" w:eastAsia="Times New Roman" w:cs="B Lotus"/>
          <w:sz w:val="28"/>
          <w:szCs w:val="28"/>
          <w:rtl/>
          <w:cs/>
          <w:lang w:bidi="fa-IR" w:val="en-US"/>
        </w:rPr>
        <w:t>۲۰۲۳؛ گلادیشف</w:t>
      </w:r>
      <w:r>
        <w:rPr>
          <w:rFonts w:ascii="Times New Roman" w:hAnsi="Times New Roman" w:eastAsia="Times New Roman" w:cs="Times New Roman"/>
          <w:rStyle w:val="FootnoteReference"/>
          <w:sz w:val="20"/>
          <w:szCs w:val="20"/>
          <w:vertAlign w:val="superscript"/>
          <w:rtl w:val="0"/>
          <w:cs w:val="0"/>
          <w:lang w:val="en-US"/>
        </w:rPr>
        <w:footnoteReference w:id="10"/>
      </w:r>
      <w:r>
        <w:rPr>
          <w:rFonts w:ascii="Times New Roman" w:hAnsi="Times New Roman" w:eastAsia="Times New Roman" w:cs="B Lotus"/>
          <w:sz w:val="28"/>
          <w:szCs w:val="28"/>
          <w:rtl/>
          <w:cs/>
          <w:lang w:bidi="fa-IR" w:val="en-US"/>
        </w:rPr>
        <w:t>، ۲۰۲۴).</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 و همکاران، </w:t>
      </w:r>
      <w:r>
        <w:rPr>
          <w:rFonts w:ascii="Times New Roman" w:hAnsi="Times New Roman" w:eastAsia="Times New Roman" w:cs="B Lotus"/>
          <w:color w:val="1B7A3D"/>
          <w:sz w:val="28"/>
          <w:szCs w:val="28"/>
          <w:rtl/>
          <w:cs/>
          <w:lang w:bidi="fa-IR" w:val="en-US"/>
        </w:rPr>
        <w:t>۲۰۲۳؛ گلادیشف، ۲۰۲۴).</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۲-۱-۲-۲- نظریه‌های روان‌شناختی</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در کنار نظریه‌های کلاسیک مراحل زندگی، نظریه انتخاب اجتماعی-هیجانی در دهه‌های اخیر پشتوانه تجربی گسترده‌ای یافته و انگیزش هیجانی سالمندان را بر پایه ادراک زمان تبیین کرده است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۲۰۲۱).</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۲-۱-۲-۲-۱- نظریه گولد</w:t>
      </w:r>
    </w:p>
    <w:p>
      <w:pPr>
        <w:pStyle w:val="Normal"/>
        <w:bidi w:val="1"/>
        <w:spacing w:after="120" w:line="276" w:lineRule="auto"/>
        <w:jc w:val="right"/>
      </w:pPr>
      <w:r>
        <w:rPr>
          <w:rFonts w:ascii="Times New Roman" w:hAnsi="Times New Roman" w:eastAsia="Times New Roman" w:cs="B Lotus"/>
          <w:sz w:val="28"/>
          <w:szCs w:val="28"/>
          <w:rtl/>
          <w:cs/>
          <w:lang w:bidi="fa-IR" w:val="en-US"/>
        </w:rPr>
        <w:t>راجر گولد</w:t>
      </w:r>
      <w:r>
        <w:rPr>
          <w:rFonts w:ascii="Times New Roman" w:hAnsi="Times New Roman" w:eastAsia="Times New Roman" w:cs="Times New Roman"/>
          <w:rStyle w:val="FootnoteReference"/>
          <w:sz w:val="20"/>
          <w:szCs w:val="20"/>
          <w:vertAlign w:val="superscript"/>
          <w:rtl w:val="0"/>
          <w:cs w:val="0"/>
          <w:lang w:val="en-US"/>
        </w:rPr>
        <w:footnoteReference w:id="11"/>
      </w:r>
      <w:r>
        <w:rPr>
          <w:rFonts w:ascii="Times New Roman" w:hAnsi="Times New Roman" w:eastAsia="Times New Roman" w:cs="B Lotus"/>
          <w:sz w:val="28"/>
          <w:szCs w:val="28"/>
          <w:rtl/>
          <w:cs/>
          <w:lang w:bidi="fa-IR" w:val="en-US"/>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فروغیان، ۱۳۹۲).</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اگرچه صورت‌بندی گولد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 </w:t>
      </w:r>
      <w:r>
        <w:rPr>
          <w:rFonts w:ascii="Times New Roman" w:hAnsi="Times New Roman" w:eastAsia="Times New Roman" w:cs="B Lotus"/>
          <w:color w:val="1B7A3D"/>
          <w:sz w:val="28"/>
          <w:szCs w:val="28"/>
          <w:rtl/>
          <w:cs/>
          <w:lang w:bidi="fa-IR" w:val="en-US"/>
        </w:rPr>
        <w:t>۲۰۲۱).</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۲-۱-۲-۲-۲- نظریه لوینسون و شی</w:t>
      </w:r>
    </w:p>
    <w:p>
      <w:pPr>
        <w:pStyle w:val="Normal"/>
        <w:bidi w:val="1"/>
        <w:spacing w:after="120" w:line="276" w:lineRule="auto"/>
        <w:jc w:val="right"/>
      </w:pPr>
      <w:r>
        <w:rPr>
          <w:rFonts w:ascii="Times New Roman" w:hAnsi="Times New Roman" w:eastAsia="Times New Roman" w:cs="B Lotus"/>
          <w:sz w:val="28"/>
          <w:szCs w:val="28"/>
          <w:rtl/>
          <w:cs/>
          <w:lang w:bidi="fa-IR" w:val="en-US"/>
        </w:rPr>
        <w:t>دانیل لوینسون</w:t>
      </w:r>
      <w:r>
        <w:rPr>
          <w:rFonts w:ascii="Times New Roman" w:hAnsi="Times New Roman" w:eastAsia="Times New Roman" w:cs="Times New Roman"/>
          <w:rStyle w:val="FootnoteReference"/>
          <w:sz w:val="20"/>
          <w:szCs w:val="20"/>
          <w:vertAlign w:val="superscript"/>
          <w:rtl w:val="0"/>
          <w:cs w:val="0"/>
          <w:lang w:val="en-US"/>
        </w:rPr>
        <w:footnoteReference w:id="12"/>
      </w:r>
      <w:r>
        <w:rPr>
          <w:rFonts w:ascii="Times New Roman" w:hAnsi="Times New Roman" w:eastAsia="Times New Roman" w:cs="B Lotus"/>
          <w:sz w:val="28"/>
          <w:szCs w:val="28"/>
          <w:rtl/>
          <w:cs/>
          <w:lang w:bidi="fa-IR" w:val="en-US"/>
        </w:rPr>
        <w:t xml:space="preserve"> (۱۹۷۸؛ به نقل از رایس، ۲۰۰۱، ترجمه فروغان، ۱۳۹۲) </w:t>
      </w:r>
      <w:r>
        <w:rPr>
          <w:rFonts w:ascii="Times New Roman" w:hAnsi="Times New Roman" w:eastAsia="Times New Roman" w:cs="B Lotus"/>
          <w:sz w:val="28"/>
          <w:szCs w:val="28"/>
          <w:rtl/>
          <w:cs/>
          <w:lang w:bidi="fa-IR" w:val="en-US"/>
        </w:rPr>
        <w:t>سالمندی را مواجهه با خود و زندگی و نیاز به برقراری صلح جهانی می‌داند. شی</w:t>
      </w:r>
      <w:r>
        <w:rPr>
          <w:rFonts w:ascii="Times New Roman" w:hAnsi="Times New Roman" w:eastAsia="Times New Roman" w:cs="Times New Roman"/>
          <w:rStyle w:val="FootnoteReference"/>
          <w:sz w:val="20"/>
          <w:szCs w:val="20"/>
          <w:vertAlign w:val="superscript"/>
          <w:rtl w:val="0"/>
          <w:cs w:val="0"/>
          <w:lang w:val="en-US"/>
        </w:rPr>
        <w:footnoteReference w:id="13"/>
      </w:r>
      <w:r>
        <w:rPr>
          <w:rFonts w:ascii="Times New Roman" w:hAnsi="Times New Roman" w:eastAsia="Times New Roman" w:cs="B Lotus"/>
          <w:sz w:val="28"/>
          <w:szCs w:val="28"/>
          <w:rtl/>
          <w:cs/>
          <w:lang w:bidi="fa-IR" w:val="en-US"/>
        </w:rPr>
        <w:t xml:space="preserve"> (۱۹۷۹؛ به نقل از منصور، ۱۳۸۶) </w:t>
      </w:r>
      <w:r>
        <w:rPr>
          <w:rFonts w:ascii="Times New Roman" w:hAnsi="Times New Roman" w:eastAsia="Times New Roman" w:cs="B Lotus"/>
          <w:sz w:val="28"/>
          <w:szCs w:val="28"/>
          <w:rtl/>
          <w:cs/>
          <w:lang w:bidi="fa-IR" w:val="en-US"/>
        </w:rPr>
        <w:t>سالمندی را مرحله ایجاد وحدت و تمامیت می‌داند و فرد بیشتر بر هدف‌ها و اعمال خویش متمرکز است و از بسیاری از فعالیت‌ها انصراف حاصل می‌کند.</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صورت‌بندی مرحله‌ای لوینسون و شی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 </w:t>
      </w:r>
      <w:r>
        <w:rPr>
          <w:rFonts w:ascii="Times New Roman" w:hAnsi="Times New Roman" w:eastAsia="Times New Roman" w:cs="B Lotus"/>
          <w:color w:val="1B7A3D"/>
          <w:sz w:val="28"/>
          <w:szCs w:val="28"/>
          <w:rtl/>
          <w:cs/>
          <w:lang w:bidi="fa-IR" w:val="en-US"/>
        </w:rPr>
        <w:t>۲۰۰۶).</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۲-۱-۲-۲-۳- نظریه اریکسون</w:t>
      </w:r>
    </w:p>
    <w:p>
      <w:pPr>
        <w:pStyle w:val="Normal"/>
        <w:bidi w:val="1"/>
        <w:spacing w:after="120" w:line="276" w:lineRule="auto"/>
        <w:jc w:val="right"/>
      </w:pPr>
      <w:r>
        <w:rPr>
          <w:rFonts w:ascii="Times New Roman" w:hAnsi="Times New Roman" w:eastAsia="Times New Roman" w:cs="B Lotus"/>
          <w:sz w:val="28"/>
          <w:szCs w:val="28"/>
          <w:rtl/>
          <w:cs/>
          <w:lang w:bidi="fa-IR" w:val="en-US"/>
        </w:rPr>
        <w:t>از دیدگاه اریکسون</w:t>
      </w:r>
      <w:r>
        <w:rPr>
          <w:rFonts w:ascii="Times New Roman" w:hAnsi="Times New Roman" w:eastAsia="Times New Roman" w:cs="Times New Roman"/>
          <w:rStyle w:val="FootnoteReference"/>
          <w:sz w:val="20"/>
          <w:szCs w:val="20"/>
          <w:vertAlign w:val="superscript"/>
          <w:rtl w:val="0"/>
          <w:cs w:val="0"/>
          <w:lang w:val="en-US"/>
        </w:rPr>
        <w:footnoteReference w:id="14"/>
      </w:r>
      <w:r>
        <w:rPr>
          <w:rFonts w:ascii="Times New Roman" w:hAnsi="Times New Roman" w:eastAsia="Times New Roman" w:cs="B Lotus"/>
          <w:sz w:val="28"/>
          <w:szCs w:val="28"/>
          <w:rtl/>
          <w:cs/>
          <w:lang w:bidi="fa-IR" w:val="en-US"/>
        </w:rPr>
        <w:t xml:space="preserve">،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 </w:t>
      </w:r>
      <w:r>
        <w:rPr>
          <w:rFonts w:ascii="Times New Roman" w:hAnsi="Times New Roman" w:eastAsia="Times New Roman" w:cs="B Lotus"/>
          <w:sz w:val="28"/>
          <w:szCs w:val="28"/>
          <w:rtl/>
          <w:cs/>
          <w:lang w:bidi="fa-IR" w:val="en-US"/>
        </w:rPr>
        <w:t>۱۹۸۲؛ اریکسون و کیونیو</w:t>
      </w:r>
      <w:r>
        <w:rPr>
          <w:rFonts w:ascii="Times New Roman" w:hAnsi="Times New Roman" w:eastAsia="Times New Roman" w:cs="Times New Roman"/>
          <w:rStyle w:val="FootnoteReference"/>
          <w:sz w:val="20"/>
          <w:szCs w:val="20"/>
          <w:vertAlign w:val="superscript"/>
          <w:rtl w:val="0"/>
          <w:cs w:val="0"/>
          <w:lang w:val="en-US"/>
        </w:rPr>
        <w:footnoteReference w:id="15"/>
      </w:r>
      <w:r>
        <w:rPr>
          <w:rFonts w:ascii="Times New Roman" w:hAnsi="Times New Roman" w:eastAsia="Times New Roman" w:cs="B Lotus"/>
          <w:sz w:val="28"/>
          <w:szCs w:val="28"/>
          <w:rtl/>
          <w:cs/>
          <w:lang w:bidi="fa-IR" w:val="en-US"/>
        </w:rPr>
        <w:t>، ۱۹۸۶).</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 همچنان برای فهم سازگاری و سلامت روان سالمندان راهگشا است (وسترهاف، بولمایر و مک‌آدامز</w:t>
      </w:r>
      <w:r>
        <w:rPr>
          <w:rFonts w:ascii="Times New Roman" w:hAnsi="Times New Roman" w:eastAsia="Times New Roman" w:cs="Times New Roman"/>
          <w:rStyle w:val="FootnoteReference"/>
          <w:color w:val="1B7A3D"/>
          <w:sz w:val="20"/>
          <w:szCs w:val="20"/>
          <w:vertAlign w:val="superscript"/>
          <w:rtl w:val="0"/>
          <w:cs w:val="0"/>
          <w:lang w:val="en-US"/>
        </w:rPr>
        <w:footnoteReference w:id="16"/>
      </w:r>
      <w:r>
        <w:rPr>
          <w:rFonts w:ascii="Times New Roman" w:hAnsi="Times New Roman" w:eastAsia="Times New Roman" w:cs="B Lotus"/>
          <w:color w:val="1B7A3D"/>
          <w:sz w:val="28"/>
          <w:szCs w:val="28"/>
          <w:rtl/>
          <w:cs/>
          <w:lang w:bidi="fa-IR" w:val="en-US"/>
        </w:rPr>
        <w:t>، ۲۰۱۷).</w:t>
      </w:r>
    </w:p>
    <w:p>
      <w:pPr>
        <w:pStyle w:val="Heading5"/>
        <w:bidi w:val="1"/>
        <w:spacing w:after="120" w:line="276" w:lineRule="auto"/>
        <w:jc w:val="right"/>
      </w:pPr>
      <w:r>
        <w:rPr>
          <w:rFonts w:ascii="Times New Roman" w:hAnsi="Times New Roman" w:eastAsia="Times New Roman" w:cs="B Lotus"/>
          <w:b/>
          <w:bCs/>
          <w:color w:val="1B7A3D"/>
          <w:sz w:val="28"/>
          <w:szCs w:val="28"/>
          <w:rtl/>
          <w:cs/>
          <w:lang w:bidi="fa-IR" w:val="en-US"/>
        </w:rPr>
        <w:t>۲-۱-۲-۲-۴- نظریه انتخاب اجتماعی-هیجانی</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نظریه انتخاب اجتماعی-هیجانی</w:t>
      </w:r>
      <w:r>
        <w:rPr>
          <w:rFonts w:ascii="Times New Roman" w:hAnsi="Times New Roman" w:eastAsia="Times New Roman" w:cs="Times New Roman"/>
          <w:rStyle w:val="FootnoteReference"/>
          <w:color w:val="1B7A3D"/>
          <w:sz w:val="20"/>
          <w:szCs w:val="20"/>
          <w:vertAlign w:val="superscript"/>
          <w:rtl w:val="0"/>
          <w:cs w:val="0"/>
          <w:lang w:val="en-US"/>
        </w:rPr>
        <w:footnoteReference w:id="17"/>
      </w:r>
      <w:r>
        <w:rPr>
          <w:rFonts w:ascii="Times New Roman" w:hAnsi="Times New Roman" w:eastAsia="Times New Roman" w:cs="B Lotus"/>
          <w:color w:val="1B7A3D"/>
          <w:sz w:val="28"/>
          <w:szCs w:val="28"/>
          <w:rtl/>
          <w:cs/>
          <w:lang w:bidi="fa-IR" w:val="en-US"/>
        </w:rPr>
        <w:t xml:space="preserve"> که توسط لورا کارستنسن</w:t>
      </w:r>
      <w:r>
        <w:rPr>
          <w:rFonts w:ascii="Times New Roman" w:hAnsi="Times New Roman" w:eastAsia="Times New Roman" w:cs="Times New Roman"/>
          <w:rStyle w:val="FootnoteReference"/>
          <w:color w:val="1B7A3D"/>
          <w:sz w:val="20"/>
          <w:szCs w:val="20"/>
          <w:vertAlign w:val="superscript"/>
          <w:rtl w:val="0"/>
          <w:cs w:val="0"/>
          <w:lang w:val="en-US"/>
        </w:rPr>
        <w:footnoteReference w:id="18"/>
      </w:r>
      <w:r>
        <w:rPr>
          <w:rFonts w:ascii="Times New Roman" w:hAnsi="Times New Roman" w:eastAsia="Times New Roman" w:cs="B Lotus"/>
          <w:color w:val="1B7A3D"/>
          <w:sz w:val="28"/>
          <w:szCs w:val="28"/>
          <w:rtl/>
          <w:cs/>
          <w:lang w:bidi="fa-IR" w:val="en-US"/>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Fonts w:ascii="Times New Roman" w:hAnsi="Times New Roman" w:eastAsia="Times New Roman" w:cs="Times New Roman"/>
          <w:rStyle w:val="FootnoteReference"/>
          <w:color w:val="1B7A3D"/>
          <w:sz w:val="20"/>
          <w:szCs w:val="20"/>
          <w:vertAlign w:val="superscript"/>
          <w:rtl w:val="0"/>
          <w:cs w:val="0"/>
          <w:lang w:val="en-US"/>
        </w:rPr>
        <w:footnoteReference w:id="21"/>
      </w:r>
      <w:r>
        <w:rPr>
          <w:rFonts w:ascii="Times New Roman" w:hAnsi="Times New Roman" w:eastAsia="Times New Roman" w:cs="B Lotus"/>
          <w:color w:val="1B7A3D"/>
          <w:sz w:val="28"/>
          <w:szCs w:val="28"/>
          <w:rtl/>
          <w:cs/>
          <w:lang w:bidi="fa-IR" w:val="en-US"/>
        </w:rPr>
        <w:t xml:space="preserve"> در توجه و حافظه سالمندان همراه دانسته شده است؛ یعنی سوگیری به اطلاعات مثبت در مقایسه با اطلاعات منفی. شواهد تجربی، از جمله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از جمله آگاهی از پایان زندگی ــ پیشنهاد نموده‌اند (کارستنسن، آیزاکوویتز</w:t>
      </w:r>
      <w:r>
        <w:rPr>
          <w:rFonts w:ascii="Times New Roman" w:hAnsi="Times New Roman" w:eastAsia="Times New Roman" w:cs="Times New Roman"/>
          <w:rStyle w:val="FootnoteReference"/>
          <w:color w:val="1B7A3D"/>
          <w:sz w:val="20"/>
          <w:szCs w:val="20"/>
          <w:vertAlign w:val="superscript"/>
          <w:rtl w:val="0"/>
          <w:cs w:val="0"/>
          <w:lang w:val="en-US"/>
        </w:rPr>
        <w:footnoteReference w:id="19"/>
      </w:r>
      <w:r>
        <w:rPr>
          <w:rFonts w:ascii="Times New Roman" w:hAnsi="Times New Roman" w:eastAsia="Times New Roman" w:cs="B Lotus"/>
          <w:color w:val="1B7A3D"/>
          <w:sz w:val="28"/>
          <w:szCs w:val="28"/>
          <w:rtl/>
          <w:cs/>
          <w:lang w:bidi="fa-IR" w:val="en-US"/>
        </w:rPr>
        <w:t xml:space="preserve"> و چارلز</w:t>
      </w:r>
      <w:r>
        <w:rPr>
          <w:rFonts w:ascii="Times New Roman" w:hAnsi="Times New Roman" w:eastAsia="Times New Roman" w:cs="Times New Roman"/>
          <w:rStyle w:val="FootnoteReference"/>
          <w:color w:val="1B7A3D"/>
          <w:sz w:val="20"/>
          <w:szCs w:val="20"/>
          <w:vertAlign w:val="superscript"/>
          <w:rtl w:val="0"/>
          <w:cs w:val="0"/>
          <w:lang w:val="en-US"/>
        </w:rPr>
        <w:footnoteReference w:id="20"/>
      </w:r>
      <w:r>
        <w:rPr>
          <w:rFonts w:ascii="Times New Roman" w:hAnsi="Times New Roman" w:eastAsia="Times New Roman" w:cs="B Lotus"/>
          <w:color w:val="1B7A3D"/>
          <w:sz w:val="28"/>
          <w:szCs w:val="28"/>
          <w:rtl/>
          <w:cs/>
          <w:lang w:bidi="fa-IR" w:val="en-US"/>
        </w:rPr>
        <w:t>، ۱۹۹۹؛ کارستنسن، ۲۰۰۶؛ رید، چان و مایکلز</w:t>
      </w:r>
      <w:r>
        <w:rPr>
          <w:rFonts w:ascii="Times New Roman" w:hAnsi="Times New Roman" w:eastAsia="Times New Roman" w:cs="Times New Roman"/>
          <w:rStyle w:val="FootnoteReference"/>
          <w:color w:val="1B7A3D"/>
          <w:sz w:val="20"/>
          <w:szCs w:val="20"/>
          <w:vertAlign w:val="superscript"/>
          <w:rtl w:val="0"/>
          <w:cs w:val="0"/>
          <w:lang w:val="en-US"/>
        </w:rPr>
        <w:footnoteReference w:id="22"/>
      </w:r>
      <w:r>
        <w:rPr>
          <w:rFonts w:ascii="Times New Roman" w:hAnsi="Times New Roman" w:eastAsia="Times New Roman" w:cs="B Lotus"/>
          <w:color w:val="1B7A3D"/>
          <w:sz w:val="28"/>
          <w:szCs w:val="28"/>
          <w:rtl/>
          <w:cs/>
          <w:lang w:bidi="fa-IR" w:val="en-US"/>
        </w:rPr>
        <w:t>، ۲۰۱۴؛ کارستنسن، ۲۰۲۱).</w:t>
      </w:r>
    </w:p>
    <w:p>
      <w:pPr>
        <w:pStyle w:val="Heading4"/>
        <w:bidi w:val="1"/>
        <w:spacing w:after="120" w:line="276" w:lineRule="auto"/>
        <w:jc w:val="right"/>
      </w:pPr>
      <w:r>
        <w:rPr>
          <w:rFonts w:ascii="Times New Roman" w:hAnsi="Times New Roman" w:eastAsia="Times New Roman" w:cs="B Lotus"/>
          <w:b/>
          <w:bCs/>
          <w:sz w:val="28"/>
          <w:szCs w:val="28"/>
          <w:rtl/>
          <w:cs/>
          <w:lang w:bidi="fa-IR" w:val="en-US"/>
        </w:rPr>
        <w:t>۲-۱-۲-۳- نظریه‌های جامعه‌شناختی</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۲-۱-۲-۳-۱- نظریه عدم تعهد</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 عدم تعهد</w:t>
      </w:r>
      <w:r>
        <w:rPr>
          <w:rFonts w:ascii="Times New Roman" w:hAnsi="Times New Roman" w:eastAsia="Times New Roman" w:cs="Times New Roman"/>
          <w:rStyle w:val="FootnoteReference"/>
          <w:sz w:val="20"/>
          <w:szCs w:val="20"/>
          <w:vertAlign w:val="superscript"/>
          <w:rtl w:val="0"/>
          <w:cs w:val="0"/>
          <w:lang w:val="en-US"/>
        </w:rPr>
        <w:footnoteReference w:id="23"/>
      </w:r>
      <w:r>
        <w:rPr>
          <w:rFonts w:ascii="Times New Roman" w:hAnsi="Times New Roman" w:eastAsia="Times New Roman" w:cs="B Lotus"/>
          <w:sz w:val="28"/>
          <w:szCs w:val="28"/>
          <w:rtl/>
          <w:cs/>
          <w:lang w:bidi="fa-IR" w:val="en-US"/>
        </w:rPr>
        <w:t xml:space="preserve"> که توسط کامینگ و هنری</w:t>
      </w:r>
      <w:r>
        <w:rPr>
          <w:rFonts w:ascii="Times New Roman" w:hAnsi="Times New Roman" w:eastAsia="Times New Roman" w:cs="Times New Roman"/>
          <w:rStyle w:val="FootnoteReference"/>
          <w:sz w:val="20"/>
          <w:szCs w:val="20"/>
          <w:vertAlign w:val="superscript"/>
          <w:rtl w:val="0"/>
          <w:cs w:val="0"/>
          <w:lang w:val="en-US"/>
        </w:rPr>
        <w:footnoteReference w:id="24"/>
      </w:r>
      <w:r>
        <w:rPr>
          <w:rFonts w:ascii="Times New Roman" w:hAnsi="Times New Roman" w:eastAsia="Times New Roman" w:cs="B Lotus"/>
          <w:sz w:val="28"/>
          <w:szCs w:val="28"/>
          <w:rtl/>
          <w:cs/>
          <w:lang w:bidi="fa-IR" w:val="en-US"/>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w:t>
      </w:r>
      <w:r>
        <w:rPr>
          <w:rFonts w:ascii="Times New Roman" w:hAnsi="Times New Roman" w:eastAsia="Times New Roman" w:cs="B Lotus"/>
          <w:sz w:val="28"/>
          <w:szCs w:val="28"/>
          <w:rtl/>
          <w:cs/>
          <w:lang w:bidi="fa-IR" w:val="en-US"/>
        </w:rPr>
        <w:t>۱۹۶۱؛ آچلی</w:t>
      </w:r>
      <w:r>
        <w:rPr>
          <w:rFonts w:ascii="Times New Roman" w:hAnsi="Times New Roman" w:eastAsia="Times New Roman" w:cs="Times New Roman"/>
          <w:rStyle w:val="FootnoteReference"/>
          <w:sz w:val="20"/>
          <w:szCs w:val="20"/>
          <w:vertAlign w:val="superscript"/>
          <w:rtl w:val="0"/>
          <w:cs w:val="0"/>
          <w:lang w:val="en-US"/>
        </w:rPr>
        <w:footnoteReference w:id="25"/>
      </w:r>
      <w:r>
        <w:rPr>
          <w:rFonts w:ascii="Times New Roman" w:hAnsi="Times New Roman" w:eastAsia="Times New Roman" w:cs="B Lotus"/>
          <w:sz w:val="28"/>
          <w:szCs w:val="28"/>
          <w:rtl/>
          <w:cs/>
          <w:lang w:bidi="fa-IR" w:val="en-US"/>
        </w:rPr>
        <w:t>، ۲۰۱۶).</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 </w:t>
      </w:r>
      <w:r>
        <w:rPr>
          <w:rFonts w:ascii="Times New Roman" w:hAnsi="Times New Roman" w:eastAsia="Times New Roman" w:cs="B Lotus"/>
          <w:color w:val="1B7A3D"/>
          <w:sz w:val="28"/>
          <w:szCs w:val="28"/>
          <w:rtl/>
          <w:cs/>
          <w:lang w:bidi="fa-IR" w:val="en-US"/>
        </w:rPr>
        <w:t>۲۰۲۰؛ سازمان جهانی بهداشت، ۲۰۲۳).</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۲-۱-۲-۳-۲- نظریه فعالیت</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 فعالیت</w:t>
      </w:r>
      <w:r>
        <w:rPr>
          <w:rFonts w:ascii="Times New Roman" w:hAnsi="Times New Roman" w:eastAsia="Times New Roman" w:cs="Times New Roman"/>
          <w:rStyle w:val="FootnoteReference"/>
          <w:sz w:val="20"/>
          <w:szCs w:val="20"/>
          <w:vertAlign w:val="superscript"/>
          <w:rtl w:val="0"/>
          <w:cs w:val="0"/>
          <w:lang w:val="en-US"/>
        </w:rPr>
        <w:footnoteReference w:id="26"/>
      </w:r>
      <w:r>
        <w:rPr>
          <w:rFonts w:ascii="Times New Roman" w:hAnsi="Times New Roman" w:eastAsia="Times New Roman" w:cs="B Lotus"/>
          <w:sz w:val="28"/>
          <w:szCs w:val="28"/>
          <w:rtl/>
          <w:cs/>
          <w:lang w:bidi="fa-IR" w:val="en-US"/>
        </w:rPr>
        <w:t xml:space="preserve"> که توسط هاویگهرست</w:t>
      </w:r>
      <w:r>
        <w:rPr>
          <w:rFonts w:ascii="Times New Roman" w:hAnsi="Times New Roman" w:eastAsia="Times New Roman" w:cs="Times New Roman"/>
          <w:rStyle w:val="FootnoteReference"/>
          <w:sz w:val="20"/>
          <w:szCs w:val="20"/>
          <w:vertAlign w:val="superscript"/>
          <w:rtl w:val="0"/>
          <w:cs w:val="0"/>
          <w:lang w:val="en-US"/>
        </w:rPr>
        <w:footnoteReference w:id="27"/>
      </w:r>
      <w:r>
        <w:rPr>
          <w:rFonts w:ascii="Times New Roman" w:hAnsi="Times New Roman" w:eastAsia="Times New Roman" w:cs="B Lotus"/>
          <w:sz w:val="28"/>
          <w:szCs w:val="28"/>
          <w:rtl/>
          <w:cs/>
          <w:lang w:bidi="fa-IR" w:val="en-US"/>
        </w:rPr>
        <w:t xml:space="preserve">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 </w:t>
      </w:r>
      <w:r>
        <w:rPr>
          <w:rFonts w:ascii="Times New Roman" w:hAnsi="Times New Roman" w:eastAsia="Times New Roman" w:cs="B Lotus"/>
          <w:sz w:val="28"/>
          <w:szCs w:val="28"/>
          <w:rtl/>
          <w:cs/>
          <w:lang w:bidi="fa-IR" w:val="en-US"/>
        </w:rPr>
        <w:t>۱۹۶۱؛ هاویگهرست، نیوگارتن و توبین</w:t>
      </w:r>
      <w:r>
        <w:rPr>
          <w:rFonts w:ascii="Times New Roman" w:hAnsi="Times New Roman" w:eastAsia="Times New Roman" w:cs="Times New Roman"/>
          <w:rStyle w:val="FootnoteReference"/>
          <w:sz w:val="20"/>
          <w:szCs w:val="20"/>
          <w:vertAlign w:val="superscript"/>
          <w:rtl w:val="0"/>
          <w:cs w:val="0"/>
          <w:lang w:val="en-US"/>
        </w:rPr>
        <w:footnoteReference w:id="28"/>
      </w:r>
      <w:r>
        <w:rPr>
          <w:rFonts w:ascii="Times New Roman" w:hAnsi="Times New Roman" w:eastAsia="Times New Roman" w:cs="B Lotus"/>
          <w:sz w:val="28"/>
          <w:szCs w:val="28"/>
          <w:rtl/>
          <w:cs/>
          <w:lang w:bidi="fa-IR" w:val="en-US"/>
        </w:rPr>
        <w:t>، ۱۹۶۸).</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 و کان</w:t>
      </w:r>
      <w:r>
        <w:rPr>
          <w:rFonts w:ascii="Times New Roman" w:hAnsi="Times New Roman" w:eastAsia="Times New Roman" w:cs="Times New Roman"/>
          <w:rStyle w:val="FootnoteReference"/>
          <w:color w:val="1B7A3D"/>
          <w:sz w:val="20"/>
          <w:szCs w:val="20"/>
          <w:vertAlign w:val="superscript"/>
          <w:rtl w:val="0"/>
          <w:cs w:val="0"/>
          <w:lang w:val="en-US"/>
        </w:rPr>
        <w:footnoteReference w:id="29"/>
      </w:r>
      <w:r>
        <w:rPr>
          <w:rFonts w:ascii="Times New Roman" w:hAnsi="Times New Roman" w:eastAsia="Times New Roman" w:cs="B Lotus"/>
          <w:color w:val="1B7A3D"/>
          <w:sz w:val="28"/>
          <w:szCs w:val="28"/>
          <w:rtl/>
          <w:cs/>
          <w:lang w:bidi="fa-IR" w:val="en-US"/>
        </w:rPr>
        <w:t>، ۲۰۱۵).</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۲-۱-۲-۳-۳- نظریه مبادله یا تعامل</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 مبادله اجتماعی، که توسط داود</w:t>
      </w:r>
      <w:r>
        <w:rPr>
          <w:rFonts w:ascii="Times New Roman" w:hAnsi="Times New Roman" w:eastAsia="Times New Roman" w:cs="Times New Roman"/>
          <w:rStyle w:val="FootnoteReference"/>
          <w:sz w:val="20"/>
          <w:szCs w:val="20"/>
          <w:vertAlign w:val="superscript"/>
          <w:rtl w:val="0"/>
          <w:cs w:val="0"/>
          <w:lang w:val="en-US"/>
        </w:rPr>
        <w:footnoteReference w:id="30"/>
      </w:r>
      <w:r>
        <w:rPr>
          <w:rFonts w:ascii="Times New Roman" w:hAnsi="Times New Roman" w:eastAsia="Times New Roman" w:cs="B Lotus"/>
          <w:sz w:val="28"/>
          <w:szCs w:val="28"/>
          <w:rtl/>
          <w:cs/>
          <w:lang w:bidi="fa-IR" w:val="en-US"/>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w:t>
      </w:r>
      <w:r>
        <w:rPr>
          <w:rFonts w:ascii="Times New Roman" w:hAnsi="Times New Roman" w:eastAsia="Times New Roman" w:cs="B Lotus"/>
          <w:sz w:val="28"/>
          <w:szCs w:val="28"/>
          <w:rtl/>
          <w:cs/>
          <w:lang w:bidi="fa-IR" w:val="en-US"/>
        </w:rPr>
        <w:t>۱۹۷۵).</w:t>
      </w:r>
    </w:p>
    <w:p>
      <w:pPr>
        <w:pStyle w:val="Heading5"/>
        <w:bidi w:val="1"/>
        <w:spacing w:after="120" w:line="276" w:lineRule="auto"/>
        <w:jc w:val="right"/>
      </w:pPr>
      <w:r>
        <w:rPr>
          <w:rFonts w:ascii="Times New Roman" w:hAnsi="Times New Roman" w:eastAsia="Times New Roman" w:cs="B Lotus"/>
          <w:b/>
          <w:bCs/>
          <w:sz w:val="28"/>
          <w:szCs w:val="28"/>
          <w:rtl/>
          <w:cs/>
          <w:lang w:bidi="fa-IR" w:val="en-US"/>
        </w:rPr>
        <w:t>۲-۱-۲-۳-۴- نظریه استمرار</w:t>
      </w:r>
    </w:p>
    <w:p>
      <w:pPr>
        <w:pStyle w:val="Normal"/>
        <w:bidi w:val="1"/>
        <w:spacing w:after="120" w:line="276" w:lineRule="auto"/>
        <w:jc w:val="right"/>
      </w:pPr>
      <w:r>
        <w:rPr>
          <w:rFonts w:ascii="Times New Roman" w:hAnsi="Times New Roman" w:eastAsia="Times New Roman" w:cs="B Lotus"/>
          <w:sz w:val="28"/>
          <w:szCs w:val="28"/>
          <w:rtl/>
          <w:cs/>
          <w:lang w:bidi="fa-IR" w:val="en-US"/>
        </w:rPr>
        <w:t>نظریه تداوم یا استمرار</w:t>
      </w:r>
      <w:r>
        <w:rPr>
          <w:rFonts w:ascii="Times New Roman" w:hAnsi="Times New Roman" w:eastAsia="Times New Roman" w:cs="Times New Roman"/>
          <w:rStyle w:val="FootnoteReference"/>
          <w:sz w:val="20"/>
          <w:szCs w:val="20"/>
          <w:vertAlign w:val="superscript"/>
          <w:rtl w:val="0"/>
          <w:cs w:val="0"/>
          <w:lang w:val="en-US"/>
        </w:rPr>
        <w:footnoteReference w:id="31"/>
      </w:r>
      <w:r>
        <w:rPr>
          <w:rFonts w:ascii="Times New Roman" w:hAnsi="Times New Roman" w:eastAsia="Times New Roman" w:cs="B Lotus"/>
          <w:sz w:val="28"/>
          <w:szCs w:val="28"/>
          <w:rtl/>
          <w:cs/>
          <w:lang w:bidi="fa-IR" w:val="en-US"/>
        </w:rPr>
        <w:t xml:space="preserve"> که توسط رابرت آچلی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w:t>
      </w:r>
      <w:r>
        <w:rPr>
          <w:rFonts w:ascii="Times New Roman" w:hAnsi="Times New Roman" w:eastAsia="Times New Roman" w:cs="B Lotus"/>
          <w:sz w:val="28"/>
          <w:szCs w:val="28"/>
          <w:rtl/>
          <w:cs/>
          <w:lang w:bidi="fa-IR" w:val="en-US"/>
        </w:rPr>
        <w:t>۱۹۸۹؛ آچلی، ۲۰۱۶).</w:t>
      </w:r>
    </w:p>
    <w:p>
      <w:pPr>
        <w:pStyle w:val="Normal"/>
        <w:bidi w:val="1"/>
        <w:spacing w:after="120" w:line="276" w:lineRule="auto"/>
        <w:jc w:val="right"/>
      </w:pPr>
      <w:r>
        <w:rPr>
          <w:rFonts w:ascii="Times New Roman" w:hAnsi="Times New Roman" w:eastAsia="Times New Roman" w:cs="B Lotus"/>
          <w:color w:val="1B7A3D"/>
          <w:sz w:val="28"/>
          <w:szCs w:val="28"/>
          <w:rtl/>
          <w:cs/>
          <w:lang w:bidi="fa-IR" w:val="en-US"/>
        </w:rPr>
        <w:t xml:space="preserve">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 </w:t>
      </w:r>
      <w:r>
        <w:rPr>
          <w:rFonts w:ascii="Times New Roman" w:hAnsi="Times New Roman" w:eastAsia="Times New Roman" w:cs="B Lotus"/>
          <w:color w:val="1B7A3D"/>
          <w:sz w:val="28"/>
          <w:szCs w:val="28"/>
          <w:rtl/>
          <w:cs/>
          <w:lang w:bidi="fa-IR" w:val="en-US"/>
        </w:rPr>
        <w:t>۲۰۱۶).</w:t>
      </w:r>
    </w:p>
    <w:p>
      <w:pPr>
        <w:pStyle w:val="Heading1"/>
        <w:bidi w:val="1"/>
        <w:spacing w:after="120" w:line="276" w:lineRule="auto"/>
        <w:jc w:val="right"/>
        <w:pageBreakBefore/>
      </w:pPr>
      <w:r>
        <w:rPr>
          <w:rFonts w:ascii="Times New Roman" w:hAnsi="Times New Roman" w:eastAsia="Times New Roman" w:cs="B Lotus"/>
          <w:b/>
          <w:bCs/>
          <w:sz w:val="28"/>
          <w:szCs w:val="28"/>
          <w:rtl/>
          <w:cs/>
          <w:lang w:bidi="fa-IR" w:val="en-US"/>
        </w:rPr>
        <w:t>منابع فارسی</w:t>
      </w:r>
    </w:p>
    <w:p>
      <w:pPr>
        <w:pStyle w:val="Normal"/>
        <w:bidi w:val="1"/>
        <w:spacing w:after="120" w:line="276" w:lineRule="auto"/>
        <w:jc w:val="right"/>
      </w:pPr>
      <w:r>
        <w:rPr>
          <w:rFonts w:ascii="Times New Roman" w:hAnsi="Times New Roman" w:eastAsia="Times New Roman" w:cs="B Lotus"/>
          <w:sz w:val="28"/>
          <w:szCs w:val="28"/>
          <w:rtl/>
          <w:cs/>
          <w:lang w:bidi="fa-IR" w:val="en-US"/>
        </w:rPr>
        <w:t>حسینی، جنبذی سیدعلی؛ و زرقی، محمد. (۱۴۰۲). مروری بر نظریه‌های روان‌شناختی سالمندی و سالمندی موفق. فصلنامه سالمند.</w:t>
      </w:r>
    </w:p>
    <w:p>
      <w:pPr>
        <w:pStyle w:val="Heading1"/>
        <w:bidi w:val="1"/>
        <w:spacing w:after="120" w:line="276" w:lineRule="auto"/>
        <w:jc w:val="right"/>
      </w:pPr>
      <w:r>
        <w:rPr>
          <w:rFonts w:ascii="Times New Roman" w:hAnsi="Times New Roman" w:eastAsia="Times New Roman" w:cs="B Lotus"/>
          <w:b/>
          <w:bCs/>
          <w:sz w:val="28"/>
          <w:szCs w:val="28"/>
          <w:rtl/>
          <w:cs/>
          <w:lang w:bidi="fa-IR" w:val="en-US"/>
        </w:rPr>
        <w:t>منابع لاتین</w:t>
      </w:r>
    </w:p>
    <w:p>
      <w:pPr>
        <w:pStyle w:val="Bibliography"/>
        <w:bidi w:val="0"/>
        <w:spacing w:after="120" w:line="276" w:lineRule="auto"/>
        <w:jc w:val="left"/>
      </w:pPr>
      <w:r>
        <w:rPr>
          <w:rFonts w:ascii="Times New Roman" w:hAnsi="Times New Roman" w:eastAsia="Times New Roman" w:cs="B Lotus"/>
          <w:sz w:val="28"/>
          <w:szCs w:val="28"/>
          <w:rtl w:val="0"/>
          <w:cs w:val="0"/>
          <w:lang w:val="en-US"/>
        </w:rPr>
        <w:t>Atchley, R. C. (1989). A Continuity Theory of Normal Aging. The Gerontologist, 29(2), 183–190.</w:t>
      </w:r>
    </w:p>
    <w:p>
      <w:pPr>
        <w:pStyle w:val="Bibliography"/>
        <w:bidi w:val="0"/>
        <w:spacing w:after="120" w:line="276" w:lineRule="auto"/>
        <w:jc w:val="left"/>
      </w:pPr>
      <w:r>
        <w:rPr>
          <w:rFonts w:ascii="Times New Roman" w:hAnsi="Times New Roman" w:eastAsia="Times New Roman" w:cs="B Lotus"/>
          <w:sz w:val="28"/>
          <w:szCs w:val="28"/>
          <w:rtl w:val="0"/>
          <w:cs w:val="0"/>
          <w:lang w:val="en-US"/>
        </w:rPr>
        <w:t>Atchley, R. C. (2016). Social Forces and Aging: An Introduction to Social Gerontology (14th ed.). Cengage Learning.</w:t>
      </w:r>
    </w:p>
    <w:p>
      <w:pPr>
        <w:pStyle w:val="Bibliography"/>
        <w:bidi w:val="0"/>
        <w:spacing w:after="120" w:line="276" w:lineRule="auto"/>
        <w:jc w:val="left"/>
      </w:pPr>
      <w:r>
        <w:rPr>
          <w:rFonts w:ascii="Times New Roman" w:hAnsi="Times New Roman" w:eastAsia="Times New Roman" w:cs="B Lotus"/>
          <w:sz w:val="28"/>
          <w:szCs w:val="28"/>
          <w:rtl w:val="0"/>
          <w:cs w:val="0"/>
          <w:lang w:val="en-US"/>
        </w:rPr>
        <w:t>Campisi, J. (2024). Cellular Senescence and Organismal Aging. Nature Reviews Molecular Cell Biology.</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(2006). The influence of a sense of time on human development. Science, 312(5782), 1913–1915. </w:t>
      </w:r>
      <w:hyperlink r:id="rIdDoiSST06" w:history="1">
        <w:r>
          <w:rPr>
            <w:rFonts w:ascii="Times New Roman" w:hAnsi="Times New Roman" w:eastAsia="Times New Roman" w:cs="B Lotus"/>
            <w:rStyle w:val="Hyperlink"/>
            <w:color w:val="1B7A3D"/>
            <w:sz w:val="28"/>
            <w:szCs w:val="28"/>
            <w:rtl w:val="0"/>
            <w:cs w:val="0"/>
            <w:lang w:val="en-US"/>
          </w:rPr>
          <w:t xml:space="preserve">https://doi.org/10.1126/science.1127488</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(2021). Socioemotional selectivity theory: The role of perceived endings in human motivation. The Gerontologist, 61(8), 1188–1196. </w:t>
      </w:r>
      <w:hyperlink r:id="rIdDoiSST21" w:history="1">
        <w:r>
          <w:rPr>
            <w:rFonts w:ascii="Times New Roman" w:hAnsi="Times New Roman" w:eastAsia="Times New Roman" w:cs="B Lotus"/>
            <w:rStyle w:val="Hyperlink"/>
            <w:color w:val="1B7A3D"/>
            <w:sz w:val="28"/>
            <w:szCs w:val="28"/>
            <w:rtl w:val="0"/>
            <w:cs w:val="0"/>
            <w:lang w:val="en-US"/>
          </w:rPr>
          <w:t xml:space="preserve">https://doi.org/10.1093/geront/gnab116</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Carstensen, L. L., Isaacowitz, D. M., &amp; Charles, S. T. (1999). Taking time seriously: A theory of socioemotional selectivity. American Psychologist, 54(3), 165–181. </w:t>
      </w:r>
      <w:hyperlink r:id="rIdDoiSST99" w:history="1">
        <w:r>
          <w:rPr>
            <w:rFonts w:ascii="Times New Roman" w:hAnsi="Times New Roman" w:eastAsia="Times New Roman" w:cs="B Lotus"/>
            <w:rStyle w:val="Hyperlink"/>
            <w:color w:val="1B7A3D"/>
            <w:sz w:val="28"/>
            <w:szCs w:val="28"/>
            <w:rtl w:val="0"/>
            <w:cs w:val="0"/>
            <w:lang w:val="en-US"/>
          </w:rPr>
          <w:t xml:space="preserve">https://doi.org/10.1037/0003-066X.54.3.165</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Cumming, E., &amp; Henry, W. E. (1961). Growing Old: The Process of Disengagement. New York: Basic Books.</w:t>
      </w:r>
    </w:p>
    <w:p>
      <w:pPr>
        <w:pStyle w:val="Bibliography"/>
        <w:bidi w:val="0"/>
        <w:spacing w:after="120" w:line="276" w:lineRule="auto"/>
        <w:jc w:val="left"/>
      </w:pPr>
      <w:r>
        <w:rPr>
          <w:rFonts w:ascii="Times New Roman" w:hAnsi="Times New Roman" w:eastAsia="Times New Roman" w:cs="B Lotus"/>
          <w:sz w:val="28"/>
          <w:szCs w:val="28"/>
          <w:rtl w:val="0"/>
          <w:cs w:val="0"/>
          <w:lang w:val="en-US"/>
        </w:rPr>
        <w:t>Dowd, J. J. (1975). Aging as exchange: A preface to theory. Journal of Gerontology, 30(5), 584–594.</w:t>
      </w:r>
    </w:p>
    <w:p>
      <w:pPr>
        <w:pStyle w:val="Bibliography"/>
        <w:bidi w:val="0"/>
        <w:spacing w:after="120" w:line="276" w:lineRule="auto"/>
        <w:jc w:val="left"/>
      </w:pPr>
      <w:r>
        <w:rPr>
          <w:rFonts w:ascii="Times New Roman" w:hAnsi="Times New Roman" w:eastAsia="Times New Roman" w:cs="B Lotus"/>
          <w:sz w:val="28"/>
          <w:szCs w:val="28"/>
          <w:rtl w:val="0"/>
          <w:cs w:val="0"/>
          <w:lang w:val="en-US"/>
        </w:rPr>
        <w:t>Erikson, E. H. (1982). The Life Cycle Completed. New York: W. W. Norton.</w:t>
      </w:r>
    </w:p>
    <w:p>
      <w:pPr>
        <w:pStyle w:val="Bibliography"/>
        <w:bidi w:val="0"/>
        <w:spacing w:after="120" w:line="276" w:lineRule="auto"/>
        <w:jc w:val="left"/>
      </w:pPr>
      <w:r>
        <w:rPr>
          <w:rFonts w:ascii="Times New Roman" w:hAnsi="Times New Roman" w:eastAsia="Times New Roman" w:cs="B Lotus"/>
          <w:sz w:val="28"/>
          <w:szCs w:val="28"/>
          <w:rtl w:val="0"/>
          <w:cs w:val="0"/>
          <w:lang w:val="en-US"/>
        </w:rPr>
        <w:t>Erikson, E. H., Erikson, J. M., &amp; Kivnick, H. Q. (1986). Vital Involvement in Old Age. New York: W. W. Norton.</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Franceschi, C., Garagnani, P., Parini, P., Giuliani, C., &amp; Santoro, A. (2018). Inflammaging: A new immune–metabolic viewpoint for age-related diseases. Nature Reviews Endocrinology, 14(10), 576–590. </w:t>
      </w:r>
      <w:hyperlink r:id="rIdDoiFran" w:history="1">
        <w:r>
          <w:rPr>
            <w:rFonts w:ascii="Times New Roman" w:hAnsi="Times New Roman" w:eastAsia="Times New Roman" w:cs="B Lotus"/>
            <w:rStyle w:val="Hyperlink"/>
            <w:color w:val="1B7A3D"/>
            <w:sz w:val="28"/>
            <w:szCs w:val="28"/>
            <w:rtl w:val="0"/>
            <w:cs w:val="0"/>
            <w:lang w:val="en-US"/>
          </w:rPr>
          <w:t xml:space="preserve">https://doi.org/10.1038/s41574-018-0059-4</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Fulop, T., Larbi, A., Dupuis, G., et al. (2023). Immunosenescence and inflammaging as two sides of the same coin: Friends or foes? Frontiers in Immunology.</w:t>
      </w:r>
    </w:p>
    <w:p>
      <w:pPr>
        <w:pStyle w:val="Bibliography"/>
        <w:bidi w:val="0"/>
        <w:spacing w:after="120" w:line="276" w:lineRule="auto"/>
        <w:jc w:val="left"/>
      </w:pPr>
      <w:r>
        <w:rPr>
          <w:rFonts w:ascii="Times New Roman" w:hAnsi="Times New Roman" w:eastAsia="Times New Roman" w:cs="B Lotus"/>
          <w:sz w:val="28"/>
          <w:szCs w:val="28"/>
          <w:rtl w:val="0"/>
          <w:cs w:val="0"/>
          <w:lang w:val="en-US"/>
        </w:rPr>
        <w:t>Gladyshev, V. N. (2024). The Biology of Aging. Nature Reviews Molecular Cell Biology.</w:t>
      </w:r>
    </w:p>
    <w:p>
      <w:pPr>
        <w:pStyle w:val="Bibliography"/>
        <w:bidi w:val="0"/>
        <w:spacing w:after="120" w:line="276" w:lineRule="auto"/>
        <w:jc w:val="left"/>
      </w:pPr>
      <w:r>
        <w:rPr>
          <w:rFonts w:ascii="Times New Roman" w:hAnsi="Times New Roman" w:eastAsia="Times New Roman" w:cs="B Lotus"/>
          <w:sz w:val="28"/>
          <w:szCs w:val="28"/>
          <w:rtl w:val="0"/>
          <w:cs w:val="0"/>
          <w:lang w:val="en-US"/>
        </w:rPr>
        <w:t>Havighurst, R. J. (1961). Successful aging. The Gerontologist.</w:t>
      </w:r>
    </w:p>
    <w:p>
      <w:pPr>
        <w:pStyle w:val="Bibliography"/>
        <w:bidi w:val="0"/>
        <w:spacing w:after="120" w:line="276" w:lineRule="auto"/>
        <w:jc w:val="left"/>
      </w:pPr>
      <w:r>
        <w:rPr>
          <w:rFonts w:ascii="Times New Roman" w:hAnsi="Times New Roman" w:eastAsia="Times New Roman" w:cs="B Lotus"/>
          <w:sz w:val="28"/>
          <w:szCs w:val="28"/>
          <w:rtl w:val="0"/>
          <w:cs w:val="0"/>
          <w:lang w:val="en-US"/>
        </w:rPr>
        <w:t>Havighurst, R. J., Neugarten, B. L., &amp; Tobin, S. S. (1968). Disengagement and patterns of aging. In Middle Age and Aging.</w:t>
      </w:r>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López-Otín, C., Blasco, M. A., Partridge, L., Serrano, M., &amp; Kroemer, G. (2023). Hallmarks of aging: An expanding universe. Cell, 186(2), 243–278. </w:t>
      </w:r>
      <w:hyperlink r:id="rIdDoiLopez" w:history="1">
        <w:r>
          <w:rPr>
            <w:rFonts w:ascii="Times New Roman" w:hAnsi="Times New Roman" w:eastAsia="Times New Roman" w:cs="B Lotus"/>
            <w:rStyle w:val="Hyperlink"/>
            <w:sz w:val="28"/>
            <w:szCs w:val="28"/>
            <w:rtl w:val="0"/>
            <w:cs w:val="0"/>
            <w:lang w:val="en-US"/>
          </w:rPr>
          <w:t xml:space="preserve">https://doi.org/10.1016/j.cell.2022.11.001</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Nikolich-Žugich, J., et al. (2023). The twilight of immunity: Emerging concepts in aging of the immune system. Nature Immunology.</w:t>
      </w:r>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Reed, A. E., Chan, L., &amp; Mikels, J. A. (2014). Meta-analysis of the age-related positivity effect: Age differences in preferences for positive over negative information. Psychology and Aging, 29(1), 1–15. </w:t>
      </w:r>
      <w:hyperlink r:id="rIdDoiReed" w:history="1">
        <w:r>
          <w:rPr>
            <w:rFonts w:ascii="Times New Roman" w:hAnsi="Times New Roman" w:eastAsia="Times New Roman" w:cs="B Lotus"/>
            <w:rStyle w:val="Hyperlink"/>
            <w:color w:val="1B7A3D"/>
            <w:sz w:val="28"/>
            <w:szCs w:val="28"/>
            <w:rtl w:val="0"/>
            <w:cs w:val="0"/>
            <w:lang w:val="en-US"/>
          </w:rPr>
          <w:t xml:space="preserve">https://doi.org/10.1037/a0035194</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Rowe, J. W., &amp; Kahn, R. L. (2015). Successful aging 2.0: Conceptual expansions for the 21st century. The Journals of Gerontology, Series B, 70(4), 593–596. </w:t>
      </w:r>
      <w:hyperlink r:id="rIdDoiRowe" w:history="1">
        <w:r>
          <w:rPr>
            <w:rFonts w:ascii="Times New Roman" w:hAnsi="Times New Roman" w:eastAsia="Times New Roman" w:cs="B Lotus"/>
            <w:rStyle w:val="Hyperlink"/>
            <w:color w:val="1B7A3D"/>
            <w:sz w:val="28"/>
            <w:szCs w:val="28"/>
            <w:rtl w:val="0"/>
            <w:cs w:val="0"/>
            <w:lang w:val="en-US"/>
          </w:rPr>
          <w:t xml:space="preserve">https://doi.org/10.1093/geronb/gbv025</w:t>
        </w:r>
      </w:hyperlink>
    </w:p>
    <w:p>
      <w:pPr>
        <w:pStyle w:val="Bibliography"/>
        <w:bidi w:val="0"/>
        <w:spacing w:after="120" w:line="276" w:lineRule="auto"/>
        <w:jc w:val="left"/>
      </w:pPr>
      <w:r>
        <w:rPr>
          <w:rFonts w:ascii="Times New Roman" w:hAnsi="Times New Roman" w:eastAsia="Times New Roman" w:cs="B Lotus"/>
          <w:color w:val="1B7A3D"/>
          <w:sz w:val="28"/>
          <w:szCs w:val="28"/>
          <w:rtl w:val="0"/>
          <w:cs w:val="0"/>
          <w:lang w:val="en-US"/>
        </w:rPr>
        <w:t xml:space="preserve">Westerhof, G. J., Bohlmeijer, E. T., &amp; McAdams, D. P. (2017). The relation of ego integrity and despair to personality traits and mental health. The Journals of Gerontology, Series B, 72(3), 400–407. </w:t>
      </w:r>
      <w:hyperlink r:id="rIdDoiWest" w:history="1">
        <w:r>
          <w:rPr>
            <w:rFonts w:ascii="Times New Roman" w:hAnsi="Times New Roman" w:eastAsia="Times New Roman" w:cs="B Lotus"/>
            <w:rStyle w:val="Hyperlink"/>
            <w:color w:val="1B7A3D"/>
            <w:sz w:val="28"/>
            <w:szCs w:val="28"/>
            <w:rtl w:val="0"/>
            <w:cs w:val="0"/>
            <w:lang w:val="en-US"/>
          </w:rPr>
          <w:t xml:space="preserve">https://doi.org/10.1093/geronb/gbv062</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World Health Organization. (2020). Healthy ageing and functional ability.</w:t>
      </w:r>
    </w:p>
    <w:p>
      <w:pPr>
        <w:pStyle w:val="Bibliography"/>
        <w:bidi w:val="0"/>
        <w:spacing w:after="120" w:line="276" w:lineRule="auto"/>
        <w:jc w:val="left"/>
      </w:pPr>
      <w:r>
        <w:rPr>
          <w:rFonts w:ascii="Times New Roman" w:hAnsi="Times New Roman" w:eastAsia="Times New Roman" w:cs="B Lotus"/>
          <w:sz w:val="28"/>
          <w:szCs w:val="28"/>
          <w:rtl w:val="0"/>
          <w:cs w:val="0"/>
          <w:lang w:val="en-US"/>
        </w:rPr>
        <w:t>World Health Organization. (2023). Healthy ageing: A priority for delivering universal health coverage. Geneva: World Health Organization.</w:t>
      </w:r>
    </w:p>
    <w:sectPr>
      <w:footerReference w:type="default" r:id="rId20"/>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bidi w:val="0"/>
        <w:spacing w:after="0" w:line="240" w:lineRule="auto"/>
        <w:jc w:val="left"/>
        <w:rPr>
          <w:rtl w:val="0"/>
          <w:cs w:val="0"/>
        </w:rPr>
      </w:pPr>
      <w:r>
        <w:separator/>
      </w:r>
    </w:p>
  </w:footnote>
  <w:footnote w:type="continuationSeparator" w:id="0">
    <w:p>
      <w:pPr>
        <w:bidi w:val="0"/>
        <w:spacing w:after="0" w:line="240" w:lineRule="auto"/>
        <w:jc w:val="left"/>
        <w:rPr>
          <w:rtl w:val="0"/>
          <w:cs w:val="0"/>
        </w:rPr>
      </w:pPr>
      <w:r>
        <w:continuationSeparator/>
      </w:r>
    </w:p>
  </w:footnote>
  <w:footnote w:id="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Gerontology</w:t>
      </w:r>
    </w:p>
  </w:footnote>
  <w:footnote w:id="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World Health Organization</w:t>
      </w:r>
    </w:p>
  </w:footnote>
  <w:footnote w:id="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Immunological Theory of Aging</w:t>
      </w:r>
    </w:p>
  </w:footnote>
  <w:footnote w:id="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Nikolich-Žugich</w:t>
      </w:r>
    </w:p>
  </w:footnote>
  <w:footnote w:id="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Fülöp</w:t>
      </w:r>
    </w:p>
  </w:footnote>
  <w:footnote w:id="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Inflammaging</w:t>
      </w:r>
    </w:p>
  </w:footnote>
  <w:footnote w:id="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Franceschi</w:t>
      </w:r>
    </w:p>
  </w:footnote>
  <w:footnote w:id="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López-Otín</w:t>
      </w:r>
    </w:p>
  </w:footnote>
  <w:footnote w:id="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Campisi</w:t>
      </w:r>
    </w:p>
  </w:footnote>
  <w:footnote w:id="1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Gladyshev</w:t>
      </w:r>
    </w:p>
  </w:footnote>
  <w:footnote w:id="1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Gould</w:t>
      </w:r>
    </w:p>
  </w:footnote>
  <w:footnote w:id="1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Levinson</w:t>
      </w:r>
    </w:p>
  </w:footnote>
  <w:footnote w:id="1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Schaie</w:t>
      </w:r>
    </w:p>
  </w:footnote>
  <w:footnote w:id="1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Erikson</w:t>
      </w:r>
    </w:p>
  </w:footnote>
  <w:footnote w:id="1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Kivnick</w:t>
      </w:r>
    </w:p>
  </w:footnote>
  <w:footnote w:id="1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Westerhof, Bohlmeijer &amp; McAdams</w:t>
      </w:r>
    </w:p>
  </w:footnote>
  <w:footnote w:id="1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Socioemotional Selectivity Theory</w:t>
      </w:r>
    </w:p>
  </w:footnote>
  <w:footnote w:id="1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Carstensen</w:t>
      </w:r>
    </w:p>
  </w:footnote>
  <w:footnote w:id="1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Isaacowitz</w:t>
      </w:r>
    </w:p>
  </w:footnote>
  <w:footnote w:id="2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Charles</w:t>
      </w:r>
    </w:p>
  </w:footnote>
  <w:footnote w:id="2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positivity effect</w:t>
      </w:r>
    </w:p>
  </w:footnote>
  <w:footnote w:id="22">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Reed, Chan &amp; Mikels</w:t>
      </w:r>
    </w:p>
  </w:footnote>
  <w:footnote w:id="23">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Disengagement Theory</w:t>
      </w:r>
    </w:p>
  </w:footnote>
  <w:footnote w:id="24">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Cumming &amp; Henry</w:t>
      </w:r>
    </w:p>
  </w:footnote>
  <w:footnote w:id="25">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Atchley</w:t>
      </w:r>
    </w:p>
  </w:footnote>
  <w:footnote w:id="26">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Activity Theory</w:t>
      </w:r>
    </w:p>
  </w:footnote>
  <w:footnote w:id="27">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Havighurst</w:t>
      </w:r>
    </w:p>
  </w:footnote>
  <w:footnote w:id="28">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Neugarten &amp; Tobin</w:t>
      </w:r>
    </w:p>
  </w:footnote>
  <w:footnote w:id="29">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Rowe &amp; Kahn</w:t>
      </w:r>
    </w:p>
  </w:footnote>
  <w:footnote w:id="30">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Dowd</w:t>
      </w:r>
    </w:p>
  </w:footnote>
  <w:footnote w:id="31">
    <w:p>
      <w:pPr>
        <w:pStyle w:val="FootnoteText"/>
        <w:bidi w:val="0"/>
        <w:spacing w:after="120" w:line="276" w:lineRule="auto"/>
        <w:jc w:val="left"/>
      </w:pPr>
      <w:r>
        <w:rPr>
          <w:rFonts w:ascii="Times New Roman" w:hAnsi="Times New Roman" w:eastAsia="Times New Roman" w:cs="Times New Roman"/>
          <w:rStyle w:val="FootnoteReference"/>
          <w:sz w:val="20"/>
          <w:szCs w:val="20"/>
          <w:vertAlign w:val="superscript"/>
          <w:rtl w:val="0"/>
          <w:cs w:val="0"/>
          <w:lang w:val="en-US"/>
        </w:rPr>
        <w:footnoteRef/>
      </w:r>
      <w:r>
        <w:rPr>
          <w:rFonts w:ascii="Times New Roman" w:hAnsi="Times New Roman" w:eastAsia="Times New Roman" w:cs="B Lotus"/>
          <w:rtl w:val="0"/>
          <w:cs w:val="0"/>
          <w:lang w:val="en-US"/>
          <w:sz w:val="18"/>
          <w:szCs w:val="20"/>
        </w:rPr>
        <w:t xml:space="preserve"> Continuity Theory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5" w16cid:durableId="800609089">
    <w:abstractNumId w:val="4"/>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lang w:val="en-US" w:eastAsia="en-US" w:bidi="fa-IR"/>
      </w:rPr>
    </w:rPrDefault>
    <w:pPrDefault>
      <w:pPr>
        <w:bidi w:val="1"/>
        <w:jc w:val="righ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autoSpaceDE w:val="0"/>
      <w:autoSpaceDN w:val="0"/>
      <w:bidi w:val="1"/>
      <w:adjustRightInd w:val="0"/>
      <w:spacing w:after="120" w:line="360" w:lineRule="auto"/>
      <w:jc w:val="right"/>
    </w:pPr>
    <w:rPr>
      <w:rFonts w:ascii="Times New Roman" w:hAnsi="Times New Roman" w:eastAsia="Times New Roman" w:cs="B Lotus"/>
      <w:color w:val="000000"/>
      <w:sz w:val="28"/>
      <w:szCs w:val="28"/>
      <w:rtl/>
      <w:cs/>
      <w:lang w:bidi="fa-IR" w:val="en-US"/>
    </w:rPr>
  </w:style>
  <w:style w:type="paragraph" w:styleId="Bibliography">
    <w:name w:val="bibliography"/>
    <w:basedOn w:val="Normal"/>
    <w:next w:val="Bibliography"/>
    <w:qFormat/>
    <w:pPr>
      <w:bidi w:val="0"/>
      <w:spacing w:after="80" w:line="276" w:lineRule="auto"/>
      <w:jc w:val="left"/>
    </w:pPr>
    <w:rPr>
      <w:rFonts w:ascii="Times New Roman" w:hAnsi="Times New Roman" w:eastAsia="Times New Roman" w:cs="Times New Roman"/>
      <w:color w:val="000000"/>
      <w:sz w:val="24"/>
      <w:szCs w:val="24"/>
      <w:rtl w:val="0"/>
      <w:cs w:val="0"/>
      <w:lang w:val="en-US"/>
    </w:rPr>
  </w:style>
  <w:style w:type="paragraph" w:styleId="Heading1">
    <w:name w:val="heading 1"/>
    <w:basedOn w:val="Normal"/>
    <w:next w:val="Normal"/>
    <w:qFormat/>
    <w:pPr>
      <w:keepNext/>
      <w:bidi w:val="1"/>
      <w:spacing w:before="0" w:after="60" w:line="240" w:lineRule="auto"/>
      <w:jc w:val="right"/>
      <w:outlineLvl w:val="0"/>
    </w:pPr>
    <w:rPr>
      <w:rFonts w:ascii="Times New Roman" w:eastAsia="Times New Roman" w:hAnsi="Times New Roman" w:cs="B Titr"/>
      <w:b/>
      <w:bCs/>
      <w:color w:val="000000"/>
      <w:kern w:val="32"/>
      <w:sz w:val="56"/>
      <w:szCs w:val="56"/>
      <w:rtl/>
      <w:cs/>
      <w:lang w:bidi="fa-IR" w:val="en-US"/>
    </w:rPr>
  </w:style>
  <w:style w:type="paragraph" w:styleId="Heading2">
    <w:name w:val="heading 2"/>
    <w:basedOn w:val="Normal"/>
    <w:next w:val="Normal"/>
    <w:unhideWhenUsed/>
    <w:qFormat/>
    <w:pPr>
      <w:keepNext/>
      <w:keepLines/>
      <w:bidi w:val="1"/>
      <w:spacing w:before="40" w:after="0"/>
      <w:jc w:val="right"/>
      <w:outlineLvl w:val="1"/>
    </w:pPr>
    <w:rPr>
      <w:rFonts w:ascii="Times New Roman" w:eastAsia="Times New Roman" w:hAnsi="Times New Roman" w:cs="B Titr"/>
      <w:b/>
      <w:bCs/>
      <w:color w:val="000000"/>
      <w:sz w:val="30"/>
      <w:szCs w:val="30"/>
      <w:rtl/>
      <w:cs/>
      <w:lang w:bidi="fa-IR" w:val="en-US"/>
    </w:rPr>
  </w:style>
  <w:style w:type="paragraph" w:styleId="Heading3">
    <w:name w:val="heading 3"/>
    <w:basedOn w:val="Normal"/>
    <w:next w:val="Normal"/>
    <w:unhideWhenUsed/>
    <w:qFormat/>
    <w:pPr>
      <w:keepNext/>
      <w:keepLines/>
      <w:bidi w:val="1"/>
      <w:spacing w:before="40" w:after="0"/>
      <w:jc w:val="right"/>
      <w:outlineLvl w:val="2"/>
    </w:pPr>
    <w:rPr>
      <w:rFonts w:ascii="Times New Roman" w:eastAsia="Times New Roman" w:hAnsi="Times New Roman" w:cs="B Titr"/>
      <w:b/>
      <w:bCs/>
      <w:color w:val="000000"/>
      <w:sz w:val="30"/>
      <w:szCs w:val="30"/>
      <w:rtl/>
      <w:cs/>
      <w:lang w:bidi="fa-IR" w:val="en-US"/>
    </w:rPr>
  </w:style>
  <w:style w:type="paragraph" w:styleId="Heading4">
    <w:name w:val="heading 4"/>
    <w:basedOn w:val="Normal"/>
    <w:next w:val="Normal"/>
    <w:unhideWhenUsed/>
    <w:qFormat/>
    <w:pPr>
      <w:keepNext/>
      <w:bidi w:val="1"/>
      <w:spacing w:before="240" w:after="60"/>
      <w:jc w:val="right"/>
      <w:outlineLvl w:val="3"/>
    </w:pPr>
    <w:rPr>
      <w:rFonts w:ascii="Times New Roman" w:eastAsia="Times New Roman" w:hAnsi="Times New Roman" w:cs="B Titr"/>
      <w:b/>
      <w:bCs/>
      <w:color w:val="000000"/>
      <w:sz w:val="30"/>
      <w:szCs w:val="30"/>
      <w:rtl/>
      <w:cs/>
      <w:lang w:bidi="fa-IR" w:val="en-US"/>
    </w:rPr>
  </w:style>
  <w:style w:type="paragraph" w:styleId="Heading5">
    <w:name w:val="heading 5"/>
    <w:basedOn w:val="Normal"/>
    <w:next w:val="Normal"/>
    <w:unhideWhenUsed/>
    <w:qFormat/>
    <w:pPr>
      <w:keepNext/>
      <w:bidi w:val="1"/>
      <w:spacing w:before="240" w:after="60"/>
      <w:jc w:val="right"/>
      <w:outlineLvl w:val="4"/>
    </w:pPr>
    <w:rPr>
      <w:rFonts w:ascii="Times New Roman" w:eastAsia="Times New Roman" w:hAnsi="Times New Roman" w:cs="B Titr"/>
      <w:b/>
      <w:bCs/>
      <w:color w:val="000000"/>
      <w:sz w:val="28"/>
      <w:szCs w:val="28"/>
      <w:rtl/>
      <w:cs/>
      <w:lang w:bidi="fa-IR" w:val="en-US"/>
    </w:rPr>
  </w:style>
  <w:style w:type="paragraph" w:styleId="Heading6">
    <w:name w:val="heading 6"/>
    <w:basedOn w:val="Normal"/>
    <w:next w:val="Normal"/>
    <w:unhideWhenUsed/>
    <w:qFormat/>
    <w:pPr>
      <w:keepNext/>
      <w:bidi w:val="1"/>
      <w:spacing w:before="240" w:after="60"/>
      <w:jc w:val="right"/>
      <w:outlineLvl w:val="5"/>
    </w:pPr>
    <w:rPr>
      <w:rFonts w:ascii="Times New Roman" w:eastAsia="Times New Roman" w:hAnsi="Times New Roman" w:cs="B Titr"/>
      <w:b/>
      <w:bCs/>
      <w:color w:val="000000"/>
      <w:sz w:val="26"/>
      <w:szCs w:val="26"/>
      <w:rtl/>
      <w:cs/>
      <w:lang w:bidi="fa-IR"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unhideWhenUsed/>
    <w:qFormat/>
    <w:pPr>
      <w:spacing w:after="0" w:line="240" w:lineRule="auto"/>
      <w:jc w:val="left"/>
    </w:pPr>
    <w:rPr>
      <w:rFonts w:cs="Times New Roman" w:ascii="Times New Roman" w:hAnsi="Times New Roman" w:eastAsia="Times New Roman"/>
      <w:sz w:val="18"/>
      <w:szCs w:val="20"/>
      <w:color w:val="000000"/>
    </w:rPr>
  </w:style>
  <w:style w:type="character" w:styleId="FootnoteReference">
    <w:name w:val="footnote reference"/>
    <w:uiPriority w:val="99"/>
    <w:unhideWhenUsed/>
    <w:qFormat/>
    <w:rPr>
      <w:rFonts w:ascii="Times New Roman" w:hAnsi="Times New Roman" w:eastAsia="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bidi/>
      <w:jc w:val="right"/>
    </w:pPr>
  </w:style>
  <w:style w:type="paragraph" w:styleId="Footer">
    <w:name w:val="footer"/>
    <w:basedOn w:val="Normal"/>
    <w:uiPriority w:val="99"/>
    <w:unhideWhenUsed/>
    <w:qFormat/>
    <w:pPr>
      <w:tabs>
        <w:tab w:val="center" w:pos="4513"/>
        <w:tab w:val="right" w:pos="9026"/>
      </w:tabs>
      <w:spacing w:after="0" w:line="240" w:lineRule="auto"/>
      <w:bidi/>
      <w:jc w:val="center"/>
    </w:pPr>
  </w:style>
  <w:style w:type="character" w:styleId="PageNumber">
    <w:name w:val="page number"/>
  </w:style>
  <w:style w:type="paragraph" w:styleId="TOC1">
    <w:name w:val="toc 1"/>
    <w:basedOn w:val="Normal"/>
    <w:next w:val="Normal"/>
    <w:autoRedefine/>
    <w:uiPriority w:val="39"/>
    <w:unhideWhenUsed/>
    <w:qFormat/>
    <w:pPr>
      <w:tabs>
        <w:tab w:val="right" w:leader="dot" w:pos="8494"/>
      </w:tabs>
      <w:spacing w:after="100"/>
      <w:jc w:val="right"/>
      <w:bidi/>
    </w:pPr>
    <w:rPr>
      <w:rFonts w:ascii="Times New Roman" w:hAnsi="Times New Roman" w:cs="B Lotus" w:eastAsia="Times New Roman"/>
      <w:noProof/>
      <w:sz w:val="24"/>
      <w:color w:val="000000"/>
      <w:szCs w:val="24"/>
      <w:b/>
      <w:bCs/>
    </w:rPr>
  </w:style>
  <w:style w:type="paragraph" w:styleId="TOC2">
    <w:name w:val="toc 2"/>
    <w:basedOn w:val="Normal"/>
    <w:next w:val="Normal"/>
    <w:autoRedefine/>
    <w:uiPriority w:val="39"/>
    <w:unhideWhenUsed/>
    <w:qFormat/>
    <w:pPr>
      <w:bidi/>
      <w:spacing w:after="100"/>
      <w:ind w:left="200"/>
      <w:jc w:val="right"/>
    </w:pPr>
    <w:rPr>
      <w:rFonts w:ascii="Times New Roman" w:hAnsi="Times New Roman" w:cs="B Lotus" w:eastAsia="Times New Roman"/>
      <w:sz w:val="24"/>
      <w:color w:val="000000"/>
      <w:szCs w:val="24"/>
    </w:rPr>
  </w:style>
  <w:style w:type="paragraph" w:styleId="TOC3">
    <w:name w:val="toc 3"/>
    <w:basedOn w:val="Normal"/>
    <w:next w:val="Normal"/>
    <w:autoRedefine/>
    <w:uiPriority w:val="39"/>
    <w:unhideWhenUsed/>
    <w:qFormat/>
    <w:pPr>
      <w:tabs>
        <w:tab w:val="right" w:leader="dot" w:pos="8494"/>
      </w:tabs>
      <w:spacing w:after="100"/>
      <w:ind w:left="400" w:right="400"/>
      <w:jc w:val="right"/>
      <w:bidi/>
    </w:pPr>
    <w:rPr>
      <w:rFonts w:ascii="Times New Roman" w:hAnsi="Times New Roman" w:cs="B Lotus" w:eastAsia="Times New Roman"/>
      <w:noProof/>
      <w:color w:val="000000"/>
      <w:sz w:val="24"/>
      <w:szCs w:val="24"/>
    </w:rPr>
  </w:style>
  <w:style w:type="paragraph" w:styleId="TOC4">
    <w:name w:val="toc 4"/>
    <w:basedOn w:val="Normal"/>
    <w:next w:val="Normal"/>
    <w:autoRedefine/>
    <w:uiPriority w:val="39"/>
    <w:unhideWhenUsed/>
    <w:pPr>
      <w:bidi/>
      <w:spacing w:after="100"/>
      <w:ind w:left="660"/>
      <w:jc w:val="right"/>
    </w:pPr>
    <w:rPr>
      <w:rFonts w:ascii="Times New Roman" w:eastAsia="Times New Roman" w:hAnsi="Times New Roman" w:cs="B Lotus"/>
      <w:color w:val="000000"/>
      <w:sz w:val="24"/>
      <w:szCs w:val="24"/>
    </w:rPr>
  </w:style>
  <w:style w:type="paragraph" w:styleId="TOC5">
    <w:name w:val="toc 5"/>
    <w:basedOn w:val="Normal"/>
    <w:next w:val="Normal"/>
    <w:autoRedefine/>
    <w:uiPriority w:val="39"/>
    <w:unhideWhenUsed/>
    <w:pPr>
      <w:bidi/>
      <w:spacing w:after="100"/>
      <w:ind w:left="880"/>
      <w:jc w:val="right"/>
    </w:pPr>
    <w:rPr>
      <w:rFonts w:ascii="Times New Roman" w:eastAsia="Times New Roman" w:hAnsi="Times New Roman" w:cs="B Lotus"/>
      <w:color w:val="000000"/>
      <w:sz w:val="24"/>
      <w:szCs w:val="24"/>
    </w:rPr>
  </w:style>
  <w:style w:type="paragraph" w:styleId="Caption">
    <w:name w:val="caption"/>
    <w:basedOn w:val="Normal"/>
    <w:next w:val="Normal"/>
    <w:uiPriority w:val="35"/>
    <w:unhideWhenUsed/>
    <w:qFormat/>
    <w:pPr>
      <w:bidi w:val="1"/>
      <w:spacing w:after="0" w:line="240" w:lineRule="auto"/>
      <w:jc w:val="right"/>
    </w:pPr>
    <w:rPr>
      <w:rFonts w:ascii="Times New Roman" w:eastAsia="Times New Roman" w:hAnsi="Times New Roman" w:cs="B Lotus"/>
      <w:b/>
      <w:bCs/>
      <w:color w:val="000000"/>
      <w:sz w:val="24"/>
      <w:szCs w:val="24"/>
      <w:rtl/>
      <w:cs/>
      <w:lang w:bidi="fa-IR" w:val="en-US"/>
    </w:rPr>
  </w:style>
  <w:style w:type="paragraph" w:styleId="TableofFigures">
    <w:name w:val="table of figures"/>
    <w:basedOn w:val="Normal"/>
    <w:next w:val="Normal"/>
    <w:uiPriority w:val="99"/>
    <w:qFormat/>
    <w:pPr>
      <w:spacing w:before="0" w:after="40"/>
      <w:jc w:val="right"/>
      <w:bidi/>
      <w:tabs>
        <w:tab w:val="right" w:leader="dot" w:pos="8778"/>
      </w:tabs>
    </w:pPr>
    <w:rPr>
      <w:rFonts w:ascii="Times New Roman" w:eastAsia="Times New Roman" w:hAnsi="Times New Roman" w:cs="B Lotus"/>
      <w:sz w:val="24"/>
      <w:lang w:eastAsia="en-US"/>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 Id="rId23" Type="http://schemas.openxmlformats.org/officeDocument/2006/relationships/image" Target="media/image3.jpeg"/><Relationship Id="rIdU100" Type="http://schemas.openxmlformats.org/officeDocument/2006/relationships/hyperlink" Target="https://doi.org/10.1093/ageing/afae122" TargetMode="External"/><Relationship Id="rIdU101" Type="http://schemas.openxmlformats.org/officeDocument/2006/relationships/hyperlink" Target="https://doi.org/10.1007/978-3-030-11899-0" TargetMode="External"/><Relationship Id="rIdU102" Type="http://schemas.openxmlformats.org/officeDocument/2006/relationships/hyperlink" Target="https://doi.org/10.1038/s41562-018-0307-6" TargetMode="External"/><Relationship Id="rIdU103" Type="http://schemas.openxmlformats.org/officeDocument/2006/relationships/hyperlink" Target="https://doi.org/10.34172/hpp.42354" TargetMode="External"/><Relationship Id="rIdU104" Type="http://schemas.openxmlformats.org/officeDocument/2006/relationships/hyperlink" Target="https://doi.org/10.1016/j.jocrd.2023.100783" TargetMode="External"/><Relationship Id="rIdU105" Type="http://schemas.openxmlformats.org/officeDocument/2006/relationships/hyperlink" Target="https://doi.org/10.1002/ccr3.9316" TargetMode="External"/><Relationship Id="rIdU106" Type="http://schemas.openxmlformats.org/officeDocument/2006/relationships/hyperlink" Target="https://doi.org/10.1186/s12877-024-04947-w" TargetMode="External"/><Relationship Id="rIdU107" Type="http://schemas.openxmlformats.org/officeDocument/2006/relationships/hyperlink" Target="https://doi.org/10.1016/j.psc.2024.04.015" TargetMode="External"/><Relationship Id="rIdU108" Type="http://schemas.openxmlformats.org/officeDocument/2006/relationships/hyperlink" Target="https://doi.org/10.2307/3090197" TargetMode="External"/><Relationship Id="rIdU109" Type="http://schemas.openxmlformats.org/officeDocument/2006/relationships/hyperlink" Target="https://doi.org/10.1007/s11920-024-01507-2" TargetMode="External"/><Relationship Id="rIdU110" Type="http://schemas.openxmlformats.org/officeDocument/2006/relationships/hyperlink" Target="https://doi.org/10.1177/001316447003000308" TargetMode="External"/><Relationship Id="rIdU111" Type="http://schemas.openxmlformats.org/officeDocument/2006/relationships/hyperlink" Target="https://doi.org/10.1016/j.jamda.2024.105334" TargetMode="External"/><Relationship Id="rIdU112" Type="http://schemas.openxmlformats.org/officeDocument/2006/relationships/hyperlink" Target="https://pubmed.ncbi.nlm.nih.gov/39900466/" TargetMode="External"/><Relationship Id="rIdU113" Type="http://schemas.openxmlformats.org/officeDocument/2006/relationships/hyperlink" Target="https://doi.org/10.1097/MS9.0000000000002100" TargetMode="External"/><Relationship Id="rIdU114" Type="http://schemas.openxmlformats.org/officeDocument/2006/relationships/hyperlink" Target="https://doi.org/10.4103/ijnmr.ijnmr_260_23" TargetMode="External"/><Relationship Id="rIdU115" Type="http://schemas.openxmlformats.org/officeDocument/2006/relationships/hyperlink" Target="https://doi.org/10.1016/j.ssaho.2024.100879" TargetMode="External"/><Relationship Id="rIdU116" Type="http://schemas.openxmlformats.org/officeDocument/2006/relationships/hyperlink" Target="https://doi.org/10.1007/s12144-024-05659-5" TargetMode="External"/><Relationship Id="rIdU117" Type="http://schemas.openxmlformats.org/officeDocument/2006/relationships/hyperlink" Target="https://doi.org/10.1097/00005053-200208000-00002" TargetMode="External"/><Relationship Id="rIdU118" Type="http://schemas.openxmlformats.org/officeDocument/2006/relationships/hyperlink" Target="https://doi.org/10.1080/16549716.2024.2362310" TargetMode="External"/><Relationship Id="rIdU119" Type="http://schemas.openxmlformats.org/officeDocument/2006/relationships/hyperlink" Target="https://doi.org/10.3389/fpsyg.2024.1293943" TargetMode="External"/><Relationship Id="rIdU120" Type="http://schemas.openxmlformats.org/officeDocument/2006/relationships/hyperlink" Target="https://doi.org/10.1177/09637214241266818" TargetMode="External"/><Relationship Id="rIdU121" Type="http://schemas.openxmlformats.org/officeDocument/2006/relationships/hyperlink" Target="https://doi.org/10.1002/jgf2.750" TargetMode="External"/><Relationship Id="rIdU122" Type="http://schemas.openxmlformats.org/officeDocument/2006/relationships/hyperlink" Target="https://doi.org/10.1080/00221309.1970.9920634" TargetMode="External"/><Relationship Id="rIdU123" Type="http://schemas.openxmlformats.org/officeDocument/2006/relationships/hyperlink" Target="https://iran.unfpa.org/en/topics/population-" TargetMode="External"/><Relationship Id="rIdU124" Type="http://schemas.openxmlformats.org/officeDocument/2006/relationships/hyperlink" Target="https://doi.org/10.1177/0022167819830517" TargetMode="External"/><Relationship Id="rIdU125" Type="http://schemas.openxmlformats.org/officeDocument/2006/relationships/hyperlink" Target="https://doi.org/10.1093/oxfordhb/9780190905538.013.18" TargetMode="External"/><Relationship Id="rIdU126" Type="http://schemas.openxmlformats.org/officeDocument/2006/relationships/hyperlink" Target="https://doi.org/10.1111/phn.13266" TargetMode="External"/><Relationship Id="rIdU127" Type="http://schemas.openxmlformats.org/officeDocument/2006/relationships/hyperlink" Target="https://www.who.int/news-room/fact-sheets/detail/ageing-and-health" TargetMode="External"/><Relationship Id="rIdU128" Type="http://schemas.openxmlformats.org/officeDocument/2006/relationships/hyperlink" Target="https://www.who.int/news-room/fact-sheets/detail/mental-health-of-older-" TargetMode="External"/><Relationship Id="rIdU129" Type="http://schemas.openxmlformats.org/officeDocument/2006/relationships/hyperlink" Target="https://doi.org/10.1177/00302228241272578" TargetMode="External"/><Relationship Id="rIdU130" Type="http://schemas.openxmlformats.org/officeDocument/2006/relationships/hyperlink" Target="https://doi.org/10.1186/s12877-025-06040-2" TargetMode="External"/><Relationship Id="rIdU131" Type="http://schemas.openxmlformats.org/officeDocument/2006/relationships/hyperlink" Target="https://doi.org/10.1177/0164027510383584" TargetMode="External"/><Relationship Id="rIdU132" Type="http://schemas.openxmlformats.org/officeDocument/2006/relationships/hyperlink" Target="https://iran.unfpa.org/en/topics/population-ageing-and-disabilities" TargetMode="External"/><Relationship Id="rIdU133" Type="http://schemas.openxmlformats.org/officeDocument/2006/relationships/hyperlink" Target="https://www.who.int/news-room/fact-sheets/detail/mental-health-of-older-adults" TargetMode="External"/><Relationship Id="rIdTree" Type="http://schemas.openxmlformats.org/officeDocument/2006/relationships/image" Target="media/tree_theories.png"/><Relationship Id="rIdDoiSST99" Type="http://schemas.openxmlformats.org/officeDocument/2006/relationships/hyperlink" Target="https://doi.org/10.1037/0003-066X.54.3.165" TargetMode="External"/><Relationship Id="rIdDoiSST06" Type="http://schemas.openxmlformats.org/officeDocument/2006/relationships/hyperlink" Target="https://doi.org/10.1126/science.1127488" TargetMode="External"/><Relationship Id="rIdDoiSST21" Type="http://schemas.openxmlformats.org/officeDocument/2006/relationships/hyperlink" Target="https://doi.org/10.1093/geront/gnab116" TargetMode="External"/><Relationship Id="rIdDoiReed" Type="http://schemas.openxmlformats.org/officeDocument/2006/relationships/hyperlink" Target="https://doi.org/10.1037/a0035194" TargetMode="External"/><Relationship Id="rIdDoiFran" Type="http://schemas.openxmlformats.org/officeDocument/2006/relationships/hyperlink" Target="https://doi.org/10.1038/s41574-018-0059-4" TargetMode="External"/><Relationship Id="rIdDoiLopez" Type="http://schemas.openxmlformats.org/officeDocument/2006/relationships/hyperlink" Target="https://doi.org/10.1016/j.cell.2022.11.001" TargetMode="External"/><Relationship Id="rIdDoiWest" Type="http://schemas.openxmlformats.org/officeDocument/2006/relationships/hyperlink" Target="https://doi.org/10.1093/geronb/gbv062" TargetMode="External"/><Relationship Id="rIdDoiRowe" Type="http://schemas.openxmlformats.org/officeDocument/2006/relationships/hyperlink" Target="https://doi.org/10.1093/geronb/gbv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Lines>968</Lines>
  <Paragraphs>272</Paragraphs>
  <CharactersWithSpaces>136318</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coreProperties>
</file>