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jc w:val="center"/>
        <w:rPr>
          <w:b/>
          <w:bCs/>
          <w:color w:val="auto"/>
          <w:lang w:bidi="fa-IR"/>
        </w:rPr>
      </w:pPr>
    </w:p>
    <w:p w14:paraId="1BAF5A34" w14:textId="77777777">
      <w:pPr>
        <w:spacing w:line="240" w:lineRule="auto"/>
        <w:jc w:val="center"/>
        <w:rPr>
          <w:b/>
          <w:bCs/>
          <w:color w:val="auto"/>
          <w:lang w:bidi="fa-IR"/>
        </w:rPr>
      </w:pPr>
    </w:p>
    <w:p w14:paraId="31244712" w14:textId="77777777">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adjustRightInd/>
        <w:spacing w:before="240" w:after="100" w:line="276" w:lineRule="auto"/>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spacing w:before="240" w:after="100" w:line="276" w:lineRule="auto"/>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spacing w:before="240" w:after="100" w:line="276" w:lineRule="auto"/>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561" w:bottom="1417" w:left="127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\o "1-5" \h \z \u </w:instrText>
      </w:r>
      <w:r>
        <w:rPr>
          <w:rFonts w:ascii="Times New Roman" w:hAnsi="Times New Roman" w:eastAsia="Times New Roman" w:cs="B Lotus"/>
          <w:sz w:val="24"/>
          <w:szCs w:val="24"/>
          <w:color w:val="000000"/>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9" w:history="1">
        <w:r>
          <w:rPr>
            <w:rFonts w:cs="B Lotus" w:ascii="Times New Roman" w:hAnsi="Times New Roman" w:eastAsia="Times New Roman"/>
            <w:noProof/>
            <w:color w:val="000000"/>
            <w:sz w:val="24"/>
            <w:szCs w:val="24"/>
            <w:rtl/>
            <w:lang w:bidi="fa-IR"/>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1" w:history="1">
        <w:r>
          <w:rPr>
            <w:rFonts w:cs="B Lotus" w:ascii="Times New Roman" w:hAnsi="Times New Roman" w:eastAsia="Times New Roman"/>
            <w:color w:val="000000"/>
            <w:sz w:val="24"/>
            <w:szCs w:val="24"/>
            <w:rtl/>
            <w:lang w:bidi="fa-IR"/>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8" w:history="1">
        <w:r>
          <w:rPr>
            <w:rFonts w:cs="B Lotus" w:ascii="Times New Roman" w:hAnsi="Times New Roman" w:eastAsia="Times New Roman"/>
            <w:color w:val="000000"/>
            <w:sz w:val="24"/>
            <w:szCs w:val="24"/>
            <w:rtl/>
            <w:lang w:bidi="fa-IR"/>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1" w:history="1">
        <w:r>
          <w:rPr>
            <w:rFonts w:ascii="Times New Roman" w:hAnsi="Times New Roman" w:cs="B Lotus" w:eastAsia="Times New Roman"/>
            <w:noProof/>
            <w:color w:val="000000"/>
            <w:sz w:val="24"/>
            <w:szCs w:val="24"/>
            <w:rtl/>
            <w:lang w:bidi="fa-IR"/>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6" w:history="1">
        <w:r>
          <w:rPr>
            <w:rFonts w:cs="B Lotus" w:ascii="Times New Roman" w:hAnsi="Times New Roman" w:eastAsia="Times New Roman"/>
            <w:kern w:val="32"/>
            <w:color w:val="000000"/>
            <w:sz w:val="24"/>
            <w:szCs w:val="24"/>
            <w:rtl/>
            <w:lang w:bidi="fa-IR"/>
          </w:rPr>
          <w:t xml:space="preserve">۲-۳-۳- عوامل موثر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64" w:history="1">
        <w:r>
          <w:rPr>
            <w:rFonts w:cs="B Lotus" w:ascii="Times New Roman" w:hAnsi="Times New Roman" w:eastAsia="Times New Roman"/>
            <w:color w:val="000000"/>
            <w:sz w:val="24"/>
            <w:szCs w:val="24"/>
            <w:rtl/>
            <w:lang w:bidi="fa-IR"/>
          </w:rPr>
          <w:t xml:space="preserve">۳-۳-۲- پرسشنامه اضطراب مرگ(</w:t>
        </w:r>
        <w:r>
          <w:rPr>
            <w:rFonts w:cs="B Lotus" w:ascii="Times New Roman" w:hAnsi="Times New Roman" w:eastAsia="Times New Roman"/>
            <w:color w:val="000000"/>
            <w:sz w:val="24"/>
            <w:szCs w:val="24"/>
            <w:rtl w:val="0"/>
            <w:lang w:bidi="fa-IR" w:val="en-US"/>
          </w:rPr>
          <w:t xml:space="preserve">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w:t>
        </w:r>
        <w:r>
          <w:rPr>
            <w:rFonts w:cs="B Lotus" w:ascii="Times New Roman" w:hAnsi="Times New Roman" w:eastAsia="Times New Roman"/>
            <w:color w:val="000000"/>
            <w:sz w:val="24"/>
            <w:szCs w:val="24"/>
            <w:rtl w:val="0"/>
            <w:lang w:bidi="fa-IR" w:val="en-US"/>
          </w:rPr>
          <w:t xml:space="preserve">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9" w:history="1">
        <w:r>
          <w:rPr>
            <w:rFonts w:cs="B Lotus" w:ascii="Times New Roman" w:hAnsi="Times New Roman" w:eastAsia="Times New Roman"/>
            <w:noProof/>
            <w:color w:val="000000"/>
            <w:sz w:val="24"/>
            <w:szCs w:val="24"/>
            <w:rtl/>
            <w:lang w:bidi="fa-IR"/>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1" w:history="1">
        <w:r>
          <w:rPr>
            <w:rFonts w:cs="B Lotus" w:ascii="Times New Roman" w:hAnsi="Times New Roman" w:eastAsia="Times New Roman"/>
            <w:noProof/>
            <w:color w:val="000000"/>
            <w:sz w:val="24"/>
            <w:szCs w:val="24"/>
            <w:rtl/>
            <w:lang w:bidi="fa-IR"/>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7" w:history="1">
        <w:r>
          <w:rPr>
            <w:rFonts w:cs="B Lotus" w:ascii="Times New Roman" w:hAnsi="Times New Roman" w:eastAsia="Times New Roman"/>
            <w:noProof/>
            <w:color w:val="000000"/>
            <w:sz w:val="24"/>
            <w:szCs w:val="24"/>
            <w:rtl/>
            <w:lang w:bidi="fa-IR"/>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pPr>
      <w:r>
        <w:rPr>
          <w:rFonts w:ascii="Times New Roman" w:hAnsi="Times New Roman"/>
        </w:rPr>
        <w:fldChar w:fldCharType="end"/>
      </w:r>
    </w:p>
    <w:p w14:paraId="335678AD" w14:textId="77777777">
      <w:pPr>
        <w:pageBreakBefore/>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sectPr>
          <w:type w:val="nextPage"/>
          <w:footerReference w:type="default" r:id="rId11"/>
          <w:footnotePr>
            <w:numRestart w:val="eachPage"/>
          </w:footnotePr>
          <w:pgSz w:w="11906" w:h="16838" w:code="9"/>
          <w:pgMar w:top="1417" w:right="1561" w:bottom="1417" w:left="1277" w:header="709" w:footer="567" w:gutter="0"/>
          <w:pgNumType w:fmt="arabicAlpha" w:start="1"/>
          <w:cols w:space="708"/>
          <w:bidi/>
          <w:rtlGutter/>
          <w:docGrid w:linePitch="360"/>
        </w:sectPr>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r>
        <w:fldChar w:fldCharType="end"/>
      </w:r>
    </w:p>
    <w:p w14:paraId="4EF4EE27" w14:textId="77777777">
      <w:pPr>
        <w:pStyle w:val="Heading1"/>
        <w:keepNext/>
        <w:keepLines/>
        <w:pageBreakBefore/>
        <w:bidi w:val="1"/>
        <w:spacing w:before="0" w:after="80" w:line="276" w:lineRule="auto"/>
        <w:jc w:val="right"/>
        <w:rPr>
          <w:rFonts w:ascii="Times New Roman" w:hAnsi="Times New Roman" w:eastAsia="Times New Roman" w:cs="B Titr"/>
          <w:color w:val="auto"/>
          <w:rtl/>
          <w:cs/>
          <w:lang w:bidi="fa-IR" w:val="en-US"/>
        </w:rPr>
      </w:pPr>
      <w:bookmarkStart w:id="5001" w:name="_TocChekideh"/>
      <w:r>
        <w:rPr>
          <w:rFonts w:ascii="Times New Roman" w:hAnsi="Times New Roman" w:hint="cs" w:eastAsia="Times New Roman" w:cs="B Titr"/>
          <w:b/>
          <w:bCs/>
          <w:sz w:val="56"/>
          <w:szCs w:val="56"/>
          <w:rtl/>
          <w:cs/>
          <w:lang w:bidi="fa-IR"/>
        </w:rPr>
        <w:t>چکیده</w:t>
      </w:r>
      <w:r>
        <w:rPr>
          <w:rFonts w:ascii="Times New Roman" w:eastAsia="Times New Roman" w:hAnsi="Times New Roman" w:hint="cs" w:cs="B Titr"/>
          <w:rtl/>
          <w:cs/>
          <w:lang w:bidi="fa-IR"/>
        </w:rPr>
        <w:t xml:space="preserve"> </w:t>
      </w:r>
      <w:bookmarkEnd w:id="5001"/>
    </w:p>
    <w:p>
      <w:pPr>
        <w:spacing w:before="0" w:after="80" w:line="276" w:lineRule="auto"/>
        <w:ind w:firstLine="397"/>
        <w:jc w:val="both"/>
        <w:rPr>
          <w:rFonts w:ascii="Times New Roman" w:hAnsi="Times New Roman"/>
          <w:color w:val="auto"/>
          <w:sz w:val="16"/>
          <w:szCs w:val="16"/>
          <w:lang w:bidi="fa-IR"/>
        </w:rPr>
      </w:pPr>
      <w:r>
        <w:rPr>
          <w:rFonts w:ascii="Times New Roman" w:hAnsi="Times New Roman" w:hint="cs"/>
          <w:lang w:bidi="fa-IR"/>
          <w:rtl/>
        </w:rPr>
        <w:t>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val="en-US"/>
          <w:sz w:val="20"/>
          <w:szCs w:val="20"/>
          <w:vertAlign w:val="superscript"/>
          <w:rtl w:val="0"/>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val="en-US"/>
          <w:sz w:val="20"/>
          <w:szCs w:val="20"/>
          <w:vertAlign w:val="superscript"/>
          <w:rtl w:val="0"/>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r=-</w:t>
      </w:r>
      <w:r>
        <w:rPr>
          <w:rFonts w:ascii="Times New Roman" w:hAnsi="Times New Roman" w:hint="cs"/>
          <w:lang w:bidi="fa-IR"/>
          <w:rtl/>
        </w:rPr>
        <w:t xml:space="preserve">۰.۴۶, </w:t>
      </w:r>
      <w:r>
        <w:rPr>
          <w:rFonts w:ascii="Times New Roman" w:hAnsi="Times New Roman" w:hint="cs"/>
          <w:lang w:bidi="fa-IR" w:val="en-US"/>
          <w:rtl w:val="0"/>
        </w:rPr>
        <w:t>p&lt;</w:t>
      </w:r>
      <w:r>
        <w:rPr>
          <w:rFonts w:ascii="Times New Roman" w:hAnsi="Times New Roman" w:hint="cs"/>
          <w:lang w:bidi="fa-IR"/>
          <w:rtl/>
        </w:rPr>
        <w:t>۰.۰۱) و بین اضطراب سلامتی و اضطراب مرگ رابطه مثبت و معنادار مشاهده شد (</w:t>
      </w:r>
      <w:r>
        <w:rPr>
          <w:rFonts w:ascii="Times New Roman" w:hAnsi="Times New Roman" w:hint="cs"/>
          <w:lang w:bidi="fa-IR" w:val="en-US"/>
          <w:rtl w:val="0"/>
        </w:rPr>
        <w:t>r=</w:t>
      </w:r>
      <w:r>
        <w:rPr>
          <w:rFonts w:ascii="Times New Roman" w:hAnsi="Times New Roman" w:hint="cs"/>
          <w:lang w:bidi="fa-IR"/>
          <w:rtl/>
        </w:rPr>
        <w:t xml:space="preserve">۰.۵۸, </w:t>
      </w:r>
      <w:r>
        <w:rPr>
          <w:rFonts w:ascii="Times New Roman" w:hAnsi="Times New Roman" w:hint="cs"/>
          <w:lang w:bidi="fa-IR" w:val="en-US"/>
          <w:rtl w:val="0"/>
        </w:rPr>
        <w:t>p&lt;</w:t>
      </w:r>
      <w:r>
        <w:rPr>
          <w:rFonts w:ascii="Times New Roman" w:hAnsi="Times New Roman" w:hint="cs"/>
          <w:lang w:bidi="fa-IR"/>
          <w:rtl/>
        </w:rPr>
        <w:t>۰.۰۱).</w:t>
      </w:r>
      <w:r>
        <w:rPr>
          <w:rFonts w:ascii="Times New Roman" w:hAnsi="Times New Roman" w:hint="cs"/>
          <w:lang w:bidi="fa-IR"/>
          <w:rtl/>
        </w:rPr>
        <w:t xml:space="preserve"> </w:t>
      </w:r>
      <w:r>
        <w:rPr>
          <w:rFonts w:ascii="Times New Roman" w:hAnsi="Times New Roman" w:hint="cs"/>
          <w:lang w:bidi="fa-IR"/>
          <w:rtl/>
        </w:rPr>
        <w:t>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R²=</w:t>
      </w:r>
      <w:r>
        <w:rPr>
          <w:rFonts w:ascii="Times New Roman" w:hAnsi="Times New Roman" w:hint="cs"/>
          <w:lang w:bidi="fa-IR"/>
          <w:rtl/>
        </w:rPr>
        <w:t xml:space="preserve">۰.۵۴, </w:t>
      </w:r>
      <w:r>
        <w:rPr>
          <w:rFonts w:ascii="Times New Roman" w:hAnsi="Times New Roman" w:hint="cs"/>
          <w:lang w:bidi="fa-IR" w:val="en-US"/>
          <w:rtl w:val="0"/>
        </w:rPr>
        <w:t>p&lt;</w:t>
      </w:r>
      <w:r>
        <w:rPr>
          <w:rFonts w:ascii="Times New Roman" w:hAnsi="Times New Roman" w:hint="cs"/>
          <w:lang w:bidi="fa-IR"/>
          <w:rtl/>
        </w:rPr>
        <w: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14:paraId="196E5BBD" w14:textId="77777777">
      <w:pPr>
        <w:spacing w:before="0" w:after="80" w:line="276" w:lineRule="auto"/>
        <w:ind w:firstLine="397"/>
        <w:jc w:val="both"/>
        <w:rPr>
          <w:rFonts w:ascii="Times New Roman" w:eastAsia="Times New Roman" w:hAnsi="Times New Roman"/>
          <w:color w:val="auto"/>
          <w:lang w:bidi="fa-IR"/>
        </w:rPr>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1" w:name="_Toc238572002"/>
      <w:r>
        <w:rPr>
          <w:rFonts w:ascii="Times New Roman" w:hAnsi="Times New Roman" w:cs="B Titr" w:eastAsia="Times New Roman"/>
          <w:b/>
          <w:bCs/>
          <w:color w:val="000000"/>
          <w:sz w:val="56"/>
          <w:szCs w:val="56"/>
          <w:rtl/>
          <w:cs/>
          <w:lang w:bidi="fa-IR"/>
        </w:rPr>
        <w:lastRenderedPageBreak/>
        <w:t>فصل اول: کلیات پژوهش</w:t>
      </w:r>
      <w:bookmarkEnd w:id="1"/>
    </w:p>
    <w:p w14:paraId="2753F673"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 w:name="_Toc238572003"/>
      <w:r>
        <w:rPr>
          <w:rFonts w:ascii="Times New Roman" w:hAnsi="Times New Roman" w:cs="B Titr" w:eastAsia="Times New Roman"/>
          <w:b/>
          <w:bCs/>
          <w:color w:val="000000"/>
          <w:sz w:val="30"/>
          <w:szCs w:val="30"/>
          <w:rtl/>
          <w:cs/>
          <w:lang w:bidi="fa-IR"/>
        </w:rPr>
        <w:lastRenderedPageBreak/>
        <w:t>۱-۱- مقدمه</w:t>
      </w:r>
      <w:bookmarkEnd w:id="2"/>
    </w:p>
    <w:p w14:paraId="5B22574B" w14:textId="77777777">
      <w:pPr>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val="en-US"/>
          <w:sz w:val="20"/>
          <w:szCs w:val="20"/>
          <w:vertAlign w:val="superscript"/>
          <w:rtl w:val="0"/>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eastAsia="Times New Roman" w:cs="Times New Roman"/>
          <w:lang w:bidi="fa-IR" w:val="en-US"/>
          <w:sz w:val="20"/>
          <w:szCs w:val="20"/>
          <w:vertAlign w:val="superscript"/>
          <w:rtl w:val="0"/>
        </w:rPr>
        <w:footnoteReference w:id="1"/>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pPr>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pPr>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w:t>
      </w:r>
      <w:r>
        <w:rPr>
          <w:rFonts w:ascii="Times New Roman" w:hAnsi="Times New Roman" w:hint="cs"/>
          <w:lang w:bidi="fa-IR"/>
          <w:rtl/>
        </w:rPr>
        <w:t xml:space="preserve">،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pPr>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eastAsia="Times New Roman" w:cs="Times New Roman"/>
          <w:lang w:bidi="fa-IR" w:val="en-US"/>
          <w:sz w:val="20"/>
          <w:szCs w:val="20"/>
          <w:vertAlign w:val="superscript"/>
          <w:rtl w:val="0"/>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t xml:space="preserve">زندگی و بهزیستی وی اهمیت دارد. </w:t>
      </w:r>
      <w:r>
        <w:rPr>
          <w:rFonts w:ascii="Times New Roman" w:hAnsi="Times New Roman" w:hint="cs"/>
          <w:lang w:bidi="fa-IR"/>
          <w:rtl/>
        </w:rPr>
        <w:t>بر اساس</w:t>
      </w:r>
      <w:r>
        <w:rPr>
          <w:rFonts w:ascii="Times New Roman" w:hAnsi="Times New Roman" w:hint="cs"/>
          <w:lang w:bidi="fa-IR"/>
          <w:rtl/>
        </w:rPr>
        <w:t xml:space="preserve"> </w:t>
      </w:r>
      <w:r>
        <w:rPr>
          <w:rFonts w:ascii="Times New Roman" w:hAnsi="Times New Roman" w:hint="cs"/>
          <w:lang w:bidi="fa-IR"/>
          <w:rtl/>
        </w:rPr>
        <w:t xml:space="preserve">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 w:name="_Toc238572004"/>
      <w:r>
        <w:rPr>
          <w:rFonts w:ascii="Times New Roman" w:hAnsi="Times New Roman" w:cs="B Titr" w:eastAsia="Times New Roman"/>
          <w:b/>
          <w:bCs/>
          <w:color w:val="000000"/>
          <w:sz w:val="30"/>
          <w:szCs w:val="30"/>
          <w:rtl/>
          <w:cs/>
          <w:lang w:bidi="fa-IR"/>
        </w:rPr>
        <w:t>۱-۲- بیان مسأله</w:t>
      </w:r>
      <w:bookmarkEnd w:id="3"/>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w:t>
      </w:r>
      <w:r>
        <w:rPr>
          <w:rFonts w:ascii="Times New Roman" w:eastAsia="Times New Roman" w:hAnsi="Times New Roman" w:hint="cs"/>
          <w:lang w:bidi="fa-IR"/>
          <w:rtl/>
        </w:rPr>
        <w:t>،</w:t>
      </w:r>
      <w:r>
        <w:rPr>
          <w:rFonts w:ascii="Times New Roman" w:eastAsia="Times New Roman" w:hAnsi="Times New Roman" w:hint="cs"/>
          <w:lang w:bidi="fa-IR"/>
          <w:rtl/>
        </w:rPr>
        <w:t xml:space="preserve">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w:t>
      </w:r>
      <w:r>
        <w:rPr>
          <w:rFonts w:ascii="Times New Roman" w:eastAsia="Times New Roman" w:hAnsi="Times New Roman" w:hint="cs"/>
          <w:lang w:bidi="fa-IR"/>
          <w:rtl/>
        </w:rPr>
        <w:t>،</w:t>
      </w:r>
      <w:r>
        <w:rPr>
          <w:rFonts w:ascii="Times New Roman" w:eastAsia="Times New Roman" w:hAnsi="Times New Roman" w:hint="cs"/>
          <w:lang w:bidi="fa-IR"/>
          <w:rtl/>
        </w:rPr>
        <w:t xml:space="preserve">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w:t>
      </w:r>
      <w:r>
        <w:rPr>
          <w:rFonts w:ascii="Times New Roman" w:eastAsia="Times New Roman" w:hAnsi="Times New Roman" w:hint="cs"/>
          <w:lang w:bidi="fa-IR"/>
          <w:rtl/>
        </w:rPr>
        <w:t xml:space="preserve">،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w:t>
      </w:r>
      <w:r>
        <w:rPr>
          <w:rFonts w:ascii="Times New Roman" w:eastAsia="Times New Roman" w:hAnsi="Times New Roman" w:hint="cs"/>
          <w:lang w:bidi="fa-IR"/>
          <w:rtl/>
        </w:rPr>
        <w:t>،</w:t>
      </w:r>
      <w:r>
        <w:rPr>
          <w:rFonts w:ascii="Times New Roman" w:eastAsia="Times New Roman" w:hAnsi="Times New Roman" w:hint="cs"/>
          <w:lang w:bidi="fa-IR"/>
          <w:rtl/>
        </w:rPr>
        <w:t xml:space="preserve">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حمایت اجتماعی پایین و انزوای اجتماعی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w:t>
      </w:r>
      <w:r>
        <w:rPr>
          <w:rFonts w:ascii="Times New Roman" w:eastAsia="Times New Roman" w:hAnsi="Times New Roman" w:hint="cs"/>
          <w:lang w:bidi="fa-IR"/>
          <w:rtl/>
        </w:rPr>
        <w:t>،</w:t>
      </w:r>
      <w:r>
        <w:rPr>
          <w:rFonts w:ascii="Times New Roman" w:eastAsia="Times New Roman" w:hAnsi="Times New Roman" w:hint="cs"/>
          <w:lang w:bidi="fa-IR"/>
          <w:rtl/>
        </w:rPr>
        <w:t xml:space="preserve">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cs="Times New Roman"/>
          <w:lang w:bidi="fa-IR" w:val="en-US"/>
          <w:sz w:val="20"/>
          <w:szCs w:val="20"/>
          <w:vertAlign w:val="superscript"/>
          <w:rtl w:val="0"/>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cs="Times New Roman"/>
          <w:lang w:bidi="fa-IR" w:val="en-US"/>
          <w:sz w:val="20"/>
          <w:szCs w:val="20"/>
          <w:vertAlign w:val="superscript"/>
          <w:rtl w:val="0"/>
        </w:rPr>
        <w:footnoteReference w:id="7"/>
      </w:r>
      <w:r>
        <w:rPr>
          <w:rFonts w:ascii="Times New Roman" w:eastAsia="Times New Roman" w:hAnsi="Times New Roman" w:hint="cs"/>
          <w:lang w:bidi="fa-IR"/>
          <w:rtl/>
        </w:rPr>
        <w:t xml:space="preserve"> و همکاران، ۲۰۲۴).</w:t>
      </w:r>
      <w:r>
        <w:rPr>
          <w:rFonts w:ascii="Times New Roman" w:eastAsia="Times New Roman" w:hAnsi="Times New Roman" w:hint="cs"/>
          <w:lang w:bidi="fa-IR"/>
          <w:rtl/>
        </w:rPr>
        <w:t>،</w:t>
      </w:r>
      <w:r>
        <w:rPr>
          <w:rFonts w:ascii="Times New Roman" w:eastAsia="Times New Roman" w:hAnsi="Times New Roman" w:hint="cs"/>
          <w:lang w:bidi="fa-IR"/>
          <w:rtl/>
        </w:rPr>
        <w:t xml:space="preserve">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w:t>
      </w:r>
      <w:r>
        <w:rPr>
          <w:rFonts w:ascii="Times New Roman" w:eastAsia="Times New Roman" w:hAnsi="Times New Roman" w:hint="cs"/>
          <w:lang w:bidi="fa-IR"/>
          <w:rtl/>
        </w:rPr>
        <w:t>،</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 w:name="_Toc238572005"/>
      <w:r>
        <w:rPr>
          <w:rFonts w:ascii="Times New Roman" w:hAnsi="Times New Roman" w:cs="B Titr" w:eastAsia="Times New Roman"/>
          <w:b/>
          <w:bCs/>
          <w:color w:val="000000"/>
          <w:sz w:val="30"/>
          <w:szCs w:val="30"/>
          <w:rtl/>
          <w:cs/>
          <w:lang w:bidi="fa-IR"/>
        </w:rPr>
        <w:t>۱-۳- اهمیت و ضرورت پژوهش</w:t>
      </w:r>
      <w:bookmarkEnd w:id="5"/>
    </w:p>
    <w:p w14:paraId="420ABAB6"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w:t>
      </w:r>
      <w:r>
        <w:rPr>
          <w:rFonts w:ascii="Times New Roman" w:eastAsia="Times New Roman" w:hAnsi="Times New Roman" w:hint="cs"/>
          <w:lang w:bidi="fa-IR"/>
          <w:rtl/>
        </w:rPr>
        <w:t xml:space="preserve">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 چنین پژوهشهای لازم و ضرورت می یابد.</w:t>
      </w:r>
    </w:p>
    <w:p w14:paraId="78A41B1B"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 w:name="_Toc238572006"/>
      <w:r>
        <w:rPr>
          <w:rFonts w:ascii="Times New Roman" w:hAnsi="Times New Roman" w:cs="B Titr" w:eastAsia="Times New Roman"/>
          <w:b/>
          <w:bCs/>
          <w:color w:val="000000"/>
          <w:sz w:val="30"/>
          <w:szCs w:val="30"/>
          <w:rtl/>
          <w:cs/>
          <w:lang w:bidi="fa-IR"/>
        </w:rPr>
        <w:t>۱-۴- اهداف پژوهش</w:t>
      </w:r>
      <w:bookmarkEnd w:id="6"/>
    </w:p>
    <w:p w14:paraId="4AB0C7D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 w:name="_Toc238572007"/>
      <w:r>
        <w:rPr>
          <w:rFonts w:ascii="Times New Roman" w:hAnsi="Times New Roman" w:cs="B Titr" w:eastAsia="Times New Roman"/>
          <w:b/>
          <w:bCs/>
          <w:color w:val="000000"/>
          <w:sz w:val="30"/>
          <w:szCs w:val="30"/>
          <w:rtl/>
          <w:cs/>
          <w:lang w:bidi="fa-IR"/>
        </w:rPr>
        <w:t>۱-۴-۱- هدف اصلی:</w:t>
      </w:r>
      <w:bookmarkEnd w:id="7"/>
    </w:p>
    <w:p w14:paraId="7AEEF4F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val="1"/>
        <w:adjustRightInd/>
        <w:spacing w:before="240" w:after="100" w:line="276" w:lineRule="auto"/>
        <w:jc w:val="right"/>
        <w:rPr>
          <w:rFonts w:ascii="Times New Roman" w:hAnsi="Times New Roman" w:cs="B Titr" w:eastAsia="Times New Roman"/>
          <w:b/>
          <w:bCs/>
          <w:color w:val="000000"/>
          <w:sz w:val="30"/>
          <w:szCs w:val="30"/>
          <w:rtl/>
          <w:cs/>
          <w:lang w:bidi="fa-IR" w:val="en-US"/>
        </w:rPr>
      </w:pPr>
      <w:bookmarkStart w:id="10" w:name="_Toc238572008"/>
      <w:r>
        <w:rPr>
          <w:rFonts w:ascii="Times New Roman" w:hAnsi="Times New Roman" w:cs="B Titr" w:eastAsia="Times New Roman"/>
          <w:b/>
          <w:bCs/>
          <w:color w:val="000000"/>
          <w:sz w:val="30"/>
          <w:szCs w:val="30"/>
          <w:rtl/>
          <w:cs/>
          <w:lang w:bidi="fa-IR"/>
        </w:rPr>
        <w:t>۱-۴-۲- اهداف فرعی:</w:t>
      </w:r>
      <w:bookmarkEnd w:id="10"/>
    </w:p>
    <w:p w14:paraId="402B10C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pPr>
        <w:pStyle w:val="Heading2"/>
        <w:bidi w:val="1"/>
        <w:spacing w:before="240" w:after="100" w:line="276" w:lineRule="auto"/>
        <w:jc w:val="right"/>
        <w:rPr>
          <w:rFonts w:ascii="Times New Roman" w:cs="B Titr"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۱-۵- فرضیه‌های پژوهش</w:t>
      </w:r>
    </w:p>
    <w:p w14:paraId="0FD89750" w14:textId="77777777">
      <w:pPr>
        <w:pStyle w:val="Heading3"/>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2" w:name="_Toc238572010"/>
      <w:r>
        <w:rPr>
          <w:rFonts w:ascii="Times New Roman" w:hAnsi="Times New Roman" w:cs="B Titr" w:eastAsia="Times New Roman"/>
          <w:b/>
          <w:bCs/>
          <w:color w:val="000000"/>
          <w:sz w:val="30"/>
          <w:szCs w:val="30"/>
          <w:rtl/>
          <w:cs/>
          <w:lang w:bidi="fa-IR"/>
        </w:rPr>
        <w:t>۱-۵-۱- فرضیه اصلی:</w:t>
      </w:r>
      <w:bookmarkEnd w:id="12"/>
    </w:p>
    <w:p w14:paraId="0331943C" w14:textId="77777777">
      <w:pPr>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pPr>
        <w:pStyle w:val="Heading3"/>
        <w:bidi w:val="1"/>
        <w:spacing w:before="240" w:after="100" w:line="276" w:lineRule="auto"/>
        <w:jc w:val="right"/>
        <w:rPr>
          <w:rFonts w:ascii="Times New Roman" w:cs="B Titr"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۱-۵-۲- فرضیه‌های فرعی:</w:t>
      </w:r>
    </w:p>
    <w:p w14:paraId="319DF98C"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8" w:name="_Toc238572012"/>
      <w:r>
        <w:rPr>
          <w:rFonts w:ascii="Times New Roman" w:hAnsi="Times New Roman" w:cs="B Titr" w:eastAsia="Times New Roman"/>
          <w:b/>
          <w:bCs/>
          <w:color w:val="000000"/>
          <w:sz w:val="30"/>
          <w:szCs w:val="30"/>
          <w:rtl/>
          <w:cs/>
          <w:lang w:bidi="fa-IR"/>
        </w:rPr>
        <w:t xml:space="preserve">۱-۶- تعاریف نظری و عملیاتی </w:t>
      </w:r>
      <w:r>
        <w:rPr>
          <w:rFonts w:ascii="Times New Roman" w:hAnsi="Times New Roman" w:cs="B Titr" w:eastAsia="Times New Roman"/>
          <w:b/>
          <w:bCs/>
          <w:color w:val="000000"/>
          <w:sz w:val="30"/>
          <w:szCs w:val="30"/>
          <w:rtl/>
          <w:cs/>
          <w:lang w:bidi="fa-IR"/>
        </w:rPr>
        <w:t>متغیرها</w:t>
      </w:r>
      <w:bookmarkEnd w:id="18"/>
    </w:p>
    <w:p w14:paraId="2346C958" w14:textId="77777777">
      <w:pPr>
        <w:pStyle w:val="Heading3"/>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9" w:name="_Toc238572013"/>
      <w:r>
        <w:rPr>
          <w:rFonts w:ascii="Times New Roman" w:hAnsi="Times New Roman" w:cs="B Titr" w:eastAsia="Times New Roman"/>
          <w:b/>
          <w:bCs/>
          <w:color w:val="000000"/>
          <w:sz w:val="30"/>
          <w:szCs w:val="30"/>
          <w:rtl/>
          <w:cs/>
          <w:lang w:bidi="fa-IR"/>
        </w:rPr>
        <w:t xml:space="preserve">۱-۶-۱- تعاریف نظری </w:t>
      </w:r>
      <w:r>
        <w:rPr>
          <w:rFonts w:ascii="Times New Roman" w:hAnsi="Times New Roman" w:cs="B Titr" w:eastAsia="Times New Roman"/>
          <w:b/>
          <w:bCs/>
          <w:color w:val="000000"/>
          <w:sz w:val="30"/>
          <w:szCs w:val="30"/>
          <w:rtl/>
          <w:cs/>
          <w:lang w:bidi="fa-IR"/>
        </w:rPr>
        <w:t>متغیرها</w:t>
      </w:r>
      <w:bookmarkEnd w:id="19"/>
    </w:p>
    <w:p w14:paraId="6DA708E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20" w:name="_Toc238572014"/>
      <w:r>
        <w:rPr>
          <w:rFonts w:ascii="Times New Roman" w:hAnsi="Times New Roman" w:cs="B Titr" w:eastAsia="Times New Roman"/>
          <w:b/>
          <w:bCs/>
          <w:color w:val="000000"/>
          <w:sz w:val="30"/>
          <w:szCs w:val="30"/>
          <w:rtl/>
          <w:cs/>
          <w:lang w:bidi="fa-IR"/>
        </w:rPr>
        <w:t xml:space="preserve">۱-۶-۲- تعاریف عملیاتی </w:t>
      </w:r>
      <w:r>
        <w:rPr>
          <w:rFonts w:ascii="Times New Roman" w:hAnsi="Times New Roman" w:cs="B Titr" w:eastAsia="Times New Roman"/>
          <w:b/>
          <w:bCs/>
          <w:color w:val="000000"/>
          <w:sz w:val="30"/>
          <w:szCs w:val="30"/>
          <w:rtl/>
          <w:cs/>
          <w:lang w:bidi="fa-IR"/>
        </w:rPr>
        <w:t>متغیرها</w:t>
      </w:r>
      <w:bookmarkEnd w:id="20"/>
    </w:p>
    <w:p w14:paraId="68B0A26F" w14:textId="77777777">
      <w:pPr>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bidi w:val="1"/>
        <w:spacing w:before="0" w:after="240" w:line="276" w:lineRule="auto"/>
        <w:jc w:val="right"/>
        <w:rPr>
          <w:rFonts w:ascii="Times New Roman" w:cs="B Titr" w:hAnsi="Times New Roman" w:eastAsia="Times New Roman"/>
          <w:b/>
          <w:bCs/>
          <w:color w:val="000000"/>
          <w:sz w:val="56"/>
          <w:szCs w:val="56"/>
          <w:rtl/>
          <w:cs/>
          <w:lang w:bidi="fa-IR" w:val="en-US"/>
        </w:rPr>
      </w:pPr>
      <w:bookmarkStart w:id="21" w:name="_Toc238572015"/>
      <w:r>
        <w:rPr>
          <w:rFonts w:ascii="Times New Roman" w:hAnsi="Times New Roman" w:cs="B Titr" w:eastAsia="Times New Roman"/>
          <w:b/>
          <w:bCs/>
          <w:color w:val="000000"/>
          <w:sz w:val="56"/>
          <w:szCs w:val="56"/>
          <w:rtl/>
          <w:cs/>
          <w:lang w:bidi="fa-IR"/>
        </w:rPr>
        <w:lastRenderedPageBreak/>
        <w:t>فصل دوم: مبانی نظری و پیشینه پژوهش</w:t>
      </w:r>
      <w:bookmarkEnd w:id="21"/>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۲-۱-۲- نظریه‌های سالمندی</w:t>
      </w:r>
    </w:p>
    <w:p>
      <w:pPr>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eastAsia="Times New Roman" w:cs="Times New Roman"/>
          <w:lang w:bidi="fa-IR" w:val="en-US"/>
          <w:sz w:val="20"/>
          <w:szCs w:val="20"/>
          <w:vertAlign w:val="superscript"/>
          <w:rtl w:val="0"/>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این علم به بررسی تغییرات مرتبط با افزایش سن، عوامل مؤثر بر سالمندی، پیامدهای جسمی، روانی و اجتماعی آن و</w:t>
      </w:r>
      <w:r>
        <w:rPr>
          <w:rFonts w:ascii="Times New Roman" w:hAnsi="Times New Roman" w:hint="cs"/>
          <w:lang w:bidi="fa-IR"/>
          <w:rtl/>
        </w:rPr>
        <w:t xml:space="preserve"> </w:t>
      </w:r>
      <w:r>
        <w:rPr>
          <w:rFonts w:ascii="Times New Roman" w:hAnsi="Times New Roman" w:hint="cs"/>
          <w:lang w:bidi="fa-IR"/>
          <w:rtl/>
        </w:rPr>
        <w:t xml:space="preserve">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9"/>
      </w:r>
      <w:r>
        <w:rPr>
          <w:rFonts w:ascii="Times New Roman" w:hAnsi="Times New Roman" w:hint="cs"/>
          <w:lang w:bidi="fa-IR"/>
          <w:rtl/>
        </w:rPr>
        <w:t>، ۲۰۲۳؛ سازمان جهانی بهداشت، ۲۰۲۰).</w:t>
      </w:r>
    </w:p>
    <w:p w14:paraId="66899C70"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5" w:name="_Toc238572019"/>
      <w:r>
        <w:rPr>
          <w:rFonts w:ascii="Times New Roman" w:hAnsi="Times New Roman" w:cs="B Titr" w:eastAsia="Times New Roman"/>
          <w:b/>
          <w:bCs/>
          <w:color w:val="000000"/>
          <w:sz w:val="30"/>
          <w:szCs w:val="30"/>
          <w:rtl/>
          <w:cs/>
          <w:lang w:bidi="fa-IR"/>
        </w:rPr>
        <w:t xml:space="preserve">۲-۱-۲-۱- نظریه‌های زیست شناختی</w:t>
      </w:r>
      <w:bookmarkEnd w:id="25"/>
    </w:p>
    <w:p w14:paraId="484366E1"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7" w:name="_Toc238572020"/>
      <w:r>
        <w:rPr>
          <w:rFonts w:ascii="Times New Roman" w:hAnsi="Times New Roman" w:cs="B Titr" w:eastAsia="Times New Roman"/>
          <w:b/>
          <w:bCs/>
          <w:color w:val="000000"/>
          <w:sz w:val="30"/>
          <w:szCs w:val="30"/>
          <w:rtl/>
          <w:cs/>
          <w:lang w:bidi="fa-IR"/>
        </w:rPr>
        <w:lastRenderedPageBreak/>
        <w:t xml:space="preserve">۲-۱-۲-۱-۱- نظریه ایمنی</w:t>
      </w:r>
      <w:bookmarkEnd w:id="27"/>
    </w:p>
    <w:p>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w:t>
      </w:r>
      <w:r>
        <w:rPr>
          <w:rFonts w:ascii="Times New Roman" w:hAnsi="Times New Roman" w:hint="cs"/>
          <w:lang w:bidi="fa-IR"/>
          <w:rtl/>
        </w:rPr>
        <w:t xml:space="preserve"> </w:t>
      </w:r>
      <w:r>
        <w:rPr>
          <w:rFonts w:ascii="Times New Roman" w:hAnsi="Times New Roman" w:hint="cs"/>
          <w:lang w:bidi="fa-IR"/>
          <w:rtl/>
        </w:rPr>
        <w:t>سلول‌های</w:t>
      </w:r>
      <w:r>
        <w:rPr>
          <w:rFonts w:ascii="Times New Roman" w:hAnsi="Times New Roman" w:hint="cs"/>
          <w:lang w:bidi="fa-IR"/>
          <w:rtl/>
        </w:rPr>
        <w:t xml:space="preserve"> غیرطبیعی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علاوه بر این،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eastAsia="Times New Roman" w:cs="Times New Roman"/>
          <w:lang w:bidi="fa-IR" w:val="en-US"/>
          <w:sz w:val="20"/>
          <w:szCs w:val="20"/>
          <w:vertAlign w:val="superscript"/>
          <w:rtl w:val="0"/>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eastAsia="Times New Roman" w:cs="Times New Roman"/>
          <w:lang w:bidi="fa-IR" w:val="en-US"/>
          <w:sz w:val="20"/>
          <w:szCs w:val="20"/>
          <w:vertAlign w:val="superscript"/>
          <w:rtl w:val="0"/>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Style w:val="FootnoteReference"/>
          <w:rFonts w:ascii="Times New Roman" w:hAnsi="Times New Roman" w:hint="cs" w:eastAsia="Times New Roman" w:cs="Times New Roman"/>
          <w:lang w:bidi="fa-IR" w:val="en-US"/>
          <w:sz w:val="20"/>
          <w:szCs w:val="20"/>
          <w:vertAlign w:val="superscript"/>
          <w:rtl w:val="0"/>
        </w:rPr>
        <w:footnoteReference w:id="12"/>
      </w:r>
      <w:r>
        <w:rPr>
          <w:rFonts w:ascii="Times New Roman" w:hAnsi="Times New Roman" w:hint="cs"/>
          <w:lang w:bidi="fa-IR"/>
          <w:rtl/>
        </w:rPr>
        <w:t xml:space="preserve"> و همکاران، ۲۰۲۳).</w:t>
      </w:r>
    </w:p>
    <w:p>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۲-۱-۲-۱-۲- نظریه پیر شدن سلولی</w:t>
      </w:r>
    </w:p>
    <w:p w14:paraId="5A7126E9"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 xml:space="preserve">(DNA)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علاوه بر این،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eastAsia="Times New Roman" w:cs="Times New Roman"/>
          <w:lang w:bidi="fa-IR" w:val="en-US"/>
          <w:sz w:val="20"/>
          <w:szCs w:val="20"/>
          <w:vertAlign w:val="superscript"/>
          <w:rtl w:val="0"/>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eastAsia="Times New Roman" w:cs="Times New Roman"/>
          <w:lang w:bidi="fa-IR" w:val="en-US"/>
          <w:sz w:val="20"/>
          <w:szCs w:val="20"/>
          <w:vertAlign w:val="superscript"/>
          <w:rtl w:val="0"/>
        </w:rPr>
        <w:footnoteReference w:id="14"/>
      </w:r>
      <w:r>
        <w:rPr>
          <w:rFonts w:ascii="Times New Roman" w:hAnsi="Times New Roman" w:hint="cs"/>
          <w:lang w:bidi="fa-IR"/>
          <w:rtl/>
        </w:rPr>
        <w:t>، ۲۰۲۴).</w:t>
      </w:r>
    </w:p>
    <w:p w14:paraId="41EE9C73"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9" w:name="_Toc238572022"/>
      <w:r>
        <w:rPr>
          <w:rFonts w:ascii="Times New Roman" w:hAnsi="Times New Roman" w:cs="B Titr" w:eastAsia="Times New Roman"/>
          <w:b/>
          <w:bCs/>
          <w:color w:val="000000"/>
          <w:sz w:val="30"/>
          <w:szCs w:val="30"/>
          <w:rtl/>
          <w:cs/>
          <w:lang w:bidi="fa-IR"/>
        </w:rPr>
        <w:lastRenderedPageBreak/>
        <w:t xml:space="preserve">۲-۱-۲-۱-۳- نظریه رادیکال آزاد</w:t>
      </w:r>
      <w:bookmarkEnd w:id="29"/>
    </w:p>
    <w:p>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w:t>
      </w:r>
      <w:r>
        <w:rPr>
          <w:rFonts w:ascii="Times New Roman" w:hAnsi="Times New Roman" w:hint="cs"/>
          <w:lang w:bidi="fa-IR"/>
          <w:rtl/>
        </w:rPr>
        <w:t xml:space="preserve">،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eastAsia="Times New Roman" w:cs="Times New Roman"/>
          <w:lang w:bidi="fa-IR" w:val="en-US"/>
          <w:sz w:val="20"/>
          <w:szCs w:val="20"/>
          <w:vertAlign w:val="superscript"/>
          <w:rtl w:val="0"/>
        </w:rPr>
        <w:footnoteReference w:id="15"/>
      </w:r>
      <w:r>
        <w:rPr>
          <w:rFonts w:ascii="Times New Roman" w:hAnsi="Times New Roman" w:hint="cs"/>
          <w:lang w:bidi="fa-IR"/>
          <w:rtl/>
        </w:rPr>
        <w:t>، ۲۰۲۴).</w:t>
      </w:r>
    </w:p>
    <w:p w14:paraId="3D641FB1"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0" w:name="_Toc238572023"/>
      <w:r>
        <w:rPr>
          <w:rFonts w:ascii="Times New Roman" w:hAnsi="Times New Roman" w:cs="B Titr" w:eastAsia="Times New Roman"/>
          <w:b/>
          <w:bCs/>
          <w:color w:val="000000"/>
          <w:sz w:val="30"/>
          <w:szCs w:val="30"/>
          <w:rtl/>
          <w:cs/>
          <w:lang w:bidi="fa-IR"/>
        </w:rPr>
        <w:t xml:space="preserve">۲-۱-۲-۲- نظریه‌های روانشناختی</w:t>
      </w:r>
      <w:bookmarkEnd w:id="30"/>
    </w:p>
    <w:p w14:paraId="4520A324"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1" w:name="_Toc238572024"/>
      <w:r>
        <w:rPr>
          <w:rFonts w:ascii="Times New Roman" w:hAnsi="Times New Roman" w:cs="B Titr" w:eastAsia="Times New Roman"/>
          <w:b/>
          <w:bCs/>
          <w:color w:val="000000"/>
          <w:sz w:val="30"/>
          <w:szCs w:val="30"/>
          <w:rtl/>
          <w:cs/>
          <w:lang w:bidi="fa-IR"/>
        </w:rPr>
        <w:t xml:space="preserve">۲-۱-۲-۲-۱- نظریه گولد</w:t>
      </w:r>
      <w:bookmarkEnd w:id="31"/>
    </w:p>
    <w:p w14:paraId="20C23824" w14:textId="77777777">
      <w:pPr>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eastAsia="Times New Roman" w:cs="Times New Roman"/>
          <w:lang w:bidi="fa-IR" w:val="en-US"/>
          <w:sz w:val="20"/>
          <w:szCs w:val="20"/>
          <w:vertAlign w:val="superscript"/>
          <w:rtl w:val="0"/>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14:paraId="55F08B4D"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2" w:name="_Toc238572025"/>
      <w:r>
        <w:rPr>
          <w:rFonts w:ascii="Times New Roman" w:hAnsi="Times New Roman" w:cs="B Titr" w:eastAsia="Times New Roman"/>
          <w:b/>
          <w:bCs/>
          <w:color w:val="000000"/>
          <w:sz w:val="30"/>
          <w:szCs w:val="30"/>
          <w:rtl/>
          <w:cs/>
          <w:lang w:bidi="fa-IR"/>
        </w:rPr>
        <w:t xml:space="preserve">۲-۱-۲-۲-۲- نظریه لوینسون و شی</w:t>
      </w:r>
      <w:bookmarkEnd w:id="32"/>
    </w:p>
    <w:p w14:paraId="081CFB18" w14:textId="77777777">
      <w:pPr>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Style w:val="FootnoteReference"/>
          <w:rFonts w:ascii="Times New Roman" w:hAnsi="Times New Roman" w:hint="cs" w:eastAsia="Times New Roman" w:cs="Times New Roman"/>
          <w:lang w:bidi="fa-IR" w:val="en-US"/>
          <w:sz w:val="20"/>
          <w:szCs w:val="20"/>
          <w:vertAlign w:val="superscript"/>
          <w:rtl w:val="0"/>
        </w:rPr>
        <w:footnoteReference w:id="17"/>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eastAsia="Times New Roman" w:cs="Times New Roman"/>
          <w:lang w:bidi="fa-IR" w:val="en-US"/>
          <w:sz w:val="20"/>
          <w:szCs w:val="20"/>
          <w:vertAlign w:val="superscript"/>
          <w:rtl w:val="0"/>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3" w:name="_Toc238572026"/>
      <w:r>
        <w:rPr>
          <w:rFonts w:ascii="Times New Roman" w:hAnsi="Times New Roman" w:cs="B Titr" w:eastAsia="Times New Roman"/>
          <w:b/>
          <w:bCs/>
          <w:color w:val="000000"/>
          <w:sz w:val="30"/>
          <w:szCs w:val="30"/>
          <w:rtl/>
          <w:cs/>
          <w:lang w:bidi="fa-IR"/>
        </w:rPr>
        <w:t xml:space="preserve">۲-۱-۲-۲-۳- نظریه اریکسون</w:t>
      </w:r>
      <w:bookmarkEnd w:id="33"/>
    </w:p>
    <w:p w14:paraId="624436C2" w14:textId="77777777">
      <w:pPr>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eastAsia="Times New Roman" w:cs="Times New Roman"/>
          <w:lang w:bidi="fa-IR" w:val="en-US"/>
          <w:sz w:val="20"/>
          <w:szCs w:val="20"/>
          <w:vertAlign w:val="superscript"/>
          <w:rtl w:val="0"/>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eastAsia="Times New Roman" w:cs="Times New Roman"/>
          <w:lang w:bidi="fa-IR" w:val="en-US"/>
          <w:sz w:val="20"/>
          <w:szCs w:val="20"/>
          <w:vertAlign w:val="superscript"/>
          <w:rtl w:val="0"/>
        </w:rPr>
        <w:footnoteReference w:id="20"/>
      </w:r>
      <w:r>
        <w:rPr>
          <w:rFonts w:ascii="Times New Roman" w:hAnsi="Times New Roman" w:hint="cs"/>
          <w:lang w:bidi="fa-IR"/>
          <w:rtl/>
        </w:rPr>
        <w:t>، ۱۹۸۶).</w:t>
      </w:r>
    </w:p>
    <w:p w14:paraId="6DF5AB5B"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4" w:name="_Toc238572027"/>
      <w:r>
        <w:rPr>
          <w:rFonts w:ascii="Times New Roman" w:hAnsi="Times New Roman" w:cs="B Titr" w:eastAsia="Times New Roman"/>
          <w:b/>
          <w:bCs/>
          <w:color w:val="000000"/>
          <w:sz w:val="30"/>
          <w:szCs w:val="30"/>
          <w:rtl/>
          <w:cs/>
          <w:lang w:bidi="fa-IR"/>
        </w:rPr>
        <w:t xml:space="preserve">۲-۱-۲-۳- نظریه‌های جامعه شناختی</w:t>
      </w:r>
      <w:bookmarkEnd w:id="34"/>
    </w:p>
    <w:p w14:paraId="04BBBE12"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6" w:name="_Toc238572028"/>
      <w:r>
        <w:rPr>
          <w:rFonts w:ascii="Times New Roman" w:hAnsi="Times New Roman" w:cs="B Titr" w:eastAsia="Times New Roman"/>
          <w:b/>
          <w:bCs/>
          <w:color w:val="000000"/>
          <w:sz w:val="30"/>
          <w:szCs w:val="30"/>
          <w:rtl/>
          <w:cs/>
          <w:lang w:bidi="fa-IR"/>
        </w:rPr>
        <w:t xml:space="preserve">۲-۱-۲-۳-۱- نظریه عدم تعهد</w:t>
      </w:r>
      <w:bookmarkEnd w:id="36"/>
    </w:p>
    <w:p w14:paraId="31775D54" w14:textId="77777777">
      <w:pPr>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eastAsia="Times New Roman" w:cs="Times New Roman"/>
          <w:lang w:bidi="fa-IR" w:val="en-US"/>
          <w:sz w:val="20"/>
          <w:szCs w:val="20"/>
          <w:vertAlign w:val="superscript"/>
          <w:rtl w:val="0"/>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eastAsia="Times New Roman" w:cs="Times New Roman"/>
          <w:lang w:bidi="fa-IR" w:val="en-US"/>
          <w:sz w:val="20"/>
          <w:szCs w:val="20"/>
          <w:vertAlign w:val="superscript"/>
          <w:rtl w:val="0"/>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eastAsia="Times New Roman" w:cs="Times New Roman"/>
          <w:lang w:bidi="fa-IR" w:val="en-US"/>
          <w:sz w:val="20"/>
          <w:szCs w:val="20"/>
          <w:vertAlign w:val="superscript"/>
          <w:rtl w:val="0"/>
        </w:rPr>
        <w:footnoteReference w:id="23"/>
      </w:r>
      <w:r>
        <w:rPr>
          <w:rFonts w:ascii="Times New Roman" w:hAnsi="Times New Roman" w:hint="cs"/>
          <w:lang w:bidi="fa-IR"/>
          <w:rtl/>
        </w:rPr>
        <w:t>، ۲۰۱۶).</w:t>
      </w:r>
    </w:p>
    <w:p w14:paraId="4B444079"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7" w:name="_Toc238572029"/>
      <w:r>
        <w:rPr>
          <w:rFonts w:ascii="Times New Roman" w:hAnsi="Times New Roman" w:cs="B Titr" w:eastAsia="Times New Roman"/>
          <w:b/>
          <w:bCs/>
          <w:color w:val="000000"/>
          <w:sz w:val="30"/>
          <w:szCs w:val="30"/>
          <w:rtl/>
          <w:cs/>
          <w:lang w:bidi="fa-IR"/>
        </w:rPr>
        <w:t xml:space="preserve">۲-۱-۲-۳-۲- نظریه فعالیت</w:t>
      </w:r>
      <w:bookmarkEnd w:id="37"/>
    </w:p>
    <w:p w14:paraId="146A3D73" w14:textId="77777777">
      <w:pPr>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eastAsia="Times New Roman" w:cs="Times New Roman"/>
          <w:lang w:bidi="fa-IR" w:val="en-US"/>
          <w:sz w:val="20"/>
          <w:szCs w:val="20"/>
          <w:vertAlign w:val="superscript"/>
          <w:rtl w:val="0"/>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eastAsia="Times New Roman" w:cs="Times New Roman"/>
          <w:lang w:bidi="fa-IR" w:val="en-US"/>
          <w:sz w:val="20"/>
          <w:szCs w:val="20"/>
          <w:vertAlign w:val="superscript"/>
          <w:rtl w:val="0"/>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eastAsia="Times New Roman" w:cs="Times New Roman"/>
          <w:lang w:bidi="fa-IR" w:val="en-US"/>
          <w:sz w:val="20"/>
          <w:szCs w:val="20"/>
          <w:vertAlign w:val="superscript"/>
          <w:rtl w:val="0"/>
        </w:rPr>
        <w:footnoteReference w:id="26"/>
      </w:r>
      <w:r>
        <w:rPr>
          <w:rFonts w:ascii="Times New Roman" w:hAnsi="Times New Roman" w:hint="cs"/>
          <w:lang w:bidi="fa-IR"/>
          <w:rtl/>
        </w:rPr>
        <w:t>، ۱۹۶۸).</w:t>
      </w:r>
    </w:p>
    <w:p w14:paraId="4AC40FF0"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8" w:name="_Toc238572030"/>
      <w:r>
        <w:rPr>
          <w:rFonts w:ascii="Times New Roman" w:hAnsi="Times New Roman" w:cs="B Titr" w:eastAsia="Times New Roman"/>
          <w:b/>
          <w:bCs/>
          <w:color w:val="000000"/>
          <w:sz w:val="30"/>
          <w:szCs w:val="30"/>
          <w:rtl/>
          <w:cs/>
          <w:lang w:bidi="fa-IR"/>
        </w:rPr>
        <w:t xml:space="preserve">۲-۱-۲-۳-۳- نظریه مبادله یا تعامل</w:t>
      </w:r>
      <w:bookmarkEnd w:id="38"/>
    </w:p>
    <w:p w14:paraId="5EA435A4" w14:textId="77777777">
      <w:pPr>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eastAsia="Times New Roman" w:cs="Times New Roman"/>
          <w:lang w:bidi="fa-IR" w:val="en-US"/>
          <w:sz w:val="20"/>
          <w:szCs w:val="20"/>
          <w:vertAlign w:val="superscript"/>
          <w:rtl w:val="0"/>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9" w:name="_Toc238572031"/>
      <w:r>
        <w:rPr>
          <w:rFonts w:ascii="Times New Roman" w:hAnsi="Times New Roman" w:cs="B Titr" w:eastAsia="Times New Roman"/>
          <w:b/>
          <w:bCs/>
          <w:color w:val="000000"/>
          <w:sz w:val="30"/>
          <w:szCs w:val="30"/>
          <w:rtl/>
          <w:cs/>
          <w:lang w:bidi="fa-IR"/>
        </w:rPr>
        <w:t xml:space="preserve">۲-۱-۲-۳-۴- نظریه استمرار</w:t>
      </w:r>
      <w:bookmarkEnd w:id="39"/>
    </w:p>
    <w:p w14:paraId="1A70B65D" w14:textId="77777777">
      <w:pPr>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eastAsia="Times New Roman" w:cs="Times New Roman"/>
          <w:lang w:bidi="fa-IR" w:val="en-US"/>
          <w:sz w:val="20"/>
          <w:szCs w:val="20"/>
          <w:vertAlign w:val="superscript"/>
          <w:rtl w:val="0"/>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30"/>
      </w:r>
      <w:r>
        <w:rPr>
          <w:rFonts w:ascii="Times New Roman" w:hAnsi="Times New Roman" w:hint="cs"/>
          <w:lang w:bidi="fa-IR"/>
          <w:rtl/>
        </w:rPr>
        <w:t xml:space="preserve"> و همکاران، ۲۰۲۳).</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35"/>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37"/>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0"/>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w:t>
      </w:r>
      <w:r>
        <w:rPr>
          <w:rFonts w:ascii="Times New Roman" w:eastAsia="Times New Roman" w:hAnsi="Times New Roman" w:hint="cs"/>
          <w:lang w:bidi="fa-IR"/>
          <w:rtl/>
        </w:rPr>
        <w:t>سؤال</w:t>
      </w:r>
      <w:r>
        <w:rPr>
          <w:rFonts w:ascii="Times New Roman" w:eastAsia="Times New Roman" w:hAnsi="Times New Roman" w:hint="cs"/>
          <w:lang w:bidi="fa-IR"/>
          <w:rtl/>
        </w:rPr>
        <w:t xml:space="preserve">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w:t>
      </w:r>
      <w:r>
        <w:rPr>
          <w:rFonts w:ascii="Times New Roman" w:eastAsia="Times New Roman" w:hAnsi="Times New Roman" w:hint="cs"/>
          <w:lang w:bidi="fa-IR"/>
          <w:rtl/>
        </w:rPr>
        <w:t>هوش 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هوش 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w:t>
      </w:r>
      <w:r>
        <w:rPr>
          <w:rFonts w:ascii="Times New Roman" w:eastAsia="Times New Roman" w:hAnsi="Times New Roman" w:hint="cs"/>
          <w:lang w:bidi="fa-IR"/>
          <w:rtl/>
        </w:rPr>
        <w:t>هوش 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w:t>
      </w:r>
      <w:r>
        <w:rPr>
          <w:rFonts w:ascii="Times New Roman" w:eastAsia="Times New Roman" w:hAnsi="Times New Roman" w:hint="cs"/>
          <w:lang w:bidi="fa-IR"/>
          <w:rtl/>
        </w:rPr>
        <w:t>فرانکل، ۲۰۱۸</w:t>
      </w:r>
      <w:r>
        <w:rPr>
          <w:rFonts w:ascii="Times New Roman" w:eastAsia="Times New Roman" w:hAnsi="Times New Roman" w:hint="cs"/>
          <w:lang w:bidi="fa-IR"/>
          <w:rtl/>
        </w:rPr>
        <w:t>).</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w:t>
      </w:r>
      <w:r>
        <w:rPr>
          <w:rFonts w:ascii="Times New Roman" w:eastAsia="Times New Roman" w:hAnsi="Times New Roman" w:hint="cs"/>
          <w:lang w:bidi="fa-IR"/>
          <w:rtl/>
        </w:rPr>
        <w:t>بهزیستی هیجانی،</w:t>
      </w:r>
      <w:r>
        <w:rPr>
          <w:rFonts w:ascii="Times New Roman" w:eastAsia="Times New Roman" w:hAnsi="Times New Roman" w:hint="cs"/>
          <w:lang w:bidi="fa-IR"/>
          <w:rtl/>
        </w:rPr>
        <w:t xml:space="preserve">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w:t>
      </w:r>
      <w:r>
        <w:rPr>
          <w:rFonts w:ascii="Times New Roman" w:eastAsia="Times New Roman" w:hAnsi="Times New Roman" w:hint="cs"/>
          <w:lang w:bidi="fa-IR"/>
          <w:rtl/>
        </w:rPr>
        <w:t>نقطه مقابل شکوفایی است</w:t>
      </w:r>
      <w:r>
        <w:rPr>
          <w:rFonts w:ascii="Times New Roman" w:eastAsia="Times New Roman" w:hAnsi="Times New Roman" w:hint="cs"/>
          <w:lang w:bidi="fa-IR"/>
          <w:rtl/>
        </w:rPr>
        <w:t xml:space="preserve">.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مطلوب، همواره آرزوی بشر بوده و هست. در ابتدا رفاه و طول عمر بیشتر، معنی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بهتر را داشت. اما امروزه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در نقطه مقابل کمیت، قرار گرفته و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مفهومی پویا و وسیعتر از سلامتی است بر طبق مدل سلامتی،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 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w:t>
      </w:r>
      <w:r>
        <w:rPr>
          <w:rFonts w:ascii="Times New Roman" w:eastAsia="Times New Roman" w:hAnsi="Times New Roman" w:hint="cs"/>
          <w:lang w:bidi="fa-IR"/>
          <w:rtl/>
        </w:rPr>
        <w:t>و 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t xml:space="preserve">لذت گرایانه </w:t>
      </w:r>
      <w:r>
        <w:rPr>
          <w:rFonts w:ascii="Times New Roman" w:eastAsia="Times New Roman" w:hAnsi="Times New Roman" w:hint="cs"/>
          <w:lang w:bidi="fa-IR"/>
          <w:rtl/>
        </w:rPr>
        <w:t>اپیکوری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w:t>
      </w:r>
      <w:r>
        <w:rPr>
          <w:rFonts w:ascii="Times New Roman" w:eastAsia="Times New Roman" w:hAnsi="Times New Roman" w:hint="cs"/>
          <w:lang w:bidi="fa-IR"/>
          <w:rtl/>
        </w:rPr>
        <w:t>برای اولین بار 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 بر اساس</w:t>
      </w:r>
      <w:r>
        <w:rPr>
          <w:rFonts w:ascii="Times New Roman" w:eastAsia="Times New Roman" w:hAnsi="Times New Roman" w:hint="cs"/>
          <w:lang w:bidi="fa-IR"/>
          <w:rtl/>
        </w:rPr>
        <w:t xml:space="preserve">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w:t>
      </w:r>
      <w:r>
        <w:rPr>
          <w:rFonts w:ascii="Times New Roman" w:eastAsia="Times New Roman" w:hAnsi="Times New Roman" w:hint="cs"/>
          <w:lang w:bidi="fa-IR"/>
          <w:rtl/>
        </w:rPr>
        <w:t>استقلال ساختاری</w:t>
      </w:r>
      <w:r>
        <w:rPr>
          <w:rFonts w:ascii="Times New Roman" w:eastAsia="Times New Roman" w:hAnsi="Times New Roman" w:hint="cs"/>
          <w:lang w:bidi="fa-IR"/>
          <w:rtl/>
        </w:rPr>
        <w:t xml:space="preserve">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w:t>
      </w:r>
      <w:r>
        <w:rPr>
          <w:rFonts w:ascii="Times New Roman" w:eastAsia="Times New Roman" w:hAnsi="Times New Roman" w:hint="cs"/>
          <w:lang w:bidi="fa-IR"/>
          <w:rtl/>
        </w:rPr>
        <w:t>مطالعه‌ی</w:t>
      </w:r>
      <w:r>
        <w:rPr>
          <w:rFonts w:ascii="Times New Roman" w:eastAsia="Times New Roman" w:hAnsi="Times New Roman" w:hint="cs"/>
          <w:lang w:bidi="fa-IR"/>
          <w:rtl/>
        </w:rPr>
        <w:t xml:space="preserve">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تأکید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r>
        <w:rPr>
          <w:rFonts w:ascii="Times New Roman" w:hAnsi="Times New Roman" w:cs="B Titr" w:eastAsia="Times New Roman"/>
          <w:b/>
          <w:bCs/>
          <w:color w:val="000000"/>
          <w:kern w:val="32"/>
          <w:sz w:val="30"/>
          <w:szCs w:val="30"/>
          <w:rtl/>
          <w:cs/>
          <w:lang w:bidi="fa-IR"/>
        </w:rPr>
        <w:t>۲-۳-۳- عوامل مؤثر بر هوش معنوی</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43"/>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w:t>
      </w:r>
      <w:r>
        <w:rPr>
          <w:rFonts w:ascii="Times New Roman" w:eastAsia="Times New Roman" w:hAnsi="Times New Roman" w:hint="cs"/>
          <w:lang w:bidi="fa-IR"/>
          <w:rtl/>
        </w:rPr>
        <w:t>،</w:t>
      </w:r>
      <w:r>
        <w:rPr>
          <w:rFonts w:ascii="Times New Roman" w:eastAsia="Times New Roman" w:hAnsi="Times New Roman" w:hint="cs"/>
          <w:lang w:bidi="fa-IR"/>
          <w:rtl/>
        </w:rPr>
        <w:t xml:space="preserve">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44"/>
      </w:r>
      <w:r>
        <w:rPr>
          <w:rStyle w:val="FootnoteReference"/>
          <w:rFonts w:ascii="Times New Roman" w:hAnsi="Times New Roman" w:hint="cs" w:eastAsia="Times New Roman" w:cs="Times New Roman"/>
          <w:lang w:bidi="fa-IR" w:val="en-US"/>
          <w:sz w:val="20"/>
          <w:szCs w:val="20"/>
          <w:vertAlign w:val="superscript"/>
          <w:rtl w:val="0"/>
        </w:rPr>
        <w:footnoteReference w:id="45"/>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46"/>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pPr>
        <w:spacing w:after="0" w:line="276" w:lineRule="auto"/>
        <w:ind w:firstLine="397"/>
        <w:jc w:val="both"/>
        <w:rPr>
          <w:rFonts w:ascii="Times New Roman" w:hAnsi="Times New Roman"/>
          <w:lang w:bidi="fa-IR"/>
        </w:rPr>
      </w:pPr>
      <w:r>
        <w:rPr>
          <w:rFonts w:ascii="Times New Roman" w:hAnsi="Times New Roman" w:hint="cs"/>
          <w:lang w:bidi="fa-IR"/>
          <w:rtl/>
        </w:rPr>
        <w:t>صورت‌بندی کلاسیک این مدل را سالکوویس</w:t>
      </w:r>
      <w:r>
        <w:rPr>
          <w:rFonts w:ascii="Times New Roman" w:hAnsi="Times New Roman" w:eastAsia="Times New Roman" w:cs="Times New Roman"/>
          <w:rStyle w:val="FootnoteReference"/>
          <w:sz w:val="20"/>
          <w:szCs w:val="20"/>
          <w:vertAlign w:val="superscript"/>
          <w:rtl w:val="0"/>
          <w:cs w:val="0"/>
          <w:lang w:val="en-US"/>
        </w:rPr>
        <w:footnoteReference w:id="87"/>
      </w:r>
      <w:r>
        <w:rPr>
          <w:rFonts w:ascii="Times New Roman" w:hAnsi="Times New Roman" w:hint="cs"/>
          <w:lang w:bidi="fa-IR"/>
          <w:rtl/>
        </w:rPr>
        <w:t xml:space="preserve"> و وارویک</w:t>
      </w:r>
      <w:r>
        <w:rPr>
          <w:rFonts w:ascii="Times New Roman" w:hAnsi="Times New Roman" w:eastAsia="Times New Roman" w:cs="Times New Roman"/>
          <w:rStyle w:val="FootnoteReference"/>
          <w:sz w:val="20"/>
          <w:szCs w:val="20"/>
          <w:vertAlign w:val="superscript"/>
          <w:rtl w:val="0"/>
          <w:cs w:val="0"/>
          <w:lang w:val="en-US"/>
        </w:rPr>
        <w:footnoteReference w:id="106"/>
      </w:r>
      <w:r>
        <w:rPr>
          <w:rFonts w:ascii="Times New Roman" w:hAnsi="Times New Roman" w:hint="cs"/>
          <w:lang w:bidi="fa-IR"/>
          <w:rtl/>
        </w:rPr>
        <w:t xml:space="preserve"> ارائه کردند. اضطراب سلامت وقتی پایدار می‌شود که باورهای ناکارآمد درباره بیماری فعال شوند. این باورها معمولاً در چهار محور جای می‌گیرند:</w:t>
      </w:r>
    </w:p>
    <w:p>
      <w:pPr>
        <w:spacing w:after="0" w:line="276" w:lineRule="auto"/>
        <w:ind w:firstLine="397"/>
        <w:jc w:val="both"/>
        <w:rPr>
          <w:rFonts w:ascii="Times New Roman" w:hAnsi="Times New Roman"/>
          <w:lang w:bidi="fa-IR"/>
        </w:rPr>
      </w:pPr>
      <w:r>
        <w:rPr>
          <w:rFonts w:ascii="Times New Roman" w:hAnsi="Times New Roman" w:hint="cs"/>
          <w:lang w:bidi="fa-IR"/>
          <w:rtl/>
        </w:rPr>
        <w:t>۱- باور به احتمال بالا یا حتی قطعی بودن ابتلا به بیماری، یا وجود پنهان آن؛</w:t>
      </w:r>
    </w:p>
    <w:p>
      <w:pPr>
        <w:spacing w:after="0" w:line="276" w:lineRule="auto"/>
        <w:ind w:firstLine="397"/>
        <w:jc w:val="both"/>
        <w:rPr>
          <w:rFonts w:ascii="Times New Roman" w:hAnsi="Times New Roman"/>
          <w:lang w:bidi="fa-IR"/>
        </w:rPr>
      </w:pPr>
      <w:r>
        <w:rPr>
          <w:rFonts w:ascii="Times New Roman" w:hAnsi="Times New Roman" w:hint="cs"/>
          <w:lang w:bidi="fa-IR"/>
          <w:rtl/>
        </w:rPr>
        <w:t>۲- باور به وحشتناکی پیامدهای بیماری؛</w:t>
      </w:r>
    </w:p>
    <w:p>
      <w:pPr>
        <w:spacing w:after="0" w:line="276" w:lineRule="auto"/>
        <w:ind w:firstLine="397"/>
        <w:jc w:val="both"/>
        <w:rPr>
          <w:rFonts w:ascii="Times New Roman" w:hAnsi="Times New Roman"/>
          <w:lang w:bidi="fa-IR"/>
        </w:rPr>
      </w:pPr>
      <w:r>
        <w:rPr>
          <w:rFonts w:ascii="Times New Roman" w:hAnsi="Times New Roman" w:hint="cs"/>
          <w:lang w:bidi="fa-IR"/>
          <w:rtl/>
        </w:rPr>
        <w:t>۳- باور به ناتوانی فرد در مقابله با بیماری؛</w:t>
      </w:r>
    </w:p>
    <w:p>
      <w:pPr>
        <w:spacing w:after="0" w:line="276" w:lineRule="auto"/>
        <w:ind w:firstLine="397"/>
        <w:jc w:val="both"/>
        <w:rPr>
          <w:rFonts w:ascii="Times New Roman" w:hAnsi="Times New Roman"/>
          <w:lang w:bidi="fa-IR"/>
        </w:rPr>
      </w:pPr>
      <w:r>
        <w:rPr>
          <w:rFonts w:ascii="Times New Roman" w:hAnsi="Times New Roman" w:hint="cs"/>
          <w:lang w:bidi="fa-IR"/>
          <w:rtl/>
        </w:rPr>
        <w:t>۴- باور به ناکافی‌بودن یا غیرقابل‌اعتماد بودن خدمات پزشکی (سالکوویس و وارویک، ۱۹۹۰؛ تیلور و آسموندسون</w:t>
      </w:r>
      <w:r>
        <w:rPr>
          <w:rFonts w:ascii="Times New Roman" w:hAnsi="Times New Roman" w:eastAsia="Times New Roman" w:cs="Times New Roman"/>
          <w:rStyle w:val="FootnoteReference"/>
          <w:sz w:val="20"/>
          <w:szCs w:val="20"/>
          <w:vertAlign w:val="superscript"/>
          <w:rtl w:val="0"/>
          <w:cs w:val="0"/>
          <w:lang w:val="en-US"/>
        </w:rPr>
        <w:footnoteReference w:id="54"/>
      </w:r>
      <w:r>
        <w:rPr>
          <w:rFonts w:ascii="Times New Roman" w:hAnsi="Times New Roman" w:hint="cs"/>
          <w:lang w:bidi="fa-IR"/>
          <w:rtl/>
        </w:rPr>
        <w:t>، ۲۰۲۱).</w:t>
      </w:r>
    </w:p>
    <w:p>
      <w:pPr>
        <w:spacing w:after="0" w:line="276" w:lineRule="auto"/>
        <w:ind w:firstLine="397"/>
        <w:jc w:val="both"/>
        <w:rPr>
          <w:rFonts w:ascii="Times New Roman" w:hAnsi="Times New Roman"/>
          <w:lang w:bidi="fa-IR"/>
        </w:rPr>
      </w:pPr>
      <w:r>
        <w:rPr>
          <w:rFonts w:ascii="Times New Roman" w:hAnsi="Times New Roman" w:hint="cs"/>
          <w:lang w:bidi="fa-IR"/>
          <w:rtl/>
        </w:rPr>
        <w:t>این باورها با چهار سازوکار درهم‌تنیده تداوم می‌یابند. توجه انتخابی به حس‌های بدنی و سوگیری تأیید، اطلاعات ناسازگار با تهدید را کنار می‌گذارد. برانگیختگی فیزیولوژیک خودش به نشانهٔ تازه بدل می‌شود. ترس دامنهٔ پردازش را تنگ می‌کند. بررسی مکرر بدن، اطمینان‌خواهی پزشکی، اجتناب و جست‌وجوی اطلاعات اضطراب را کوتاه‌مدت کم می‌کنند، اما فرصت آزمون باور را می‌گیرند. اطمینان‌خواهی از این منظر تأمین اطلاعات نیست؛ رفتار ایمنی‌بخش است (هالدورسون</w:t>
      </w:r>
      <w:r>
        <w:rPr>
          <w:rFonts w:ascii="Times New Roman" w:hAnsi="Times New Roman" w:eastAsia="Times New Roman" w:cs="Times New Roman"/>
          <w:rStyle w:val="FootnoteReference"/>
          <w:sz w:val="20"/>
          <w:szCs w:val="20"/>
          <w:vertAlign w:val="superscript"/>
          <w:rtl w:val="0"/>
          <w:cs w:val="0"/>
          <w:lang w:val="en-US"/>
        </w:rPr>
        <w:footnoteReference w:id="107"/>
      </w:r>
      <w:r>
        <w:rPr>
          <w:rFonts w:ascii="Times New Roman" w:hAnsi="Times New Roman" w:hint="cs"/>
          <w:lang w:bidi="fa-IR"/>
          <w:rtl/>
        </w:rPr>
        <w:t xml:space="preserve"> و سالکوویس، ۲۰۲۳؛ کیکاس</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hint="cs"/>
          <w:lang w:bidi="fa-IR"/>
          <w:rtl/>
        </w:rPr>
        <w:t xml:space="preserve"> و همکاران، ۲۰۲۴).</w:t>
      </w:r>
    </w:p>
    <w:p>
      <w:pPr>
        <w:spacing w:after="0" w:line="276" w:lineRule="auto"/>
        <w:ind w:firstLine="397"/>
        <w:jc w:val="both"/>
        <w:rPr>
          <w:rFonts w:ascii="Times New Roman" w:hAnsi="Times New Roman"/>
          <w:lang w:bidi="fa-IR"/>
        </w:rPr>
      </w:pPr>
      <w:r>
        <w:rPr>
          <w:rFonts w:ascii="Times New Roman" w:hAnsi="Times New Roman" w:hint="cs"/>
          <w:lang w:bidi="fa-IR"/>
          <w:rtl/>
        </w:rPr>
        <w:t>برای روشن شدن چرخه، سالمندی را در نظر بگیرید که پس از یک تپش قلب ساده چند بار به اورژانس می‌رود. هر بار با شنیدن «قلب‌تان مشکلی ندارد» آرام می‌شود، ولی تا نوبت بعد همان ترس برمی‌گردد. پایش پزشکی لازم است؛ تکرار مراجعه فقط برای خاموش کردن ترس، رفتار ایمنی‌بخش است نه مراقبت ضروری.</w:t>
      </w:r>
    </w:p>
    <w:p>
      <w:pPr>
        <w:spacing w:after="0" w:line="276" w:lineRule="auto"/>
        <w:ind w:firstLine="397"/>
        <w:jc w:val="both"/>
        <w:rPr>
          <w:rFonts w:ascii="Times New Roman" w:hAnsi="Times New Roman"/>
          <w:lang w:bidi="fa-IR"/>
        </w:rPr>
      </w:pPr>
      <w:r>
        <w:rPr>
          <w:rFonts w:ascii="Times New Roman" w:hAnsi="Times New Roman" w:hint="cs"/>
          <w:lang w:bidi="fa-IR"/>
          <w:rtl/>
        </w:rPr>
        <w:t>در سالمندی همین چرخه غالباً روی نشانه‌های جسمانی واقعی و بیماری مزمن سوار می‌شود. تمایز پایش ضروری از رفتار ایمنی‌بخش دشوارتر است و اصلاح تفسیر فاجعه‌آمیز نباید به معنای نادیده‌گرفتن بیماری باشد. بازسازی همان چهار باور، کاهش تدریجی رفتارهای ایمنی‌بخش و آزمایش‌های رفتاری، محور مداخله‌اند. درمان شناختی ـ رفتاری در اضطراب اواخر عمر مؤثر گزارش شده، هرچند همبودی پزشکی و چنددارویی کار را کندتر می‌کند (آبراموویتز و برادوک</w:t>
      </w:r>
      <w:r>
        <w:rPr>
          <w:rFonts w:ascii="Times New Roman" w:hAnsi="Times New Roman" w:eastAsia="Times New Roman" w:cs="Times New Roman"/>
          <w:rStyle w:val="FootnoteReference"/>
          <w:sz w:val="20"/>
          <w:szCs w:val="20"/>
          <w:vertAlign w:val="superscript"/>
          <w:rtl w:val="0"/>
          <w:cs w:val="0"/>
          <w:lang w:val="en-US"/>
        </w:rPr>
        <w:footnoteReference w:id="53"/>
      </w:r>
      <w:r>
        <w:rPr>
          <w:rFonts w:ascii="Times New Roman" w:hAnsi="Times New Roman" w:hint="cs"/>
          <w:lang w:bidi="fa-IR"/>
          <w:rtl/>
        </w:rPr>
        <w:t>، ۲۰۲۳؛ گولد</w:t>
      </w:r>
      <w:r>
        <w:rPr>
          <w:rFonts w:ascii="Times New Roman" w:hAnsi="Times New Roman" w:eastAsia="Times New Roman" w:cs="Times New Roman"/>
          <w:rStyle w:val="FootnoteReference"/>
          <w:sz w:val="20"/>
          <w:szCs w:val="20"/>
          <w:vertAlign w:val="superscript"/>
          <w:rtl w:val="0"/>
          <w:cs w:val="0"/>
          <w:lang w:val="en-US"/>
        </w:rPr>
        <w:footnoteReference w:id="64"/>
      </w:r>
      <w:r>
        <w:rPr>
          <w:rFonts w:ascii="Times New Roman" w:hAnsi="Times New Roman" w:hint="cs"/>
          <w:lang w:bidi="fa-IR"/>
          <w:rtl/>
        </w:rPr>
        <w:t xml:space="preserve"> و همکاران، ۲۰۲۲؛ انجمن روان‌شناسی آمریکا</w:t>
      </w:r>
      <w:r>
        <w:rPr>
          <w:rFonts w:ascii="Times New Roman" w:hAnsi="Times New Roman" w:eastAsia="Times New Roman" w:cs="Times New Roman"/>
          <w:rStyle w:val="FootnoteReference"/>
          <w:sz w:val="20"/>
          <w:szCs w:val="20"/>
          <w:vertAlign w:val="superscript"/>
          <w:rtl w:val="0"/>
          <w:cs w:val="0"/>
          <w:lang w:val="en-US"/>
        </w:rPr>
        <w:footnoteReference w:id="101"/>
      </w:r>
      <w:r>
        <w:rPr>
          <w:rFonts w:ascii="Times New Roman" w:hAnsi="Times New Roman" w:hint="cs"/>
          <w:lang w:bidi="fa-IR"/>
          <w:rtl/>
        </w:rPr>
        <w:t>، ۲۰۲۳؛ بک و هایگ</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hAnsi="Times New Roman" w:hint="cs"/>
          <w:lang w:bidi="fa-IR"/>
          <w:rtl/>
        </w:rPr>
        <w:t>، ۲۰۱۴).</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w:t>
      </w:r>
      <w:r>
        <w:rPr>
          <w:rFonts w:ascii="Times New Roman" w:hAnsi="Times New Roman" w:hint="cs"/>
          <w:lang w:bidi="fa-IR"/>
          <w:rtl/>
        </w:rPr>
        <w:t xml:space="preserve">، بررسی </w:t>
      </w:r>
      <w:r>
        <w:rPr>
          <w:rFonts w:ascii="Times New Roman" w:hAnsi="Times New Roman" w:hint="cs"/>
          <w:lang w:bidi="fa-IR"/>
          <w:rtl/>
        </w:rPr>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eastAsia="Times New Roman" w:cs="Times New Roman"/>
          <w:rStyle w:val="FootnoteReference"/>
          <w:sz w:val="20"/>
          <w:szCs w:val="20"/>
          <w:vertAlign w:val="superscript"/>
          <w:rtl w:val="0"/>
          <w:cs w:val="0"/>
          <w:lang w:val="en-US"/>
        </w:rPr>
        <w:footnoteReference w:id="109"/>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eastAsia="Times New Roman" w:cs="Times New Roman"/>
          <w:rStyle w:val="FootnoteReference"/>
          <w:sz w:val="20"/>
          <w:szCs w:val="20"/>
          <w:vertAlign w:val="superscript"/>
          <w:rtl w:val="0"/>
          <w:cs w:val="0"/>
          <w:lang w:val="en-US"/>
        </w:rPr>
        <w:footnoteReference w:id="110"/>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48"/>
      </w:r>
    </w:p>
    <w:p>
      <w:pPr>
        <w:spacing w:after="0" w:line="276" w:lineRule="auto"/>
        <w:ind w:firstLine="397"/>
        <w:jc w:val="both"/>
        <w:rPr>
          <w:rFonts w:ascii="Times New Roman" w:hAnsi="Times New Roman"/>
          <w:lang w:bidi="fa-IR"/>
        </w:rPr>
      </w:pPr>
      <w:r>
        <w:rPr>
          <w:rFonts w:ascii="Times New Roman" w:hAnsi="Times New Roman" w:hint="cs"/>
          <w:lang w:bidi="fa-IR"/>
          <w:rtl/>
        </w:rPr>
        <w:t>نظریه دلبستگی بالبی</w:t>
      </w:r>
      <w:r>
        <w:rPr>
          <w:rFonts w:ascii="Times New Roman" w:hAnsi="Times New Roman" w:eastAsia="Times New Roman" w:cs="Times New Roman"/>
          <w:rStyle w:val="FootnoteReference"/>
          <w:sz w:val="20"/>
          <w:szCs w:val="20"/>
          <w:vertAlign w:val="superscript"/>
          <w:rtl w:val="0"/>
          <w:cs w:val="0"/>
          <w:lang w:val="en-US"/>
        </w:rPr>
        <w:footnoteReference w:id="98"/>
      </w:r>
      <w:r>
        <w:rPr>
          <w:rFonts w:ascii="Times New Roman" w:hAnsi="Times New Roman" w:hint="cs"/>
          <w:lang w:bidi="fa-IR"/>
          <w:rtl/>
        </w:rPr>
        <w:t xml:space="preserve"> نظام دلبستگی را در برابر تهدید فعال می‌داند؛ ابهام درباره بیماری هم می‌تواند همین نظام را برانگیزد. این تبیین برای اضطراب سلامت است و با نقش دلبستگی در تحمل اضطراب مرگ که پیش‌تر آمد یکی گرفته نمی‌شود. دو مسیر ناایمن قابل تمایز است:</w:t>
      </w:r>
    </w:p>
    <w:p>
      <w:pPr>
        <w:spacing w:after="0" w:line="276" w:lineRule="auto"/>
        <w:ind w:firstLine="397"/>
        <w:jc w:val="both"/>
        <w:rPr>
          <w:rFonts w:ascii="Times New Roman" w:hAnsi="Times New Roman"/>
          <w:lang w:bidi="fa-IR"/>
        </w:rPr>
      </w:pPr>
      <w:r>
        <w:rPr>
          <w:rFonts w:ascii="Times New Roman" w:hAnsi="Times New Roman" w:hint="cs"/>
          <w:lang w:bidi="fa-IR"/>
          <w:rtl/>
        </w:rPr>
        <w:t>۱- مسیر اضطرابی با بیش‌فعال‌سازی همراه است: فرد در ابهام بدنی به مراقبت‌طلبی و اطمینان‌خواهی از نزدیکان و پزشک روی می‌آورد و حمایت را غالباً ناکافی می‌بیند؛</w:t>
      </w:r>
    </w:p>
    <w:p>
      <w:pPr>
        <w:spacing w:after="0" w:line="276" w:lineRule="auto"/>
        <w:ind w:firstLine="397"/>
        <w:jc w:val="both"/>
        <w:rPr>
          <w:rFonts w:ascii="Times New Roman" w:hAnsi="Times New Roman"/>
          <w:lang w:bidi="fa-IR"/>
        </w:rPr>
      </w:pPr>
      <w:r>
        <w:rPr>
          <w:rFonts w:ascii="Times New Roman" w:hAnsi="Times New Roman" w:hint="cs"/>
          <w:lang w:bidi="fa-IR"/>
          <w:rtl/>
        </w:rPr>
        <w:t>۲- مسیر اجتنابی با غیرفعال‌سازی نیاز به نزدیکی همراه است: کمک‌طلبی به تأخیر می‌افتد، ناراحتی انکار می‌شود یا نگرانی بیشتر به‌صورت شکایت بدنی دیده می‌شود تا درخواست آشکار مراقبت.</w:t>
      </w:r>
    </w:p>
    <w:p>
      <w:pPr>
        <w:spacing w:after="0" w:line="276" w:lineRule="auto"/>
        <w:ind w:firstLine="397"/>
        <w:jc w:val="both"/>
        <w:rPr>
          <w:rFonts w:ascii="Times New Roman" w:hAnsi="Times New Roman"/>
          <w:lang w:bidi="fa-IR"/>
        </w:rPr>
      </w:pPr>
      <w:r>
        <w:rPr>
          <w:rFonts w:ascii="Times New Roman" w:hAnsi="Times New Roman" w:hint="cs"/>
          <w:lang w:bidi="fa-IR"/>
          <w:rtl/>
        </w:rPr>
        <w:t>مدل بین‌فردی خودبیمارانگاری که استوارت</w:t>
      </w:r>
      <w:r>
        <w:rPr>
          <w:rFonts w:ascii="Times New Roman" w:hAnsi="Times New Roman" w:eastAsia="Times New Roman" w:cs="Times New Roman"/>
          <w:rStyle w:val="FootnoteReference"/>
          <w:sz w:val="20"/>
          <w:szCs w:val="20"/>
          <w:vertAlign w:val="superscript"/>
          <w:rtl w:val="0"/>
          <w:cs w:val="0"/>
          <w:lang w:val="en-US"/>
        </w:rPr>
        <w:footnoteReference w:id="108"/>
      </w:r>
      <w:r>
        <w:rPr>
          <w:rFonts w:ascii="Times New Roman" w:hAnsi="Times New Roman" w:hint="cs"/>
          <w:lang w:bidi="fa-IR"/>
          <w:rtl/>
        </w:rPr>
        <w:t xml:space="preserve"> و نویز</w:t>
      </w:r>
      <w:r>
        <w:rPr>
          <w:rFonts w:ascii="Times New Roman" w:hAnsi="Times New Roman" w:eastAsia="Times New Roman" w:cs="Times New Roman"/>
          <w:rStyle w:val="FootnoteReference"/>
          <w:sz w:val="20"/>
          <w:szCs w:val="20"/>
          <w:vertAlign w:val="superscript"/>
          <w:rtl w:val="0"/>
          <w:cs w:val="0"/>
          <w:lang w:val="en-US"/>
        </w:rPr>
        <w:footnoteReference w:id="78"/>
      </w:r>
      <w:r>
        <w:rPr>
          <w:rFonts w:ascii="Times New Roman" w:hAnsi="Times New Roman" w:hint="cs"/>
          <w:lang w:bidi="fa-IR"/>
          <w:rtl/>
        </w:rPr>
        <w:t xml:space="preserve"> صورت‌بندی کردند، شکایت از بیماری را نوعی ارتباط مراقبت‌طلب می‌داند. اطمینان‌خواهی مکرر در درازمدت به ادراک طرد از دیگران ــ حتی پزشک ــ می‌انجامد و نگرانی را دوباره بالا می‌برد. در بیماران مراقبت اولیه، نشانه‌های خودبیمارانگاری با دلبستگی ناایمن، به‌ویژه سبک ترسناک، و با نارضایتی از رابطهٔ درمانی همبسته بود (استوارت و نویز، ۱۹۹۹؛ نویز و همکاران، ۲۰۰۳).</w:t>
      </w:r>
    </w:p>
    <w:p>
      <w:pPr>
        <w:spacing w:after="0" w:line="276" w:lineRule="auto"/>
        <w:ind w:firstLine="397"/>
        <w:jc w:val="both"/>
        <w:rPr>
          <w:rFonts w:ascii="Times New Roman" w:hAnsi="Times New Roman"/>
          <w:lang w:bidi="fa-IR"/>
        </w:rPr>
      </w:pPr>
      <w:r>
        <w:rPr>
          <w:rFonts w:ascii="Times New Roman" w:hAnsi="Times New Roman" w:hint="cs"/>
          <w:lang w:bidi="fa-IR"/>
          <w:rtl/>
        </w:rPr>
        <w:t>سالمندی که همسرش را از دست داده، ممکن است پزشک درمانگاه را تنها مأمن بداند و با هر تپش یا درد مبهم به او زنگ بزند. دیگری شاید همان درد را هفته‌ها برای فرزندش نگوید تا «سربار» نشود. اولی مسیر اضطرابی است؛ دومی اجتنابی. کارکرد بین‌فردی اطمینان‌خواهی مراقبت‌طلبی است و با تبیین شناختی ـ رفتاری آن به‌عنوان رفتار ایمنی‌بخش جمع‌پذیر است (استوارت و نویز، ۱۹۹۹؛ نویز و همکاران، ۲۰۰۳).</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50"/>
      </w:r>
    </w:p>
    <w:p>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t xml:space="preserve">سطوح بالاتر اضطراب سلامت در سالمندان ارتباط دارد؛ </w:t>
      </w:r>
      <w:r>
        <w:rPr>
          <w:rFonts w:ascii="Times New Roman" w:hAnsi="Times New Roman" w:hint="cs"/>
          <w:lang w:bidi="fa-IR"/>
          <w:rtl/>
        </w:rPr>
        <w:t xml:space="preserve">،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w:t>
      </w:r>
      <w:r>
        <w:rPr>
          <w:rFonts w:ascii="Times New Roman" w:hAnsi="Times New Roman" w:hint="cs"/>
          <w:lang w:bidi="fa-IR"/>
          <w:rtl/>
        </w:rPr>
        <w:t xml:space="preserve"> </w:t>
      </w:r>
      <w:r>
        <w:rPr>
          <w:rFonts w:ascii="Times New Roman" w:hAnsi="Times New Roman" w:hint="cs"/>
          <w:lang w:bidi="fa-IR"/>
          <w:rtl/>
        </w:rPr>
        <w:t xml:space="preserve">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w:t>
      </w:r>
      <w:r>
        <w:rPr>
          <w:rFonts w:ascii="Times New Roman" w:hAnsi="Times New Roman" w:hint="cs"/>
          <w:lang w:bidi="fa-IR"/>
          <w:rtl/>
        </w:rPr>
        <w:t xml:space="preserve">،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w:t>
      </w:r>
      <w:r>
        <w:rPr>
          <w:rFonts w:ascii="Times New Roman" w:hAnsi="Times New Roman" w:hint="cs"/>
          <w:lang w:bidi="fa-IR"/>
          <w:rtl/>
        </w:rPr>
        <w:t xml:space="preserve">،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53"/>
      </w:r>
      <w:r>
        <w:rPr>
          <w:rStyle w:val="FootnoteReference"/>
          <w:rFonts w:hint="cs" w:ascii="Times New Roman" w:hAnsi="Times New Roman" w:eastAsia="Times New Roman" w:cs="Times New Roman"/>
          <w:sz w:val="20"/>
          <w:szCs w:val="20"/>
          <w:vertAlign w:val="superscript"/>
          <w:lang w:val="en-US"/>
          <w:rtl w:val="0"/>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w:t>
      </w:r>
      <w:r>
        <w:rPr>
          <w:rFonts w:ascii="Times New Roman" w:hAnsi="Times New Roman" w:hint="cs"/>
          <w:lang w:bidi="fa-IR"/>
          <w:rtl/>
        </w:rPr>
        <w:t xml:space="preserve">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49"/>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58"/>
      </w:r>
      <w:r>
        <w:rPr>
          <w:rFonts w:ascii="Times New Roman" w:hAnsi="Times New Roman" w:hint="cs"/>
          <w:lang w:bidi="fa-IR"/>
          <w:rtl/>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60"/>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62"/>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64"/>
      </w:r>
      <w:r>
        <w:rPr>
          <w:rFonts w:ascii="Times New Roman" w:hAnsi="Times New Roman" w:hint="cs"/>
          <w:lang w:bidi="fa-IR"/>
          <w:rtl/>
        </w:rPr>
        <w:t xml:space="preserve"> و همکاران، ۲۰۲۲).</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w:t>
      </w:r>
      <w:r>
        <w:rPr>
          <w:rFonts w:ascii="Times New Roman" w:eastAsia="Times New Roman" w:hAnsi="Times New Roman" w:hint="cs"/>
          <w:lang w:bidi="fa-IR"/>
          <w:rtl/>
        </w:rPr>
        <w:t xml:space="preserve"> </w:t>
      </w:r>
      <w:r>
        <w:rPr>
          <w:rFonts w:ascii="Times New Roman" w:eastAsia="Times New Roman" w:hAnsi="Times New Roman" w:hint="cs"/>
          <w:lang w:bidi="fa-IR"/>
          <w:rtl/>
        </w:rPr>
        <w:t>یافته ها حاکی از این بودند که هوش معنوی به طور مثبتی با سلامت عمومی رابطه دارد.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14:paraId="0DFF80FF"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78" w:name="_Toc238572059"/>
      <w:r>
        <w:rPr>
          <w:rFonts w:ascii="Times New Roman" w:hAnsi="Times New Roman" w:cs="B Titr" w:eastAsia="Times New Roman"/>
          <w:b/>
          <w:bCs/>
          <w:color w:val="000000"/>
          <w:sz w:val="56"/>
          <w:szCs w:val="56"/>
          <w:rtl/>
          <w:cs/>
          <w:lang w:bidi="fa-IR"/>
        </w:rPr>
        <w:lastRenderedPageBreak/>
        <w:t>فصل سوم: روش پژوهش</w:t>
      </w:r>
      <w:bookmarkEnd w:id="78"/>
    </w:p>
    <w:p w14:paraId="1E04641F"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9" w:name="_Toc238572060"/>
      <w:r>
        <w:rPr>
          <w:rFonts w:ascii="Times New Roman" w:hAnsi="Times New Roman" w:cs="B Titr" w:eastAsia="Times New Roman"/>
          <w:b/>
          <w:bCs/>
          <w:color w:val="000000"/>
          <w:sz w:val="30"/>
          <w:szCs w:val="30"/>
          <w:rtl/>
          <w:cs/>
          <w:lang w:bidi="fa-IR"/>
        </w:rPr>
        <w:lastRenderedPageBreak/>
        <w:t>۳-۱- طرح پژوهش</w:t>
      </w:r>
      <w:bookmarkEnd w:id="79"/>
    </w:p>
    <w:p w14:paraId="2981B68E" w14:textId="77777777">
      <w:pPr>
        <w:spacing w:after="0" w:line="276" w:lineRule="auto"/>
        <w:ind w:firstLine="397"/>
        <w:jc w:val="both"/>
        <w:rPr>
          <w:color w:val="auto"/>
          <w:lang w:bidi="fa-IR"/>
        </w:rPr>
      </w:pPr>
      <w:r>
        <w:rPr>
          <w:rFonts w:ascii="Times New Roman" w:hAnsi="Times New Roman" w:hint="cs"/>
          <w:lang w:bidi="fa-IR"/>
          <w:rtl/>
        </w:rPr>
        <w:t xml:space="preserve">پژوهش حاضر با توجه به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۳-۲- جامعه، نمونه و روش نمونه‌گیری</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Fonts w:ascii="Times New Roman" w:eastAsia="Times New Roman" w:hAnsi="Times New Roman" w:hint="cs" w:cs="Times New Roman"/>
          <w:vertAlign w:val="superscript"/>
          <w:lang w:bidi="fa-IR" w:val="en-US"/>
          <w:sz w:val="20"/>
          <w:szCs w:val="20"/>
          <w:rtl w:val="0"/>
        </w:rPr>
        <w:footnoteReference w:id="81"/>
      </w:r>
      <w:r>
        <w:rPr>
          <w:rFonts w:ascii="Times New Roman" w:eastAsia="Times New Roman" w:hAnsi="Times New Roman" w:hint="cs"/>
          <w:lang w:bidi="fa-IR"/>
          <w:rtl/>
        </w:rPr>
        <w:t xml:space="preserve"> و مورگان ۱۹۷۰ استفاده شد. بر اساس این جدول و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حجم جامعه آماری ۱۰۰ نفر، حجم نمونه ۸۰ نفر به روش نمونه گیری در دسترس در نظر گرفته شد.</w:t>
      </w:r>
    </w:p>
    <w:p w14:paraId="607D4DDA"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81" w:name="_Toc238572062"/>
      <w:r>
        <w:rPr>
          <w:rFonts w:ascii="Times New Roman" w:hAnsi="Times New Roman" w:cs="B Titr" w:eastAsia="Times New Roman"/>
          <w:b/>
          <w:bCs/>
          <w:color w:val="000000"/>
          <w:sz w:val="30"/>
          <w:szCs w:val="30"/>
          <w:rtl/>
          <w:cs/>
          <w:lang w:bidi="fa-IR"/>
        </w:rPr>
        <w:t>۳-۳- ابزار پژوهش</w:t>
      </w:r>
      <w:bookmarkEnd w:id="81"/>
    </w:p>
    <w:p w14:paraId="42209556" w14:textId="77777777">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82" w:name="_Toc238572063"/>
      <w:r>
        <w:rPr>
          <w:rFonts w:ascii="Times New Roman" w:hAnsi="Times New Roman" w:cs="B Titr" w:eastAsia="Times New Roman"/>
          <w:b/>
          <w:bCs/>
          <w:color w:val="000000"/>
          <w:sz w:val="30"/>
          <w:szCs w:val="30"/>
          <w:rtl/>
          <w:cs/>
          <w:lang w:bidi="fa-IR"/>
        </w:rPr>
        <w:t>۳-۳-۱- پرسشنامه هوش معنوی کینگ:</w:t>
      </w:r>
      <w:bookmarkEnd w:id="82"/>
    </w:p>
    <w:p>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همچنین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w:t>
      </w:r>
      <w:r>
        <w:rPr>
          <w:rFonts w:ascii="Times New Roman" w:hAnsi="Times New Roman" w:hint="cs"/>
          <w:lang w:bidi="fa-IR"/>
          <w:rtl/>
        </w:rPr>
        <w:t xml:space="preserve"> </w:t>
      </w:r>
      <w:r>
        <w:rPr>
          <w:rFonts w:ascii="Times New Roman" w:hAnsi="Times New Roman" w:hint="cs"/>
          <w:lang w:bidi="fa-IR"/>
          <w:rtl/>
        </w:rPr>
        <w:t xml:space="preserve">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۳-۳-۲- پرسشنامه اضطراب مرگ (DAS)</w:t>
      </w:r>
    </w:p>
    <w:p w14:paraId="5A9676E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val="en-US"/>
          <w:sz w:val="20"/>
          <w:szCs w:val="20"/>
          <w:vertAlign w:val="superscript"/>
          <w:rtl w:val="0"/>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۳-۳-۳- پرسشنامه اضطراب سلامتی (HAI)</w:t>
      </w:r>
    </w:p>
    <w:p w14:paraId="228F810E"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val="en-US"/>
          <w:sz w:val="20"/>
          <w:szCs w:val="20"/>
          <w:vertAlign w:val="superscript"/>
          <w:rtl w:val="0"/>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85" w:name="_Toc107794912"/>
      <w:bookmarkStart w:id="86" w:name="_Toc238572066"/>
      <w:r>
        <w:rPr>
          <w:rFonts w:ascii="Times New Roman" w:hAnsi="Times New Roman" w:cs="B Titr" w:eastAsia="Times New Roman"/>
          <w:b/>
          <w:bCs/>
          <w:color w:val="000000"/>
          <w:sz w:val="30"/>
          <w:szCs w:val="30"/>
          <w:rtl/>
          <w:cs/>
          <w:lang w:bidi="fa-IR"/>
        </w:rPr>
        <w:t xml:space="preserve">۳-۴- روش اجرای پژوهش</w:t>
      </w:r>
      <w:bookmarkEnd w:id="85"/>
      <w:bookmarkEnd w:id="86"/>
    </w:p>
    <w:p w14:paraId="766EA293" w14:textId="13CE6418">
      <w:pPr>
        <w:spacing w:after="0" w:line="276" w:lineRule="auto"/>
        <w:ind w:firstLine="397"/>
        <w:jc w:val="both"/>
        <w:rPr>
          <w:color w:val="auto"/>
          <w:lang w:bidi="fa-IR"/>
        </w:rPr>
      </w:pPr>
      <w:bookmarkStart w:id="87" w:name="_Toc107794913"/>
      <w:r>
        <w:rPr>
          <w:rFonts w:ascii="Times New Roman" w:hAnsi="Times New Roman" w:hint="cs"/>
          <w:lang w:bidi="fa-IR"/>
          <w:rtl/>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lastRenderedPageBreak/>
        <w:t xml:space="preserve"/>
      </w:r>
    </w:p>
    <w:p w14:paraId="0D5FE1E8"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88" w:name="_Toc238572067"/>
      <w:r>
        <w:rPr>
          <w:rFonts w:ascii="Times New Roman" w:hAnsi="Times New Roman" w:cs="B Titr" w:eastAsia="Times New Roman"/>
          <w:b/>
          <w:bCs/>
          <w:color w:val="000000"/>
          <w:sz w:val="30"/>
          <w:szCs w:val="30"/>
          <w:rtl/>
          <w:cs/>
          <w:lang w:bidi="fa-IR"/>
        </w:rPr>
        <w:t xml:space="preserve">۳-۵- روش تجزیه و تحلیل داده‌ها</w:t>
      </w:r>
      <w:bookmarkEnd w:id="87"/>
      <w:bookmarkEnd w:id="88"/>
    </w:p>
    <w:p w14:paraId="326A488A"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(با توجه به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89" w:name="_Toc238572068"/>
      <w:r>
        <w:rPr>
          <w:rFonts w:ascii="Times New Roman" w:hAnsi="Times New Roman" w:cs="B Titr" w:eastAsia="Times New Roman"/>
          <w:b/>
          <w:bCs/>
          <w:color w:val="000000"/>
          <w:sz w:val="56"/>
          <w:szCs w:val="56"/>
          <w:rtl/>
          <w:cs/>
          <w:lang w:bidi="fa-IR"/>
        </w:rPr>
        <w:lastRenderedPageBreak/>
        <w:t>فصل چهارم: تجزیه و تحلیل داده ها</w:t>
      </w:r>
      <w:bookmarkEnd w:id="89"/>
    </w:p>
    <w:p w14:paraId="33866655" w14:textId="77777777">
      <w:pPr>
        <w:pageBreakBefore/>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۴-۱- یافته‌های توصیفی</w:t>
      </w:r>
    </w:p>
    <w:p w14:paraId="03618880" w14:textId="77777777">
      <w:pPr>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1" w:name="_Toc106471882"/>
      <w:bookmarkStart w:id="92" w:name="_Toc238572104"/>
      <w:bookmarkEnd w:id="91"/>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t>۱</w:t>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شاخص‌های</w:t>
      </w:r>
      <w:r>
        <w:rPr>
          <w:rFonts w:cs="B Lotus" w:ascii="Times New Roman" w:hAnsi="Times New Roman" w:eastAsia="Times New Roman"/>
          <w:b/>
          <w:bCs/>
          <w:color w:val="000000"/>
          <w:sz w:val="24"/>
          <w:szCs w:val="24"/>
          <w:rtl/>
          <w:cs/>
          <w:lang w:bidi="fa-IR"/>
        </w:rPr>
        <w:t xml:space="preserve"> توصیفی مربوط به جنسیت</w:t>
      </w:r>
      <w:bookmarkEnd w:id="9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15"/>
        <w:gridCol w:w="2998"/>
        <w:gridCol w:w="2675"/>
      </w:tblGrid>
      <w:tr w14:paraId="5DCE24E9" w14:textId="77777777">
        <w:trPr>
          <w:cantSplit/>
          <w:tblHeader/>
          <w:jc w:val="center"/>
        </w:trPr>
        <w:tc>
          <w:tcPr>
            <w:tcW w:w="1772" w:type="pct"/>
            <w:vAlign w:val="center"/>
            <w:hideMark/>
            <w:shd w:val="clear" w:color="auto" w:fill="E2EFD9"/>
          </w:tcPr>
          <w:p w14:paraId="513FF7F8"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جنسیت</w:t>
            </w:r>
          </w:p>
        </w:tc>
        <w:tc>
          <w:tcPr>
            <w:tcW w:w="1706" w:type="pct"/>
            <w:vAlign w:val="center"/>
            <w:hideMark/>
            <w:shd w:val="clear" w:color="auto" w:fill="E2EFD9"/>
          </w:tcPr>
          <w:p w14:paraId="1E18B30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فراوانی</w:t>
            </w:r>
          </w:p>
        </w:tc>
        <w:tc>
          <w:tcPr>
            <w:tcW w:w="1522" w:type="pct"/>
            <w:vAlign w:val="center"/>
            <w:hideMark/>
            <w:shd w:val="clear" w:color="auto" w:fill="E2EFD9"/>
          </w:tcPr>
          <w:p w14:paraId="34989D0F"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درصد</w:t>
            </w:r>
          </w:p>
        </w:tc>
      </w:tr>
      <w:tr w14:paraId="6BA78506" w14:textId="77777777">
        <w:trPr>
          <w:cantSplit/>
          <w:jc w:val="center"/>
        </w:trPr>
        <w:tc>
          <w:tcPr>
            <w:tcW w:w="1772" w:type="pct"/>
            <w:shd w:val="clear" w:color="auto" w:fill="E6EED5"/>
            <w:vAlign w:val="center"/>
            <w:hideMark/>
          </w:tcPr>
          <w:p w14:paraId="486ADE07"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زن</w:t>
            </w:r>
          </w:p>
        </w:tc>
        <w:tc>
          <w:tcPr>
            <w:tcW w:w="1706" w:type="pct"/>
            <w:shd w:val="clear" w:color="auto" w:fill="E6EED5"/>
            <w:vAlign w:val="center"/>
            <w:hideMark/>
          </w:tcPr>
          <w:p w14:paraId="46D49526"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۴۷</w:t>
            </w:r>
          </w:p>
        </w:tc>
        <w:tc>
          <w:tcPr>
            <w:tcW w:w="1522" w:type="pct"/>
            <w:shd w:val="clear" w:color="auto" w:fill="E6EED5"/>
            <w:vAlign w:val="center"/>
            <w:hideMark/>
          </w:tcPr>
          <w:p w14:paraId="646AAE2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۸/۵۸</w:t>
            </w:r>
          </w:p>
        </w:tc>
      </w:tr>
      <w:tr w14:paraId="7E5099C6" w14:textId="77777777">
        <w:trPr>
          <w:cantSplit/>
          <w:jc w:val="center"/>
        </w:trPr>
        <w:tc>
          <w:tcPr>
            <w:tcW w:w="1772" w:type="pct"/>
            <w:vAlign w:val="center"/>
            <w:hideMark/>
          </w:tcPr>
          <w:p w14:paraId="14A7313E"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۲/۴۱</w:t>
            </w:r>
          </w:p>
        </w:tc>
      </w:tr>
      <w:tr w14:paraId="555E068E" w14:textId="77777777">
        <w:trPr>
          <w:cantSplit/>
          <w:jc w:val="center"/>
        </w:trPr>
        <w:tc>
          <w:tcPr>
            <w:tcW w:w="1772" w:type="pct"/>
            <w:shd w:val="clear" w:color="auto" w:fill="E6EED5"/>
            <w:vAlign w:val="center"/>
            <w:hideMark/>
          </w:tcPr>
          <w:p w14:paraId="752847A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کل</w:t>
            </w:r>
          </w:p>
        </w:tc>
        <w:tc>
          <w:tcPr>
            <w:tcW w:w="1706" w:type="pct"/>
            <w:shd w:val="clear" w:color="auto" w:fill="E6EED5"/>
            <w:vAlign w:val="center"/>
            <w:hideMark/>
          </w:tcPr>
          <w:p w14:paraId="25519BE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522" w:type="pct"/>
            <w:shd w:val="clear" w:color="auto" w:fill="E6EED5"/>
            <w:vAlign w:val="center"/>
            <w:hideMark/>
          </w:tcPr>
          <w:p w14:paraId="46D786D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132E64DC"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3" w:name="_Toc106471883"/>
      <w:bookmarkStart w:id="94" w:name="_Toc238572105"/>
      <w:bookmarkEnd w:id="93"/>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۲</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شاخص‌های</w:t>
      </w:r>
      <w:r>
        <w:rPr>
          <w:rFonts w:cs="B Lotus" w:ascii="Times New Roman" w:hAnsi="Times New Roman" w:eastAsia="Times New Roman"/>
          <w:b/>
          <w:bCs/>
          <w:color w:val="000000"/>
          <w:sz w:val="24"/>
          <w:szCs w:val="24"/>
          <w:rtl/>
          <w:cs/>
          <w:lang w:bidi="fa-IR"/>
        </w:rPr>
        <w:t xml:space="preserve"> توصیفی مربوط به وضعیت تأهل</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59"/>
        <w:gridCol w:w="2747"/>
        <w:gridCol w:w="2882"/>
      </w:tblGrid>
      <w:tr w14:paraId="1B2AB20D" w14:textId="77777777">
        <w:trPr>
          <w:cantSplit/>
          <w:tblHeader/>
          <w:jc w:val="center"/>
        </w:trPr>
        <w:tc>
          <w:tcPr>
            <w:tcW w:w="1797" w:type="pct"/>
            <w:vAlign w:val="center"/>
            <w:hideMark/>
            <w:shd w:val="clear" w:color="auto" w:fill="E2EFD9"/>
          </w:tcPr>
          <w:p w14:paraId="2BD1AF3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وضعیت تأهل</w:t>
            </w:r>
          </w:p>
        </w:tc>
        <w:tc>
          <w:tcPr>
            <w:tcW w:w="1563" w:type="pct"/>
            <w:vAlign w:val="center"/>
            <w:hideMark/>
            <w:shd w:val="clear" w:color="auto" w:fill="E2EFD9"/>
          </w:tcPr>
          <w:p w14:paraId="263A8ACC"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1641" w:type="pct"/>
            <w:vAlign w:val="center"/>
            <w:hideMark/>
            <w:shd w:val="clear" w:color="auto" w:fill="E2EFD9"/>
          </w:tcPr>
          <w:p w14:paraId="2EEB7D17"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55F60505" w14:textId="77777777">
        <w:trPr>
          <w:cantSplit/>
          <w:jc w:val="center"/>
        </w:trPr>
        <w:tc>
          <w:tcPr>
            <w:tcW w:w="1797" w:type="pct"/>
            <w:shd w:val="clear" w:color="auto" w:fill="E6EED5"/>
            <w:vAlign w:val="center"/>
            <w:hideMark/>
          </w:tcPr>
          <w:p w14:paraId="4FFD5644"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مجرد</w:t>
            </w:r>
          </w:p>
        </w:tc>
        <w:tc>
          <w:tcPr>
            <w:tcW w:w="1563" w:type="pct"/>
            <w:shd w:val="clear" w:color="auto" w:fill="E6EED5"/>
            <w:vAlign w:val="center"/>
            <w:hideMark/>
          </w:tcPr>
          <w:p w14:paraId="44E35BB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w:t>
            </w:r>
          </w:p>
        </w:tc>
        <w:tc>
          <w:tcPr>
            <w:tcW w:w="1641" w:type="pct"/>
            <w:shd w:val="clear" w:color="auto" w:fill="E6EED5"/>
            <w:vAlign w:val="center"/>
            <w:hideMark/>
          </w:tcPr>
          <w:p w14:paraId="6142AD0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۵/۵۷</w:t>
            </w:r>
          </w:p>
        </w:tc>
      </w:tr>
      <w:tr w14:paraId="7E98FE91" w14:textId="77777777">
        <w:trPr>
          <w:cantSplit/>
          <w:jc w:val="center"/>
        </w:trPr>
        <w:tc>
          <w:tcPr>
            <w:tcW w:w="1797" w:type="pct"/>
            <w:shd w:val="clear" w:color="auto" w:fill="E6EED5"/>
            <w:vAlign w:val="center"/>
            <w:hideMark/>
          </w:tcPr>
          <w:p w14:paraId="3C24F22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جدا شده</w:t>
            </w:r>
          </w:p>
        </w:tc>
        <w:tc>
          <w:tcPr>
            <w:tcW w:w="1563" w:type="pct"/>
            <w:shd w:val="clear" w:color="auto" w:fill="E6EED5"/>
            <w:vAlign w:val="center"/>
            <w:hideMark/>
          </w:tcPr>
          <w:p w14:paraId="70697815"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۲۶</w:t>
            </w:r>
          </w:p>
        </w:tc>
        <w:tc>
          <w:tcPr>
            <w:tcW w:w="1641" w:type="pct"/>
            <w:shd w:val="clear" w:color="auto" w:fill="E6EED5"/>
            <w:vAlign w:val="center"/>
            <w:hideMark/>
          </w:tcPr>
          <w:p w14:paraId="1930C241"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۵/۳۲</w:t>
            </w:r>
          </w:p>
        </w:tc>
      </w:tr>
      <w:tr w14:paraId="300A0D59" w14:textId="77777777">
        <w:trPr>
          <w:cantSplit/>
          <w:jc w:val="center"/>
        </w:trPr>
        <w:tc>
          <w:tcPr>
            <w:tcW w:w="1797" w:type="pct"/>
            <w:vAlign w:val="center"/>
          </w:tcPr>
          <w:p w14:paraId="4E6B0167" w14:textId="77777777">
            <w:pPr>
              <w:bidi/>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1563" w:type="pct"/>
            <w:vAlign w:val="center"/>
          </w:tcPr>
          <w:p w14:paraId="7A21A8A7"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641" w:type="pct"/>
            <w:vAlign w:val="center"/>
          </w:tcPr>
          <w:p w14:paraId="784FFF82"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0CAED133"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5" w:name="_Toc238572106"/>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۳</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فراوانی و درصد شرکت </w:t>
      </w:r>
      <w:r>
        <w:rPr>
          <w:rFonts w:cs="B Lotus" w:ascii="Times New Roman" w:hAnsi="Times New Roman" w:eastAsia="Times New Roman"/>
          <w:b/>
          <w:bCs/>
          <w:color w:val="000000"/>
          <w:sz w:val="24"/>
          <w:szCs w:val="24"/>
          <w:rtl/>
          <w:cs/>
          <w:lang w:bidi="fa-IR"/>
        </w:rPr>
        <w:t>کنندگان</w:t>
      </w:r>
      <w:r>
        <w:rPr>
          <w:rFonts w:cs="B Lotus" w:ascii="Times New Roman" w:hAnsi="Times New Roman" w:eastAsia="Times New Roman"/>
          <w:b/>
          <w:bCs/>
          <w:color w:val="000000"/>
          <w:sz w:val="24"/>
          <w:szCs w:val="24"/>
          <w:rtl/>
          <w:cs/>
          <w:lang w:bidi="fa-IR"/>
        </w:rPr>
        <w:t xml:space="preserve"> براساس میزان تحصیلات</w:t>
      </w:r>
      <w:bookmarkEnd w:id="9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082"/>
        <w:gridCol w:w="2739"/>
        <w:gridCol w:w="2967"/>
      </w:tblGrid>
      <w:tr w14:paraId="6D64298A" w14:textId="77777777">
        <w:trPr>
          <w:cantSplit/>
          <w:tblHeader/>
          <w:jc w:val="center"/>
        </w:trPr>
        <w:tc>
          <w:tcPr>
            <w:tcW w:w="2430" w:type="dxa"/>
            <w:vAlign w:val="center"/>
            <w:hideMark/>
            <w:shd w:val="clear" w:color="auto" w:fill="E2EFD9"/>
          </w:tcPr>
          <w:p w14:paraId="299C380B"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تحصیلات</w:t>
            </w:r>
          </w:p>
        </w:tc>
        <w:tc>
          <w:tcPr>
            <w:tcW w:w="2160" w:type="dxa"/>
            <w:vAlign w:val="center"/>
            <w:hideMark/>
            <w:shd w:val="clear" w:color="auto" w:fill="E2EFD9"/>
          </w:tcPr>
          <w:p w14:paraId="691EBF6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2340" w:type="dxa"/>
            <w:vAlign w:val="center"/>
            <w:hideMark/>
            <w:shd w:val="clear" w:color="auto" w:fill="E2EFD9"/>
          </w:tcPr>
          <w:p w14:paraId="5BA1E89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49821D92" w14:textId="77777777">
        <w:trPr>
          <w:cantSplit/>
          <w:jc w:val="center"/>
        </w:trPr>
        <w:tc>
          <w:tcPr>
            <w:tcW w:w="2430" w:type="dxa"/>
            <w:vAlign w:val="center"/>
            <w:hideMark/>
          </w:tcPr>
          <w:p w14:paraId="369A80AE"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زیر دیپلم</w:t>
            </w:r>
          </w:p>
        </w:tc>
        <w:tc>
          <w:tcPr>
            <w:tcW w:w="2160" w:type="dxa"/>
            <w:vAlign w:val="center"/>
            <w:hideMark/>
          </w:tcPr>
          <w:p w14:paraId="60475C4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۱۸</w:t>
            </w:r>
          </w:p>
        </w:tc>
        <w:tc>
          <w:tcPr>
            <w:tcW w:w="2340" w:type="dxa"/>
            <w:vAlign w:val="center"/>
            <w:hideMark/>
          </w:tcPr>
          <w:p w14:paraId="2CAB7A5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۵/۲۲</w:t>
            </w:r>
          </w:p>
        </w:tc>
      </w:tr>
      <w:tr w14:paraId="6D001BEA" w14:textId="77777777">
        <w:trPr>
          <w:cantSplit/>
          <w:jc w:val="center"/>
        </w:trPr>
        <w:tc>
          <w:tcPr>
            <w:tcW w:w="2430" w:type="dxa"/>
            <w:vAlign w:val="center"/>
            <w:hideMark/>
          </w:tcPr>
          <w:p w14:paraId="1FB5577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دیپلم</w:t>
            </w:r>
          </w:p>
        </w:tc>
        <w:tc>
          <w:tcPr>
            <w:tcW w:w="2160" w:type="dxa"/>
            <w:vAlign w:val="center"/>
            <w:hideMark/>
          </w:tcPr>
          <w:p w14:paraId="0AE81EA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۲۱</w:t>
            </w:r>
          </w:p>
        </w:tc>
        <w:tc>
          <w:tcPr>
            <w:tcW w:w="2340" w:type="dxa"/>
            <w:vAlign w:val="center"/>
            <w:hideMark/>
          </w:tcPr>
          <w:p w14:paraId="05ECEB00"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۲/۲۶</w:t>
            </w:r>
          </w:p>
        </w:tc>
      </w:tr>
      <w:tr w14:paraId="643C7ACA" w14:textId="77777777">
        <w:trPr>
          <w:cantSplit/>
          <w:jc w:val="center"/>
        </w:trPr>
        <w:tc>
          <w:tcPr>
            <w:tcW w:w="2430" w:type="dxa"/>
            <w:vAlign w:val="center"/>
            <w:hideMark/>
          </w:tcPr>
          <w:p w14:paraId="383BD3B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کاردانی</w:t>
            </w:r>
          </w:p>
        </w:tc>
        <w:tc>
          <w:tcPr>
            <w:tcW w:w="2160" w:type="dxa"/>
            <w:vAlign w:val="center"/>
            <w:hideMark/>
          </w:tcPr>
          <w:p w14:paraId="6A353EE2"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w:t>
            </w:r>
          </w:p>
        </w:tc>
        <w:tc>
          <w:tcPr>
            <w:tcW w:w="2340" w:type="dxa"/>
            <w:vAlign w:val="center"/>
            <w:hideMark/>
          </w:tcPr>
          <w:p w14:paraId="17BA618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۰/۳۰</w:t>
            </w:r>
          </w:p>
        </w:tc>
      </w:tr>
      <w:tr w14:paraId="3AD34D8C" w14:textId="77777777">
        <w:trPr>
          <w:cantSplit/>
          <w:jc w:val="center"/>
        </w:trPr>
        <w:tc>
          <w:tcPr>
            <w:tcW w:w="2430" w:type="dxa"/>
            <w:vAlign w:val="center"/>
            <w:hideMark/>
          </w:tcPr>
          <w:p w14:paraId="7F3F962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کارشناسی و بالاتر</w:t>
            </w:r>
          </w:p>
        </w:tc>
        <w:tc>
          <w:tcPr>
            <w:tcW w:w="2160" w:type="dxa"/>
            <w:vAlign w:val="center"/>
            <w:hideMark/>
          </w:tcPr>
          <w:p w14:paraId="4570899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۱۷</w:t>
            </w:r>
          </w:p>
        </w:tc>
        <w:tc>
          <w:tcPr>
            <w:tcW w:w="2340" w:type="dxa"/>
            <w:vAlign w:val="center"/>
            <w:hideMark/>
          </w:tcPr>
          <w:p w14:paraId="095C73C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۳/۲۱</w:t>
            </w:r>
          </w:p>
        </w:tc>
      </w:tr>
      <w:tr w14:paraId="712B5413" w14:textId="77777777">
        <w:trPr>
          <w:cantSplit/>
          <w:jc w:val="center"/>
        </w:trPr>
        <w:tc>
          <w:tcPr>
            <w:tcW w:w="2430" w:type="dxa"/>
            <w:vAlign w:val="center"/>
            <w:hideMark/>
          </w:tcPr>
          <w:p w14:paraId="5752D80A"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2160" w:type="dxa"/>
            <w:vAlign w:val="center"/>
            <w:hideMark/>
          </w:tcPr>
          <w:p w14:paraId="2036CBDB"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2340" w:type="dxa"/>
            <w:vAlign w:val="center"/>
            <w:hideMark/>
          </w:tcPr>
          <w:p w14:paraId="71374A5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26455BE8" w14:textId="77777777">
      <w:pPr>
        <w:keepNext/>
        <w:autoSpaceDE/>
        <w:autoSpaceDN/>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7" w:name="_Toc238572107"/>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۴</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شاخص‌های</w:t>
      </w:r>
      <w:r>
        <w:rPr>
          <w:rFonts w:cs="B Lotus" w:ascii="Times New Roman" w:hAnsi="Times New Roman" w:eastAsia="Times New Roman"/>
          <w:b/>
          <w:bCs/>
          <w:color w:val="000000"/>
          <w:sz w:val="24"/>
          <w:szCs w:val="24"/>
          <w:rtl/>
          <w:cs/>
          <w:lang w:bidi="fa-IR"/>
        </w:rPr>
        <w:t xml:space="preserve"> توصیفی مربوط به سن شرکت </w:t>
      </w:r>
      <w:r>
        <w:rPr>
          <w:rFonts w:cs="B Lotus" w:ascii="Times New Roman" w:hAnsi="Times New Roman" w:eastAsia="Times New Roman"/>
          <w:b/>
          <w:bCs/>
          <w:color w:val="000000"/>
          <w:sz w:val="24"/>
          <w:szCs w:val="24"/>
          <w:rtl/>
          <w:cs/>
          <w:lang w:bidi="fa-IR"/>
        </w:rPr>
        <w:t>کنندگان</w:t>
      </w:r>
      <w:r>
        <w:rPr>
          <w:rFonts w:cs="B Lotus" w:ascii="Times New Roman" w:hAnsi="Times New Roman" w:eastAsia="Times New Roman"/>
          <w:b/>
          <w:bCs/>
          <w:color w:val="000000"/>
          <w:sz w:val="24"/>
          <w:szCs w:val="24"/>
          <w:rtl/>
          <w:cs/>
          <w:lang w:bidi="fa-IR"/>
        </w:rPr>
        <w:t xml:space="preserve"> پژوهش</w:t>
      </w:r>
      <w:bookmarkEnd w:id="9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097"/>
        <w:gridCol w:w="2204"/>
        <w:gridCol w:w="2204"/>
        <w:gridCol w:w="1921"/>
        <w:gridCol w:w="1362"/>
      </w:tblGrid>
      <w:tr w14:paraId="11AF531F" w14:textId="77777777">
        <w:trPr>
          <w:cantSplit/>
          <w:tblHeader/>
          <w:jc w:val="center"/>
        </w:trPr>
        <w:tc>
          <w:tcPr>
            <w:tcW w:w="919" w:type="dxa"/>
            <w:vAlign w:val="center"/>
            <w:shd w:val="clear" w:color="auto" w:fill="E2EFD9"/>
          </w:tcPr>
          <w:p w14:paraId="31C8D7B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848" w:type="dxa"/>
            <w:vAlign w:val="center"/>
            <w:shd w:val="clear" w:color="auto" w:fill="E2EFD9"/>
          </w:tcPr>
          <w:p w14:paraId="01078BC7"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میانگین</w:t>
            </w:r>
          </w:p>
        </w:tc>
        <w:tc>
          <w:tcPr>
            <w:tcW w:w="1848" w:type="dxa"/>
            <w:vAlign w:val="center"/>
            <w:shd w:val="clear" w:color="auto" w:fill="E2EFD9"/>
          </w:tcPr>
          <w:p w14:paraId="198A090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انحراف معیار</w:t>
            </w:r>
          </w:p>
        </w:tc>
        <w:tc>
          <w:tcPr>
            <w:tcW w:w="1610" w:type="dxa"/>
            <w:vAlign w:val="center"/>
            <w:shd w:val="clear" w:color="auto" w:fill="E2EFD9"/>
          </w:tcPr>
          <w:p w14:paraId="5F89A3D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کمینه</w:t>
            </w:r>
          </w:p>
        </w:tc>
        <w:tc>
          <w:tcPr>
            <w:tcW w:w="1142" w:type="dxa"/>
            <w:vAlign w:val="center"/>
            <w:shd w:val="clear" w:color="auto" w:fill="E2EFD9"/>
          </w:tcPr>
          <w:p w14:paraId="3E605BD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بیشینه</w:t>
            </w:r>
          </w:p>
        </w:tc>
      </w:tr>
      <w:tr w14:paraId="3EDAF796" w14:textId="77777777">
        <w:trPr>
          <w:cantSplit/>
          <w:jc w:val="center"/>
        </w:trPr>
        <w:tc>
          <w:tcPr>
            <w:tcW w:w="919" w:type="dxa"/>
            <w:shd w:val="clear" w:color="auto" w:fill="E6EED5"/>
            <w:vAlign w:val="center"/>
          </w:tcPr>
          <w:p w14:paraId="0E1478D9"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سن</w:t>
            </w:r>
          </w:p>
        </w:tc>
        <w:tc>
          <w:tcPr>
            <w:tcW w:w="1848" w:type="dxa"/>
            <w:shd w:val="clear" w:color="auto" w:fill="E6EED5"/>
            <w:vAlign w:val="center"/>
          </w:tcPr>
          <w:p w14:paraId="426CD33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۴۸/۷۱</w:t>
            </w:r>
          </w:p>
        </w:tc>
        <w:tc>
          <w:tcPr>
            <w:tcW w:w="1848" w:type="dxa"/>
            <w:shd w:val="clear" w:color="auto" w:fill="E6EED5"/>
            <w:vAlign w:val="center"/>
          </w:tcPr>
          <w:p w14:paraId="63F05353"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۷۲/۶</w:t>
            </w:r>
          </w:p>
        </w:tc>
        <w:tc>
          <w:tcPr>
            <w:tcW w:w="1610" w:type="dxa"/>
            <w:shd w:val="clear" w:color="auto" w:fill="E6EED5"/>
            <w:vAlign w:val="center"/>
          </w:tcPr>
          <w:p w14:paraId="15B98FA4"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۶۱</w:t>
            </w:r>
          </w:p>
        </w:tc>
        <w:tc>
          <w:tcPr>
            <w:tcW w:w="1142" w:type="dxa"/>
            <w:shd w:val="clear" w:color="auto" w:fill="E6EED5"/>
            <w:vAlign w:val="center"/>
          </w:tcPr>
          <w:p w14:paraId="0AC83D0E"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۸۵</w:t>
            </w:r>
          </w:p>
        </w:tc>
      </w:tr>
    </w:tbl>
    <w:p w14:paraId="7159037D" w14:textId="77777777">
      <w:pPr>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13" w:name="_Toc238572108"/>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۵</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شاخص‌های توصیفی متغیرهای پژوهش</w:t>
      </w:r>
      <w:bookmarkEnd w:id="11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1C70A7D8" w14:textId="77777777">
        <w:trPr>
          <w:cantSplit/>
          <w:tblHeader/>
          <w:jc w:val="center"/>
        </w:trPr>
        <w:tc>
          <w:tcPr>
            <w:tcW w:w="1733" w:type="dxa"/>
            <w:vAlign w:val="center"/>
            <w:shd w:val="clear" w:color="auto" w:fill="E2EFD9"/>
          </w:tcPr>
          <w:p w14:paraId="1F08FCE4" w14:textId="77777777">
            <w:pPr>
              <w:bidi/>
              <w:spacing w:after="0" w:line="240" w:lineRule="auto"/>
              <w:jc w:val="right"/>
              <w:rPr>
                <w:b/>
                <w:bCs/>
                <w:color w:val="auto"/>
                <w:lang w:bidi="fa-IR"/>
              </w:rPr>
            </w:pPr>
            <w:bookmarkStart w:id="114" w:name="_Toc238572070"/>
            <w:r>
              <w:rPr>
                <w:rFonts w:ascii="Times New Roman" w:hAnsi="Times New Roman" w:hint="cs"/>
                <w:b/>
                <w:bCs/>
                <w:sz w:val="24"/>
                <w:szCs w:val="24"/>
                <w:lang w:bidi="fa-IR"/>
                <w:rtl/>
              </w:rPr>
              <w:t>متغیر</w:t>
            </w:r>
            <w:bookmarkEnd w:id="114"/>
          </w:p>
        </w:tc>
        <w:tc>
          <w:tcPr>
            <w:tcW w:w="1733" w:type="dxa"/>
            <w:vAlign w:val="center"/>
            <w:shd w:val="clear" w:color="auto" w:fill="E2EFD9"/>
          </w:tcPr>
          <w:p w14:paraId="36DA704D" w14:textId="77777777">
            <w:pPr>
              <w:bidi/>
              <w:spacing w:after="0" w:line="240" w:lineRule="auto"/>
              <w:jc w:val="right"/>
              <w:rPr>
                <w:b/>
                <w:bCs/>
                <w:color w:val="auto"/>
                <w:lang w:bidi="fa-IR"/>
              </w:rPr>
            </w:pPr>
            <w:bookmarkStart w:id="115" w:name="_Toc238572071"/>
            <w:r>
              <w:rPr>
                <w:rFonts w:ascii="Times New Roman" w:hAnsi="Times New Roman" w:hint="cs"/>
                <w:b/>
                <w:bCs/>
                <w:sz w:val="24"/>
                <w:szCs w:val="24"/>
                <w:lang w:bidi="fa-IR"/>
                <w:rtl/>
              </w:rPr>
              <w:t>میانگین</w:t>
            </w:r>
            <w:bookmarkEnd w:id="115"/>
          </w:p>
        </w:tc>
        <w:tc>
          <w:tcPr>
            <w:tcW w:w="1733" w:type="dxa"/>
            <w:vAlign w:val="center"/>
            <w:shd w:val="clear" w:color="auto" w:fill="E2EFD9"/>
          </w:tcPr>
          <w:p w14:paraId="7512F9A9" w14:textId="77777777">
            <w:pPr>
              <w:bidi/>
              <w:spacing w:after="0" w:line="240" w:lineRule="auto"/>
              <w:jc w:val="right"/>
              <w:rPr>
                <w:b/>
                <w:bCs/>
                <w:color w:val="auto"/>
                <w:lang w:bidi="fa-IR"/>
              </w:rPr>
            </w:pPr>
            <w:bookmarkStart w:id="116" w:name="_Toc238572072"/>
            <w:r>
              <w:rPr>
                <w:rFonts w:ascii="Times New Roman" w:hAnsi="Times New Roman" w:hint="cs"/>
                <w:b/>
                <w:bCs/>
                <w:sz w:val="24"/>
                <w:szCs w:val="24"/>
                <w:lang w:bidi="fa-IR"/>
                <w:rtl/>
              </w:rPr>
              <w:t>انحراف معیار</w:t>
            </w:r>
            <w:bookmarkEnd w:id="116"/>
          </w:p>
        </w:tc>
        <w:tc>
          <w:tcPr>
            <w:tcW w:w="1733" w:type="dxa"/>
            <w:vAlign w:val="center"/>
            <w:shd w:val="clear" w:color="auto" w:fill="E2EFD9"/>
          </w:tcPr>
          <w:p w14:paraId="7400B15E" w14:textId="77777777">
            <w:pPr>
              <w:bidi/>
              <w:spacing w:after="0" w:line="240" w:lineRule="auto"/>
              <w:jc w:val="right"/>
              <w:rPr>
                <w:b/>
                <w:bCs/>
                <w:color w:val="auto"/>
                <w:lang w:bidi="fa-IR"/>
              </w:rPr>
            </w:pPr>
            <w:bookmarkStart w:id="117" w:name="_Toc238572073"/>
            <w:r>
              <w:rPr>
                <w:rFonts w:ascii="Times New Roman" w:hAnsi="Times New Roman" w:hint="cs"/>
                <w:b/>
                <w:bCs/>
                <w:sz w:val="24"/>
                <w:szCs w:val="24"/>
                <w:lang w:bidi="fa-IR"/>
                <w:rtl/>
              </w:rPr>
              <w:t>کمینه</w:t>
            </w:r>
            <w:bookmarkEnd w:id="117"/>
          </w:p>
        </w:tc>
        <w:tc>
          <w:tcPr>
            <w:tcW w:w="1734" w:type="dxa"/>
            <w:vAlign w:val="center"/>
            <w:shd w:val="clear" w:color="auto" w:fill="E2EFD9"/>
          </w:tcPr>
          <w:p w14:paraId="59A14F6B" w14:textId="77777777">
            <w:pPr>
              <w:bidi/>
              <w:spacing w:after="0" w:line="240" w:lineRule="auto"/>
              <w:jc w:val="right"/>
              <w:rPr>
                <w:b/>
                <w:bCs/>
                <w:color w:val="auto"/>
                <w:lang w:bidi="fa-IR"/>
              </w:rPr>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shd w:val="clear" w:color="auto" w:fill="E6EED5"/>
            <w:vAlign w:val="center"/>
          </w:tcPr>
          <w:p w14:paraId="28E3D97E" w14:textId="77777777">
            <w:pPr>
              <w:bidi/>
              <w:spacing w:after="0" w:line="240" w:lineRule="auto"/>
              <w:jc w:val="right"/>
              <w:rPr>
                <w:b/>
                <w:bCs/>
                <w:color w:val="auto"/>
                <w:lang w:bidi="fa-IR"/>
              </w:rPr>
            </w:pPr>
            <w:bookmarkStart w:id="119" w:name="_Toc238572075"/>
            <w:r>
              <w:rPr>
                <w:rFonts w:ascii="Times New Roman" w:hAnsi="Times New Roman" w:hint="cs"/>
                <w:sz w:val="24"/>
                <w:szCs w:val="24"/>
                <w:lang w:bidi="fa-IR"/>
                <w:rtl/>
              </w:rPr>
              <w:t>هوش معنوی</w:t>
            </w:r>
            <w:bookmarkEnd w:id="119"/>
          </w:p>
        </w:tc>
        <w:tc>
          <w:tcPr>
            <w:tcW w:w="1733" w:type="dxa"/>
            <w:shd w:val="clear" w:color="auto" w:fill="E6EED5"/>
            <w:vAlign w:val="center"/>
          </w:tcPr>
          <w:p w14:paraId="481B9050" w14:textId="77777777">
            <w:pPr>
              <w:bidi/>
              <w:spacing w:after="0" w:line="240" w:lineRule="auto"/>
              <w:jc w:val="center"/>
              <w:rPr>
                <w:b/>
                <w:bCs/>
                <w:color w:val="auto"/>
                <w:lang w:bidi="fa-IR"/>
              </w:rPr>
            </w:pPr>
            <w:bookmarkStart w:id="120" w:name="_Toc238572076"/>
            <w:r>
              <w:rPr>
                <w:rFonts w:ascii="Times New Roman" w:hAnsi="Times New Roman" w:hint="cs"/>
                <w:sz w:val="24"/>
                <w:szCs w:val="24"/>
                <w:lang w:bidi="fa-IR"/>
                <w:rtl/>
              </w:rPr>
              <w:t>۸۲/۶۳</w:t>
            </w:r>
            <w:bookmarkEnd w:id="120"/>
          </w:p>
        </w:tc>
        <w:tc>
          <w:tcPr>
            <w:tcW w:w="1733" w:type="dxa"/>
            <w:shd w:val="clear" w:color="auto" w:fill="E6EED5"/>
            <w:vAlign w:val="center"/>
          </w:tcPr>
          <w:p w14:paraId="647C2939" w14:textId="77777777">
            <w:pPr>
              <w:bidi/>
              <w:spacing w:after="0" w:line="240" w:lineRule="auto"/>
              <w:jc w:val="center"/>
              <w:rPr>
                <w:b/>
                <w:bCs/>
                <w:color w:val="auto"/>
                <w:lang w:bidi="fa-IR"/>
              </w:rPr>
            </w:pPr>
            <w:bookmarkStart w:id="121" w:name="_Toc238572077"/>
            <w:r>
              <w:rPr>
                <w:rFonts w:ascii="Times New Roman" w:hAnsi="Times New Roman" w:hint="cs"/>
                <w:sz w:val="24"/>
                <w:szCs w:val="24"/>
                <w:lang w:bidi="fa-IR"/>
                <w:rtl/>
              </w:rPr>
              <w:t>۵۷/۸</w:t>
            </w:r>
            <w:bookmarkEnd w:id="121"/>
          </w:p>
        </w:tc>
        <w:tc>
          <w:tcPr>
            <w:tcW w:w="1733" w:type="dxa"/>
            <w:shd w:val="clear" w:color="auto" w:fill="E6EED5"/>
            <w:vAlign w:val="center"/>
          </w:tcPr>
          <w:p w14:paraId="0A465996" w14:textId="77777777">
            <w:pPr>
              <w:bidi/>
              <w:spacing w:after="0" w:line="240" w:lineRule="auto"/>
              <w:jc w:val="center"/>
              <w:rPr>
                <w:b/>
                <w:bCs/>
                <w:color w:val="auto"/>
                <w:lang w:bidi="fa-IR"/>
              </w:rPr>
            </w:pPr>
            <w:bookmarkStart w:id="122" w:name="_Toc238572078"/>
            <w:r>
              <w:rPr>
                <w:rFonts w:ascii="Times New Roman" w:hAnsi="Times New Roman" w:hint="cs"/>
                <w:sz w:val="24"/>
                <w:szCs w:val="24"/>
                <w:lang w:bidi="fa-IR"/>
                <w:rtl/>
              </w:rPr>
              <w:t>۴۵</w:t>
            </w:r>
            <w:bookmarkEnd w:id="122"/>
          </w:p>
        </w:tc>
        <w:tc>
          <w:tcPr>
            <w:tcW w:w="1734" w:type="dxa"/>
            <w:shd w:val="clear" w:color="auto" w:fill="E6EED5"/>
            <w:vAlign w:val="center"/>
          </w:tcPr>
          <w:p w14:paraId="47E775DB" w14:textId="77777777">
            <w:pPr>
              <w:bidi/>
              <w:spacing w:after="0" w:line="240" w:lineRule="auto"/>
              <w:jc w:val="center"/>
              <w:rPr>
                <w:b/>
                <w:bCs/>
                <w:color w:val="auto"/>
                <w:lang w:bidi="fa-IR"/>
              </w:rPr>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bidi/>
              <w:spacing w:after="0" w:line="240" w:lineRule="auto"/>
              <w:jc w:val="right"/>
              <w:rPr>
                <w:b/>
                <w:bCs/>
                <w:color w:val="auto"/>
                <w:lang w:bidi="fa-IR"/>
              </w:rPr>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bidi/>
              <w:spacing w:after="0" w:line="240" w:lineRule="auto"/>
              <w:jc w:val="center"/>
              <w:rPr>
                <w:b/>
                <w:bCs/>
                <w:color w:val="auto"/>
                <w:lang w:bidi="fa-IR"/>
              </w:rPr>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bidi/>
              <w:spacing w:after="0" w:line="240" w:lineRule="auto"/>
              <w:jc w:val="center"/>
              <w:rPr>
                <w:b/>
                <w:bCs/>
                <w:color w:val="auto"/>
                <w:lang w:bidi="fa-IR"/>
              </w:rPr>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bidi/>
              <w:spacing w:after="0" w:line="240" w:lineRule="auto"/>
              <w:jc w:val="center"/>
              <w:rPr>
                <w:b/>
                <w:bCs/>
                <w:color w:val="auto"/>
                <w:lang w:bidi="fa-IR"/>
              </w:rPr>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bidi/>
              <w:spacing w:after="0" w:line="240" w:lineRule="auto"/>
              <w:jc w:val="center"/>
              <w:rPr>
                <w:b/>
                <w:bCs/>
                <w:color w:val="auto"/>
                <w:lang w:bidi="fa-IR"/>
              </w:rPr>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shd w:val="clear" w:color="auto" w:fill="E6EED5"/>
            <w:vAlign w:val="center"/>
          </w:tcPr>
          <w:p w14:paraId="65E20B83" w14:textId="77777777">
            <w:pPr>
              <w:bidi/>
              <w:spacing w:after="0" w:line="240" w:lineRule="auto"/>
              <w:jc w:val="right"/>
              <w:rPr>
                <w:b/>
                <w:bCs/>
                <w:color w:val="auto"/>
                <w:lang w:bidi="fa-IR"/>
              </w:rPr>
            </w:pPr>
            <w:bookmarkStart w:id="129" w:name="_Toc238572085"/>
            <w:r>
              <w:rPr>
                <w:rFonts w:ascii="Times New Roman" w:hAnsi="Times New Roman" w:hint="cs"/>
                <w:sz w:val="24"/>
                <w:szCs w:val="24"/>
                <w:lang w:bidi="fa-IR"/>
                <w:rtl/>
              </w:rPr>
              <w:t>اضطراب مرگ</w:t>
            </w:r>
            <w:bookmarkEnd w:id="129"/>
          </w:p>
        </w:tc>
        <w:tc>
          <w:tcPr>
            <w:tcW w:w="1733" w:type="dxa"/>
            <w:shd w:val="clear" w:color="auto" w:fill="E6EED5"/>
            <w:vAlign w:val="center"/>
          </w:tcPr>
          <w:p w14:paraId="2BE0945B" w14:textId="77777777">
            <w:pPr>
              <w:bidi/>
              <w:spacing w:after="0" w:line="240" w:lineRule="auto"/>
              <w:jc w:val="center"/>
              <w:rPr>
                <w:b/>
                <w:bCs/>
                <w:color w:val="auto"/>
                <w:lang w:bidi="fa-IR"/>
              </w:rPr>
            </w:pPr>
            <w:bookmarkStart w:id="130" w:name="_Toc238572086"/>
            <w:r>
              <w:rPr>
                <w:rFonts w:ascii="Times New Roman" w:hAnsi="Times New Roman" w:hint="cs"/>
                <w:sz w:val="24"/>
                <w:szCs w:val="24"/>
                <w:lang w:bidi="fa-IR"/>
                <w:rtl/>
              </w:rPr>
              <w:t>۲۳/۴۸</w:t>
            </w:r>
            <w:bookmarkEnd w:id="130"/>
          </w:p>
        </w:tc>
        <w:tc>
          <w:tcPr>
            <w:tcW w:w="1733" w:type="dxa"/>
            <w:shd w:val="clear" w:color="auto" w:fill="E6EED5"/>
            <w:vAlign w:val="center"/>
          </w:tcPr>
          <w:p w14:paraId="61A832E2" w14:textId="77777777">
            <w:pPr>
              <w:bidi/>
              <w:spacing w:after="0" w:line="240" w:lineRule="auto"/>
              <w:jc w:val="center"/>
              <w:rPr>
                <w:b/>
                <w:bCs/>
                <w:color w:val="auto"/>
                <w:lang w:bidi="fa-IR"/>
              </w:rPr>
            </w:pPr>
            <w:bookmarkStart w:id="131" w:name="_Toc238572087"/>
            <w:r>
              <w:rPr>
                <w:rFonts w:ascii="Times New Roman" w:hAnsi="Times New Roman" w:hint="cs"/>
                <w:sz w:val="24"/>
                <w:szCs w:val="24"/>
                <w:lang w:bidi="fa-IR"/>
                <w:rtl/>
              </w:rPr>
              <w:t>۱۱/۹</w:t>
            </w:r>
            <w:bookmarkEnd w:id="131"/>
          </w:p>
        </w:tc>
        <w:tc>
          <w:tcPr>
            <w:tcW w:w="1733" w:type="dxa"/>
            <w:shd w:val="clear" w:color="auto" w:fill="E6EED5"/>
            <w:vAlign w:val="center"/>
          </w:tcPr>
          <w:p w14:paraId="0CB5016A" w14:textId="77777777">
            <w:pPr>
              <w:bidi/>
              <w:spacing w:after="0" w:line="240" w:lineRule="auto"/>
              <w:jc w:val="center"/>
              <w:rPr>
                <w:b/>
                <w:bCs/>
                <w:color w:val="auto"/>
                <w:lang w:bidi="fa-IR"/>
              </w:rPr>
            </w:pPr>
            <w:bookmarkStart w:id="132" w:name="_Toc238572088"/>
            <w:r>
              <w:rPr>
                <w:rFonts w:ascii="Times New Roman" w:hAnsi="Times New Roman" w:hint="cs"/>
                <w:sz w:val="24"/>
                <w:szCs w:val="24"/>
                <w:lang w:bidi="fa-IR"/>
                <w:rtl/>
              </w:rPr>
              <w:t>۲۹</w:t>
            </w:r>
            <w:bookmarkEnd w:id="132"/>
          </w:p>
        </w:tc>
        <w:tc>
          <w:tcPr>
            <w:tcW w:w="1734" w:type="dxa"/>
            <w:shd w:val="clear" w:color="auto" w:fill="E6EED5"/>
            <w:vAlign w:val="center"/>
          </w:tcPr>
          <w:p w14:paraId="1703F5E9" w14:textId="77777777">
            <w:pPr>
              <w:bidi/>
              <w:spacing w:after="0" w:line="240" w:lineRule="auto"/>
              <w:jc w:val="center"/>
              <w:rPr>
                <w:b/>
                <w:bCs/>
                <w:color w:val="auto"/>
                <w:lang w:bidi="fa-IR"/>
              </w:rPr>
            </w:pPr>
            <w:bookmarkStart w:id="133" w:name="_Toc238572089"/>
            <w:r>
              <w:rPr>
                <w:rFonts w:ascii="Times New Roman" w:hAnsi="Times New Roman" w:hint="cs"/>
                <w:sz w:val="24"/>
                <w:szCs w:val="24"/>
                <w:lang w:bidi="fa-IR"/>
                <w:rtl/>
              </w:rPr>
              <w:t>۷۰</w:t>
            </w:r>
            <w:bookmarkEnd w:id="133"/>
          </w:p>
        </w:tc>
      </w:tr>
    </w:tbl>
    <w:p w14:paraId="55108278" w14:textId="77777777">
      <w:pPr>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pPr>
        <w:pStyle w:val="Heading2"/>
        <w:bidi w:val="1"/>
        <w:spacing w:before="240" w:after="100" w:line="276" w:lineRule="auto"/>
        <w:ind w:firstLine="397"/>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۴-۲- یافته‌های استنباطی</w:t>
      </w:r>
    </w:p>
    <w:p w14:paraId="0151E1D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138" w:name="_Toc238572092"/>
      <w:r>
        <w:rPr>
          <w:rFonts w:ascii="Times New Roman" w:hAnsi="Times New Roman" w:cs="B Titr" w:eastAsia="Times New Roman"/>
          <w:b/>
          <w:bCs/>
          <w:color w:val="000000"/>
          <w:sz w:val="30"/>
          <w:szCs w:val="30"/>
          <w:rtl/>
          <w:cs/>
          <w:lang w:bidi="fa-IR"/>
        </w:rPr>
        <w:t>۴-۲-۱- بررسی فرضیه فرعی اول پژوهش: بین هوش معنوی و اضطراب مرگ در سالمندان رابطه وجود دارد.</w:t>
      </w:r>
      <w:bookmarkEnd w:id="138"/>
    </w:p>
    <w:p w14:paraId="3D5129CE"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39" w:name="_Toc238572109"/>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۶</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ضرایب</w:t>
      </w:r>
      <w:r>
        <w:rPr>
          <w:rFonts w:cs="B Lotus" w:ascii="Times New Roman" w:hAnsi="Times New Roman" w:eastAsia="Times New Roman"/>
          <w:b/>
          <w:bCs/>
          <w:color w:val="000000"/>
          <w:sz w:val="24"/>
          <w:szCs w:val="24"/>
          <w:rtl/>
          <w:cs/>
          <w:lang w:bidi="fa-IR"/>
        </w:rPr>
        <w:t xml:space="preserve"> همبستگی </w:t>
      </w:r>
      <w:r>
        <w:rPr>
          <w:rFonts w:cs="B Lotus" w:ascii="Times New Roman" w:hAnsi="Times New Roman" w:eastAsia="Times New Roman"/>
          <w:b/>
          <w:bCs/>
          <w:color w:val="000000"/>
          <w:sz w:val="24"/>
          <w:szCs w:val="24"/>
          <w:rtl/>
          <w:cs/>
          <w:lang w:bidi="fa-IR"/>
        </w:rPr>
        <w:t>پیرسون</w:t>
      </w:r>
      <w:r>
        <w:rPr>
          <w:rFonts w:cs="B Lotus" w:ascii="Times New Roman" w:hAnsi="Times New Roman" w:eastAsia="Times New Roman"/>
          <w:b/>
          <w:bCs/>
          <w:color w:val="000000"/>
          <w:sz w:val="24"/>
          <w:szCs w:val="24"/>
          <w:rtl/>
          <w:cs/>
          <w:lang w:bidi="fa-IR"/>
        </w:rPr>
        <w:t xml:space="preserve"> بین هوش معنوی و اضطراب مرگ سالمندان</w:t>
      </w:r>
      <w:bookmarkEnd w:id="13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244"/>
        <w:gridCol w:w="1165"/>
        <w:gridCol w:w="1165"/>
        <w:gridCol w:w="1165"/>
        <w:gridCol w:w="1165"/>
        <w:gridCol w:w="1165"/>
        <w:gridCol w:w="719"/>
      </w:tblGrid>
      <w:tr w14:paraId="58978185" w14:textId="77777777">
        <w:trPr>
          <w:cantSplit/>
          <w:tblHeader/>
          <w:jc w:val="center"/>
        </w:trPr>
        <w:tc>
          <w:tcPr>
            <w:tcW w:w="1276" w:type="pct"/>
            <w:vAlign w:val="center"/>
            <w:shd w:val="clear" w:color="auto" w:fill="E2EFD9"/>
          </w:tcPr>
          <w:p w14:paraId="1B2F1754" w14:textId="77777777">
            <w:pPr>
              <w:bidi/>
              <w:spacing w:after="0" w:line="240" w:lineRule="auto"/>
              <w:jc w:val="right"/>
              <w:rPr>
                <w:color w:val="auto"/>
                <w:lang w:bidi="fa-IR"/>
              </w:rPr>
            </w:pPr>
            <w:r>
              <w:rPr>
                <w:rFonts w:ascii="Times New Roman" w:hAnsi="Times New Roman" w:hint="cs"/>
                <w:b/>
                <w:bCs/>
                <w:sz w:val="24"/>
                <w:szCs w:val="24"/>
                <w:lang w:bidi="fa-IR"/>
                <w:rtl/>
              </w:rPr>
              <w:t>متغیر</w:t>
            </w:r>
          </w:p>
        </w:tc>
        <w:tc>
          <w:tcPr>
            <w:tcW w:w="663" w:type="pct"/>
            <w:vAlign w:val="center"/>
            <w:shd w:val="clear" w:color="auto" w:fill="E2EFD9"/>
          </w:tcPr>
          <w:p w14:paraId="789EA3CA" w14:textId="77777777">
            <w:pPr>
              <w:bidi/>
              <w:spacing w:after="0" w:line="240" w:lineRule="auto"/>
              <w:jc w:val="center"/>
              <w:rPr>
                <w:color w:val="auto"/>
                <w:lang w:bidi="fa-IR"/>
              </w:rPr>
            </w:pPr>
            <w:r>
              <w:rPr>
                <w:rFonts w:ascii="Times New Roman" w:hAnsi="Times New Roman" w:hint="cs"/>
                <w:b/>
                <w:bCs/>
                <w:sz w:val="24"/>
                <w:szCs w:val="24"/>
                <w:lang w:bidi="fa-IR"/>
                <w:rtl/>
              </w:rPr>
              <w:t>۱</w:t>
            </w:r>
          </w:p>
        </w:tc>
        <w:tc>
          <w:tcPr>
            <w:tcW w:w="663" w:type="pct"/>
            <w:vAlign w:val="center"/>
            <w:shd w:val="clear" w:color="auto" w:fill="E2EFD9"/>
          </w:tcPr>
          <w:p w14:paraId="78FE7803" w14:textId="77777777">
            <w:pPr>
              <w:bidi/>
              <w:spacing w:after="0" w:line="240" w:lineRule="auto"/>
              <w:jc w:val="center"/>
              <w:rPr>
                <w:color w:val="auto"/>
                <w:lang w:bidi="fa-IR"/>
              </w:rPr>
            </w:pPr>
            <w:r>
              <w:rPr>
                <w:rFonts w:ascii="Times New Roman" w:hAnsi="Times New Roman" w:hint="cs"/>
                <w:b/>
                <w:bCs/>
                <w:sz w:val="24"/>
                <w:szCs w:val="24"/>
                <w:lang w:bidi="fa-IR"/>
                <w:rtl/>
              </w:rPr>
              <w:t>۲</w:t>
            </w:r>
          </w:p>
        </w:tc>
        <w:tc>
          <w:tcPr>
            <w:tcW w:w="663" w:type="pct"/>
            <w:vAlign w:val="center"/>
            <w:shd w:val="clear" w:color="auto" w:fill="E2EFD9"/>
          </w:tcPr>
          <w:p w14:paraId="554F0034" w14:textId="77777777">
            <w:pPr>
              <w:bidi/>
              <w:spacing w:after="0" w:line="240" w:lineRule="auto"/>
              <w:jc w:val="center"/>
              <w:rPr>
                <w:color w:val="auto"/>
                <w:lang w:bidi="fa-IR"/>
              </w:rPr>
            </w:pPr>
            <w:r>
              <w:rPr>
                <w:rFonts w:ascii="Times New Roman" w:hAnsi="Times New Roman" w:hint="cs"/>
                <w:b/>
                <w:bCs/>
                <w:sz w:val="24"/>
                <w:szCs w:val="24"/>
                <w:lang w:bidi="fa-IR"/>
                <w:rtl/>
              </w:rPr>
              <w:t>۳</w:t>
            </w:r>
          </w:p>
        </w:tc>
        <w:tc>
          <w:tcPr>
            <w:tcW w:w="663" w:type="pct"/>
            <w:vAlign w:val="center"/>
            <w:shd w:val="clear" w:color="auto" w:fill="E2EFD9"/>
          </w:tcPr>
          <w:p w14:paraId="52C7A122" w14:textId="77777777">
            <w:pPr>
              <w:bidi/>
              <w:spacing w:after="0" w:line="240" w:lineRule="auto"/>
              <w:jc w:val="center"/>
              <w:rPr>
                <w:color w:val="auto"/>
                <w:lang w:bidi="fa-IR"/>
              </w:rPr>
            </w:pPr>
            <w:r>
              <w:rPr>
                <w:rFonts w:ascii="Times New Roman" w:hAnsi="Times New Roman" w:hint="cs"/>
                <w:b/>
                <w:bCs/>
                <w:sz w:val="24"/>
                <w:szCs w:val="24"/>
                <w:lang w:bidi="fa-IR"/>
                <w:rtl/>
              </w:rPr>
              <w:t>۴</w:t>
            </w:r>
          </w:p>
        </w:tc>
        <w:tc>
          <w:tcPr>
            <w:tcW w:w="663" w:type="pct"/>
            <w:vAlign w:val="center"/>
            <w:shd w:val="clear" w:color="auto" w:fill="E2EFD9"/>
          </w:tcPr>
          <w:p w14:paraId="4F7D71D0" w14:textId="77777777">
            <w:pPr>
              <w:bidi/>
              <w:spacing w:after="0" w:line="240" w:lineRule="auto"/>
              <w:jc w:val="center"/>
              <w:rPr>
                <w:color w:val="auto"/>
                <w:lang w:bidi="fa-IR"/>
              </w:rPr>
            </w:pPr>
            <w:r>
              <w:rPr>
                <w:rFonts w:ascii="Times New Roman" w:hAnsi="Times New Roman" w:hint="cs"/>
                <w:b/>
                <w:bCs/>
                <w:sz w:val="24"/>
                <w:szCs w:val="24"/>
                <w:lang w:bidi="fa-IR"/>
                <w:rtl/>
              </w:rPr>
              <w:t>۵</w:t>
            </w:r>
          </w:p>
        </w:tc>
        <w:tc>
          <w:tcPr>
            <w:tcW w:w="410" w:type="pct"/>
            <w:vAlign w:val="center"/>
            <w:shd w:val="clear" w:color="auto" w:fill="E2EFD9"/>
          </w:tcPr>
          <w:p w14:paraId="1A8417F3" w14:textId="77777777">
            <w:pPr>
              <w:bidi/>
              <w:spacing w:after="0" w:line="240" w:lineRule="auto"/>
              <w:jc w:val="center"/>
              <w:rPr>
                <w:color w:val="auto"/>
                <w:lang w:bidi="fa-IR"/>
              </w:rPr>
            </w:pPr>
            <w:r>
              <w:rPr>
                <w:rFonts w:ascii="Times New Roman" w:hAnsi="Times New Roman" w:hint="cs"/>
                <w:b/>
                <w:bCs/>
                <w:sz w:val="24"/>
                <w:szCs w:val="24"/>
                <w:lang w:bidi="fa-IR"/>
                <w:rtl/>
              </w:rPr>
              <w:t>۶</w:t>
            </w:r>
          </w:p>
        </w:tc>
      </w:tr>
      <w:tr w14:paraId="67F2259C" w14:textId="77777777">
        <w:trPr>
          <w:cantSplit/>
          <w:jc w:val="center"/>
        </w:trPr>
        <w:tc>
          <w:tcPr>
            <w:tcW w:w="1276" w:type="pct"/>
            <w:shd w:val="clear" w:color="auto" w:fill="E6EED5"/>
            <w:vAlign w:val="center"/>
          </w:tcPr>
          <w:p w14:paraId="4750A6A7" w14:textId="77777777">
            <w:pPr>
              <w:bidi/>
              <w:spacing w:after="0" w:line="240" w:lineRule="auto"/>
              <w:jc w:val="right"/>
              <w:rPr>
                <w:rFonts w:ascii="B Lotus" w:hAnsi="Times New Roman"/>
                <w:color w:val="auto"/>
                <w:lang w:bidi="fa-IR"/>
              </w:rPr>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shd w:val="clear" w:color="auto" w:fill="E6EED5"/>
            <w:vAlign w:val="center"/>
          </w:tcPr>
          <w:p w14:paraId="7C163E9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7C6D0717" w14:textId="77777777">
            <w:pPr>
              <w:bidi/>
              <w:spacing w:after="0" w:line="240" w:lineRule="auto"/>
              <w:jc w:val="center"/>
              <w:rPr>
                <w:color w:val="auto"/>
                <w:lang w:bidi="fa-IR"/>
              </w:rPr>
            </w:pPr>
          </w:p>
        </w:tc>
        <w:tc>
          <w:tcPr>
            <w:tcW w:w="663" w:type="pct"/>
            <w:shd w:val="clear" w:color="auto" w:fill="E6EED5"/>
            <w:vAlign w:val="center"/>
          </w:tcPr>
          <w:p w14:paraId="7DB5F982" w14:textId="77777777">
            <w:pPr>
              <w:bidi/>
              <w:spacing w:after="0" w:line="240" w:lineRule="auto"/>
              <w:jc w:val="center"/>
              <w:rPr>
                <w:color w:val="auto"/>
                <w:lang w:bidi="fa-IR"/>
              </w:rPr>
            </w:pPr>
          </w:p>
        </w:tc>
        <w:tc>
          <w:tcPr>
            <w:tcW w:w="663" w:type="pct"/>
            <w:shd w:val="clear" w:color="auto" w:fill="E6EED5"/>
            <w:vAlign w:val="center"/>
          </w:tcPr>
          <w:p w14:paraId="4931EFAE" w14:textId="77777777">
            <w:pPr>
              <w:bidi/>
              <w:spacing w:after="0" w:line="240" w:lineRule="auto"/>
              <w:jc w:val="center"/>
              <w:rPr>
                <w:color w:val="auto"/>
                <w:lang w:bidi="fa-IR"/>
              </w:rPr>
            </w:pPr>
          </w:p>
        </w:tc>
        <w:tc>
          <w:tcPr>
            <w:tcW w:w="663" w:type="pct"/>
            <w:shd w:val="clear" w:color="auto" w:fill="E6EED5"/>
            <w:vAlign w:val="center"/>
          </w:tcPr>
          <w:p w14:paraId="1BC4BF01" w14:textId="77777777">
            <w:pPr>
              <w:bidi/>
              <w:spacing w:after="0" w:line="240" w:lineRule="auto"/>
              <w:jc w:val="center"/>
              <w:rPr>
                <w:color w:val="auto"/>
                <w:lang w:bidi="fa-IR"/>
              </w:rPr>
            </w:pPr>
          </w:p>
        </w:tc>
        <w:tc>
          <w:tcPr>
            <w:tcW w:w="410" w:type="pct"/>
            <w:shd w:val="clear" w:color="auto" w:fill="E6EED5"/>
            <w:vAlign w:val="center"/>
          </w:tcPr>
          <w:p w14:paraId="65E04634" w14:textId="77777777">
            <w:pPr>
              <w:bidi/>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bidi/>
              <w:spacing w:after="0" w:line="240" w:lineRule="auto"/>
              <w:jc w:val="right"/>
              <w:rPr>
                <w:color w:val="auto"/>
                <w:lang w:bidi="fa-IR"/>
              </w:rPr>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5B2D75B" w14:textId="77777777">
            <w:pPr>
              <w:bidi/>
              <w:spacing w:after="0" w:line="240" w:lineRule="auto"/>
              <w:jc w:val="center"/>
              <w:rPr>
                <w:color w:val="auto"/>
                <w:lang w:bidi="fa-IR"/>
              </w:rPr>
            </w:pPr>
          </w:p>
        </w:tc>
        <w:tc>
          <w:tcPr>
            <w:tcW w:w="663" w:type="pct"/>
            <w:vAlign w:val="center"/>
          </w:tcPr>
          <w:p w14:paraId="58FC7C9F" w14:textId="77777777">
            <w:pPr>
              <w:bidi/>
              <w:spacing w:after="0" w:line="240" w:lineRule="auto"/>
              <w:jc w:val="center"/>
              <w:rPr>
                <w:color w:val="auto"/>
                <w:lang w:bidi="fa-IR"/>
              </w:rPr>
            </w:pPr>
          </w:p>
        </w:tc>
        <w:tc>
          <w:tcPr>
            <w:tcW w:w="663" w:type="pct"/>
            <w:vAlign w:val="center"/>
          </w:tcPr>
          <w:p w14:paraId="6945D34D" w14:textId="77777777">
            <w:pPr>
              <w:bidi/>
              <w:spacing w:after="0" w:line="240" w:lineRule="auto"/>
              <w:jc w:val="center"/>
              <w:rPr>
                <w:color w:val="auto"/>
                <w:lang w:bidi="fa-IR"/>
              </w:rPr>
            </w:pPr>
          </w:p>
        </w:tc>
        <w:tc>
          <w:tcPr>
            <w:tcW w:w="410" w:type="pct"/>
            <w:vAlign w:val="center"/>
          </w:tcPr>
          <w:p w14:paraId="36C80E42" w14:textId="77777777">
            <w:pPr>
              <w:bidi/>
              <w:spacing w:after="0" w:line="240" w:lineRule="auto"/>
              <w:jc w:val="center"/>
              <w:rPr>
                <w:color w:val="auto"/>
                <w:lang w:bidi="fa-IR"/>
              </w:rPr>
            </w:pPr>
          </w:p>
        </w:tc>
      </w:tr>
      <w:tr w14:paraId="2013374B" w14:textId="77777777">
        <w:trPr>
          <w:cantSplit/>
          <w:jc w:val="center"/>
        </w:trPr>
        <w:tc>
          <w:tcPr>
            <w:tcW w:w="1276" w:type="pct"/>
            <w:shd w:val="clear" w:color="auto" w:fill="E6EED5"/>
            <w:vAlign w:val="center"/>
          </w:tcPr>
          <w:p w14:paraId="7AB7A127" w14:textId="77777777">
            <w:pPr>
              <w:bidi/>
              <w:spacing w:after="0" w:line="240" w:lineRule="auto"/>
              <w:jc w:val="right"/>
              <w:rPr>
                <w:color w:val="auto"/>
                <w:lang w:bidi="fa-IR"/>
              </w:rPr>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shd w:val="clear" w:color="auto" w:fill="E6EED5"/>
            <w:vAlign w:val="center"/>
          </w:tcPr>
          <w:p w14:paraId="71AE5A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shd w:val="clear" w:color="auto" w:fill="E6EED5"/>
            <w:vAlign w:val="center"/>
          </w:tcPr>
          <w:p w14:paraId="48E585A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shd w:val="clear" w:color="auto" w:fill="E6EED5"/>
            <w:vAlign w:val="center"/>
          </w:tcPr>
          <w:p w14:paraId="28447D15"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667F5150" w14:textId="77777777">
            <w:pPr>
              <w:bidi/>
              <w:spacing w:after="0" w:line="240" w:lineRule="auto"/>
              <w:jc w:val="center"/>
              <w:rPr>
                <w:color w:val="auto"/>
                <w:lang w:bidi="fa-IR"/>
              </w:rPr>
            </w:pPr>
          </w:p>
        </w:tc>
        <w:tc>
          <w:tcPr>
            <w:tcW w:w="663" w:type="pct"/>
            <w:shd w:val="clear" w:color="auto" w:fill="E6EED5"/>
            <w:vAlign w:val="center"/>
          </w:tcPr>
          <w:p w14:paraId="3D5F5D3A" w14:textId="77777777">
            <w:pPr>
              <w:bidi/>
              <w:spacing w:after="0" w:line="240" w:lineRule="auto"/>
              <w:jc w:val="center"/>
              <w:rPr>
                <w:color w:val="auto"/>
                <w:lang w:bidi="fa-IR"/>
              </w:rPr>
            </w:pPr>
          </w:p>
        </w:tc>
        <w:tc>
          <w:tcPr>
            <w:tcW w:w="410" w:type="pct"/>
            <w:shd w:val="clear" w:color="auto" w:fill="E6EED5"/>
            <w:vAlign w:val="center"/>
          </w:tcPr>
          <w:p w14:paraId="0E885AE2" w14:textId="77777777">
            <w:pPr>
              <w:bidi/>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bidi/>
              <w:spacing w:after="0" w:line="240" w:lineRule="auto"/>
              <w:jc w:val="right"/>
              <w:rPr>
                <w:color w:val="auto"/>
                <w:lang w:bidi="fa-IR"/>
              </w:rPr>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735C885" w14:textId="77777777">
            <w:pPr>
              <w:bidi/>
              <w:spacing w:after="0" w:line="240" w:lineRule="auto"/>
              <w:jc w:val="center"/>
              <w:rPr>
                <w:color w:val="auto"/>
                <w:lang w:bidi="fa-IR"/>
              </w:rPr>
            </w:pPr>
          </w:p>
        </w:tc>
        <w:tc>
          <w:tcPr>
            <w:tcW w:w="410" w:type="pct"/>
            <w:vAlign w:val="center"/>
          </w:tcPr>
          <w:p w14:paraId="555A5CE6" w14:textId="77777777">
            <w:pPr>
              <w:bidi/>
              <w:spacing w:after="0" w:line="240" w:lineRule="auto"/>
              <w:jc w:val="center"/>
              <w:rPr>
                <w:color w:val="auto"/>
                <w:lang w:bidi="fa-IR"/>
              </w:rPr>
            </w:pPr>
          </w:p>
        </w:tc>
      </w:tr>
      <w:tr w14:paraId="67A7CE23" w14:textId="77777777">
        <w:trPr>
          <w:cantSplit/>
          <w:jc w:val="center"/>
        </w:trPr>
        <w:tc>
          <w:tcPr>
            <w:tcW w:w="1276" w:type="pct"/>
            <w:shd w:val="clear" w:color="auto" w:fill="E6EED5"/>
            <w:vAlign w:val="center"/>
          </w:tcPr>
          <w:p w14:paraId="5FCBD661" w14:textId="77777777">
            <w:pPr>
              <w:bidi/>
              <w:spacing w:after="0" w:line="240" w:lineRule="auto"/>
              <w:jc w:val="right"/>
              <w:rPr>
                <w:color w:val="auto"/>
                <w:lang w:bidi="fa-IR"/>
              </w:rPr>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shd w:val="clear" w:color="auto" w:fill="E6EED5"/>
            <w:vAlign w:val="center"/>
          </w:tcPr>
          <w:p w14:paraId="29EC284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shd w:val="clear" w:color="auto" w:fill="E6EED5"/>
            <w:vAlign w:val="center"/>
          </w:tcPr>
          <w:p w14:paraId="63D1C18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shd w:val="clear" w:color="auto" w:fill="E6EED5"/>
            <w:vAlign w:val="center"/>
          </w:tcPr>
          <w:p w14:paraId="00F9FF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shd w:val="clear" w:color="auto" w:fill="E6EED5"/>
            <w:vAlign w:val="center"/>
          </w:tcPr>
          <w:p w14:paraId="11BB947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shd w:val="clear" w:color="auto" w:fill="E6EED5"/>
            <w:vAlign w:val="center"/>
          </w:tcPr>
          <w:p w14:paraId="643B1F73"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410" w:type="pct"/>
            <w:shd w:val="clear" w:color="auto" w:fill="E6EED5"/>
            <w:vAlign w:val="center"/>
          </w:tcPr>
          <w:p w14:paraId="4B32670A" w14:textId="77777777">
            <w:pPr>
              <w:bidi/>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bidi/>
              <w:spacing w:after="0" w:line="240" w:lineRule="auto"/>
              <w:jc w:val="right"/>
              <w:rPr>
                <w:color w:val="auto"/>
                <w:lang w:bidi="fa-IR"/>
              </w:rPr>
            </w:pPr>
            <w:r>
              <w:rPr>
                <w:rFonts w:ascii="Times New Roman" w:hAnsi="Times New Roman" w:hint="cs"/>
                <w:sz w:val="24"/>
                <w:szCs w:val="24"/>
                <w:lang w:bidi="fa-IR"/>
                <w:rtl/>
              </w:rPr>
              <w:t>۶. اضطراب مرگ</w:t>
            </w:r>
          </w:p>
        </w:tc>
        <w:tc>
          <w:tcPr>
            <w:tcW w:w="663" w:type="pct"/>
            <w:vAlign w:val="center"/>
          </w:tcPr>
          <w:p w14:paraId="195D80C7"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bidi/>
              <w:spacing w:after="0" w:line="240" w:lineRule="auto"/>
              <w:jc w:val="center"/>
              <w:rPr>
                <w:color w:val="auto"/>
                <w:vertAlign w:val="superscript"/>
                <w:lang w:bidi="fa-IR"/>
              </w:rPr>
            </w:pPr>
            <w:r>
              <w:rPr>
                <w:rFonts w:ascii="Times New Roman" w:hAnsi="Times New Roman" w:hint="cs"/>
                <w:sz w:val="24"/>
                <w:szCs w:val="24"/>
                <w:lang w:bidi="fa-IR"/>
                <w:rtl/>
              </w:rPr>
              <w:t>۱</w:t>
            </w:r>
          </w:p>
        </w:tc>
      </w:tr>
    </w:tbl>
    <w:p w14:paraId="36662516"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r)</w:t>
      </w:r>
      <w:r>
        <w:rPr>
          <w:rFonts w:ascii="Times New Roman" w:hAnsi="Times New Roman" w:hint="cs"/>
          <w:lang w:bidi="fa-IR"/>
          <w:rtl/>
        </w:rPr>
        <w:t>، ایجاد معنای شخصی (۴۵/۰-=</w:t>
      </w:r>
      <w:r>
        <w:rPr>
          <w:rFonts w:ascii="Times New Roman" w:hAnsi="Times New Roman" w:hint="cs"/>
          <w:lang w:bidi="fa-IR" w:val="en-US"/>
          <w:rtl w:val="0"/>
        </w:rPr>
        <w:t>r)</w:t>
      </w:r>
      <w:r>
        <w:rPr>
          <w:rFonts w:ascii="Times New Roman" w:hAnsi="Times New Roman" w:hint="cs"/>
          <w:lang w:bidi="fa-IR"/>
          <w:rtl/>
        </w:rPr>
        <w:t>، آگاهی متعالی (۳۱/۰-=</w:t>
      </w:r>
      <w:r>
        <w:rPr>
          <w:rFonts w:ascii="Times New Roman" w:hAnsi="Times New Roman" w:hint="cs"/>
          <w:lang w:bidi="fa-IR" w:val="en-US"/>
          <w:rtl w:val="0"/>
        </w:rPr>
        <w:t>r)</w:t>
      </w:r>
      <w:r>
        <w:rPr>
          <w:rFonts w:ascii="Times New Roman" w:hAnsi="Times New Roman" w:hint="cs"/>
          <w:lang w:bidi="fa-IR"/>
          <w:rtl/>
        </w:rPr>
        <w:t>، و گسترش حالت هوشیاری (۲۹/۰-=</w:t>
      </w:r>
      <w:r>
        <w:rPr>
          <w:rFonts w:ascii="Times New Roman" w:hAnsi="Times New Roman" w:hint="cs"/>
          <w:lang w:bidi="fa-IR" w:val="en-US"/>
          <w:rtl w:val="0"/>
        </w:rPr>
        <w:t>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w:t>
      </w:r>
      <w:r>
        <w:rPr>
          <w:rFonts w:ascii="Times New Roman" w:hAnsi="Times New Roman" w:hint="cs"/>
          <w:lang w:bidi="fa-IR"/>
          <w:rtl/>
        </w:rPr>
        <w:t xml:space="preserve"> </w:t>
      </w:r>
      <w:r>
        <w:rPr>
          <w:rFonts w:ascii="Times New Roman" w:hAnsi="Times New Roman" w:hint="cs"/>
          <w:lang w:bidi="fa-IR"/>
          <w:rtl/>
        </w:rPr>
        <w:t xml:space="preserve">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بنابراین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140" w:name="_Toc238572093"/>
      <w:r>
        <w:rPr>
          <w:rFonts w:ascii="Times New Roman" w:hAnsi="Times New Roman" w:cs="B Titr" w:eastAsia="Times New Roman"/>
          <w:b/>
          <w:bCs/>
          <w:color w:val="000000"/>
          <w:sz w:val="30"/>
          <w:szCs w:val="30"/>
          <w:rtl/>
          <w:cs/>
          <w:lang w:bidi="fa-IR"/>
        </w:rPr>
        <w:t>۴-۲-۲- بررسی فرضیه فرعی دوم پژوهش: بین اضطراب سلامتی و اضطراب مرگ در سالمندان رابطه وجود دارد.</w:t>
      </w:r>
      <w:bookmarkEnd w:id="140"/>
    </w:p>
    <w:p w14:paraId="347B8B69"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45" w:name="_Toc238572110"/>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۷</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ضرایب همبستگی پیرسون بین اضطراب سلامتی و اضطراب مرگ سالمندان</w:t>
      </w:r>
      <w:bookmarkEnd w:id="14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28DEDAF2" w14:textId="77777777">
        <w:trPr>
          <w:cantSplit/>
          <w:tblHeader/>
          <w:jc w:val="center"/>
        </w:trPr>
        <w:tc>
          <w:tcPr>
            <w:tcW w:w="1733" w:type="dxa"/>
            <w:vAlign w:val="center"/>
            <w:shd w:val="clear" w:color="auto" w:fill="E2EFD9"/>
          </w:tcPr>
          <w:p w14:paraId="4F667AD8"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733" w:type="dxa"/>
            <w:vAlign w:val="center"/>
            <w:shd w:val="clear" w:color="auto" w:fill="E2EFD9"/>
          </w:tcPr>
          <w:p w14:paraId="2983872A"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۱</w:t>
            </w:r>
          </w:p>
        </w:tc>
        <w:tc>
          <w:tcPr>
            <w:tcW w:w="1733" w:type="dxa"/>
            <w:vAlign w:val="center"/>
            <w:shd w:val="clear" w:color="auto" w:fill="E2EFD9"/>
          </w:tcPr>
          <w:p w14:paraId="35E526C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۲</w:t>
            </w:r>
          </w:p>
        </w:tc>
        <w:tc>
          <w:tcPr>
            <w:tcW w:w="1733" w:type="dxa"/>
            <w:vAlign w:val="center"/>
            <w:shd w:val="clear" w:color="auto" w:fill="E2EFD9"/>
          </w:tcPr>
          <w:p w14:paraId="330E90C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۳</w:t>
            </w:r>
          </w:p>
        </w:tc>
        <w:tc>
          <w:tcPr>
            <w:tcW w:w="1734" w:type="dxa"/>
            <w:vAlign w:val="center"/>
            <w:shd w:val="clear" w:color="auto" w:fill="E2EFD9"/>
          </w:tcPr>
          <w:p w14:paraId="50D57B0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shd w:val="clear" w:color="auto" w:fill="E6EED5"/>
            <w:vAlign w:val="center"/>
          </w:tcPr>
          <w:p w14:paraId="0882505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احتمال ابتلا به بیماری</w:t>
            </w:r>
          </w:p>
        </w:tc>
        <w:tc>
          <w:tcPr>
            <w:tcW w:w="1733" w:type="dxa"/>
            <w:shd w:val="clear" w:color="auto" w:fill="E6EED5"/>
            <w:vAlign w:val="center"/>
          </w:tcPr>
          <w:p w14:paraId="0A516FC1"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shd w:val="clear" w:color="auto" w:fill="E6EED5"/>
            <w:vAlign w:val="center"/>
          </w:tcPr>
          <w:p w14:paraId="7138F788" w14:textId="77777777">
            <w:pPr>
              <w:bidi/>
              <w:spacing w:after="0" w:line="240" w:lineRule="auto"/>
              <w:jc w:val="center"/>
              <w:rPr>
                <w:rFonts w:ascii="Times New Roman" w:eastAsia="Times New Roman" w:hAnsi="Times New Roman"/>
                <w:color w:val="auto"/>
                <w:lang w:bidi="fa-IR"/>
              </w:rPr>
            </w:pPr>
          </w:p>
        </w:tc>
        <w:tc>
          <w:tcPr>
            <w:tcW w:w="1733" w:type="dxa"/>
            <w:shd w:val="clear" w:color="auto" w:fill="E6EED5"/>
            <w:vAlign w:val="center"/>
          </w:tcPr>
          <w:p w14:paraId="317D13FE" w14:textId="77777777">
            <w:pPr>
              <w:bidi/>
              <w:spacing w:after="0" w:line="240" w:lineRule="auto"/>
              <w:jc w:val="center"/>
              <w:rPr>
                <w:rFonts w:ascii="Times New Roman" w:eastAsia="Times New Roman" w:hAnsi="Times New Roman"/>
                <w:color w:val="auto"/>
                <w:lang w:bidi="fa-IR"/>
              </w:rPr>
            </w:pPr>
          </w:p>
        </w:tc>
        <w:tc>
          <w:tcPr>
            <w:tcW w:w="1734" w:type="dxa"/>
            <w:shd w:val="clear" w:color="auto" w:fill="E6EED5"/>
            <w:vAlign w:val="center"/>
          </w:tcPr>
          <w:p w14:paraId="2674CD38" w14:textId="77777777">
            <w:pPr>
              <w:bidi/>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bidi/>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vAlign w:val="center"/>
          </w:tcPr>
          <w:p w14:paraId="0B0341B9" w14:textId="77777777">
            <w:pPr>
              <w:bidi/>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bidi/>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shd w:val="clear" w:color="auto" w:fill="E6EED5"/>
            <w:vAlign w:val="center"/>
          </w:tcPr>
          <w:p w14:paraId="7129122C"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سلامتی</w:t>
            </w:r>
          </w:p>
        </w:tc>
        <w:tc>
          <w:tcPr>
            <w:tcW w:w="1733" w:type="dxa"/>
            <w:shd w:val="clear" w:color="auto" w:fill="E6EED5"/>
            <w:vAlign w:val="center"/>
          </w:tcPr>
          <w:p w14:paraId="4FAB1F1E"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shd w:val="clear" w:color="auto" w:fill="E6EED5"/>
            <w:vAlign w:val="center"/>
          </w:tcPr>
          <w:p w14:paraId="72D5997D"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shd w:val="clear" w:color="auto" w:fill="E6EED5"/>
            <w:vAlign w:val="center"/>
          </w:tcPr>
          <w:p w14:paraId="076E3737"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4" w:type="dxa"/>
            <w:shd w:val="clear" w:color="auto" w:fill="E6EED5"/>
            <w:vAlign w:val="center"/>
          </w:tcPr>
          <w:p w14:paraId="2A48F48D" w14:textId="77777777">
            <w:pPr>
              <w:bidi/>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r>
    </w:tbl>
    <w:p w14:paraId="3448242C"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spacing w:after="0" w:line="276" w:lineRule="auto"/>
        <w:ind w:firstLine="397"/>
        <w:jc w:val="both"/>
        <w:rPr>
          <w:color w:val="auto"/>
          <w:sz w:val="26"/>
          <w:szCs w:val="26"/>
          <w:lang w:bidi="fa-IR"/>
        </w:rPr>
      </w:pPr>
      <w:r>
        <w:rPr>
          <w:rFonts w:ascii="Times New Roman" w:hAnsi="Times New Roman" w:hint="cs"/>
          <w:lang w:bidi="fa-IR"/>
          <w:rtl/>
        </w:rPr>
        <w:t>بر اساس نتایج جدول ۴-۷ بین اضطراب مرگ سالمندان با احتمال ابتلا به بیماری (۴۹/۰=</w:t>
      </w:r>
      <w:r>
        <w:rPr>
          <w:rFonts w:ascii="Times New Roman" w:hAnsi="Times New Roman" w:hint="cs"/>
          <w:lang w:bidi="fa-IR" w:val="en-US"/>
          <w:rtl w:val="0"/>
        </w:rPr>
        <w:t>r)</w:t>
      </w:r>
      <w:r>
        <w:rPr>
          <w:rFonts w:ascii="Times New Roman" w:hAnsi="Times New Roman" w:hint="cs"/>
          <w:lang w:bidi="fa-IR"/>
          <w:rtl/>
        </w:rPr>
        <w:t>، پیامدهای منفی بیماری (۵۵/۰=</w:t>
      </w:r>
      <w:r>
        <w:rPr>
          <w:rFonts w:ascii="Times New Roman" w:hAnsi="Times New Roman" w:hint="cs"/>
          <w:lang w:bidi="fa-IR" w:val="en-US"/>
          <w:rtl w:val="0"/>
        </w:rPr>
        <w:t xml:space="preserve">r) </w:t>
      </w:r>
      <w:r>
        <w:rPr>
          <w:rFonts w:ascii="Times New Roman" w:hAnsi="Times New Roman" w:hint="cs"/>
          <w:lang w:bidi="fa-IR"/>
          <w:rtl/>
        </w:rPr>
        <w:t>و اضطراب سلامتی کل(۵۸/۰=</w:t>
      </w:r>
      <w:r>
        <w:rPr>
          <w:rFonts w:ascii="Times New Roman" w:hAnsi="Times New Roman" w:hint="cs"/>
          <w:lang w:bidi="fa-IR" w:val="en-US"/>
          <w:rtl w:val="0"/>
        </w:rPr>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w:t>
      </w:r>
      <w:r>
        <w:rPr>
          <w:rFonts w:ascii="Times New Roman" w:hAnsi="Times New Roman" w:hint="cs"/>
          <w:lang w:bidi="fa-IR"/>
          <w:rtl/>
        </w:rPr>
        <w:t xml:space="preserve"> </w:t>
      </w:r>
      <w:r>
        <w:rPr>
          <w:rFonts w:ascii="Times New Roman" w:hAnsi="Times New Roman" w:hint="cs"/>
          <w:lang w:bidi="fa-IR"/>
          <w:rtl/>
        </w:rPr>
        <w:t xml:space="preserve">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بنابراین 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146" w:name="_Toc238572094"/>
      <w:r>
        <w:rPr>
          <w:rFonts w:ascii="Times New Roman" w:hAnsi="Times New Roman" w:cs="B Titr" w:eastAsia="Times New Roman"/>
          <w:b/>
          <w:bCs/>
          <w:color w:val="000000"/>
          <w:sz w:val="30"/>
          <w:szCs w:val="30"/>
          <w:rtl/>
          <w:cs/>
          <w:lang w:bidi="fa-IR"/>
        </w:rPr>
        <w:t>۴-۲-۳- بررسی فرضیه اصلی پژوهش: بین هوش معنوی و اضطراب سلامتی با اضطراب مرگ در سالمندان رابطه وجود دارد.</w:t>
      </w:r>
      <w:bookmarkEnd w:id="146"/>
    </w:p>
    <w:p w14:paraId="19E4176B"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بنابراین 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همچنین 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49" w:name="_Toc238572111"/>
      <w:r>
        <w:rPr>
          <w:rFonts w:cs="B Lotus" w:ascii="Times New Roman" w:hAnsi="Times New Roman" w:eastAsia="Times New Roman"/>
          <w:b/>
          <w:bCs/>
          <w:color w:val="000000"/>
          <w:sz w:val="24"/>
          <w:szCs w:val="24"/>
          <w:rtl/>
          <w:cs/>
          <w:lang w:bidi="fa-IR"/>
        </w:rPr>
        <w:lastRenderedPageBreak/>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۸</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خلاصه مدل رگرسیون و مشخصه های رگرسیون اضطراب مرگ بر متغیرهای پیش بین</w:t>
      </w:r>
      <w:bookmarkEnd w:id="14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502"/>
        <w:gridCol w:w="1293"/>
        <w:gridCol w:w="1434"/>
        <w:gridCol w:w="807"/>
        <w:gridCol w:w="1255"/>
        <w:gridCol w:w="986"/>
        <w:gridCol w:w="807"/>
        <w:gridCol w:w="897"/>
        <w:gridCol w:w="807"/>
      </w:tblGrid>
      <w:tr w14:paraId="5011E94B" w14:textId="77777777">
        <w:trPr>
          <w:cantSplit/>
          <w:tblHeader/>
          <w:jc w:val="center"/>
        </w:trPr>
        <w:tc>
          <w:tcPr>
            <w:tcW w:w="502" w:type="dxa"/>
            <w:vAlign w:val="center"/>
            <w:shd w:val="clear" w:color="auto" w:fill="E2EFD9"/>
          </w:tcPr>
          <w:p w14:paraId="1E1599E1" w14:textId="77777777">
            <w:pPr>
              <w:bidi/>
              <w:spacing w:after="0" w:line="240" w:lineRule="auto"/>
              <w:jc w:val="right"/>
              <w:rPr>
                <w:color w:val="auto"/>
                <w:lang w:bidi="fa-IR"/>
              </w:rPr>
            </w:pPr>
            <w:r>
              <w:rPr>
                <w:rFonts w:ascii="Times New Roman" w:hAnsi="Times New Roman" w:hint="cs"/>
                <w:b/>
                <w:bCs/>
                <w:sz w:val="24"/>
                <w:szCs w:val="24"/>
                <w:lang w:bidi="fa-IR"/>
                <w:rtl/>
              </w:rPr>
              <w:t>گام</w:t>
            </w:r>
          </w:p>
        </w:tc>
        <w:tc>
          <w:tcPr>
            <w:tcW w:w="1298" w:type="dxa"/>
            <w:vAlign w:val="center"/>
            <w:shd w:val="clear" w:color="auto" w:fill="E2EFD9"/>
          </w:tcPr>
          <w:p w14:paraId="3DBD1FFC" w14:textId="77777777">
            <w:pPr>
              <w:bidi/>
              <w:spacing w:after="0" w:line="240" w:lineRule="auto"/>
              <w:jc w:val="right"/>
              <w:rPr>
                <w:color w:val="auto"/>
                <w:lang w:bidi="fa-IR"/>
              </w:rPr>
            </w:pPr>
            <w:r>
              <w:rPr>
                <w:rFonts w:ascii="Times New Roman" w:hAnsi="Times New Roman" w:hint="cs"/>
                <w:b/>
                <w:bCs/>
                <w:sz w:val="24"/>
                <w:szCs w:val="24"/>
                <w:lang w:bidi="fa-IR"/>
                <w:rtl/>
              </w:rPr>
              <w:t>مدل</w:t>
            </w:r>
          </w:p>
        </w:tc>
        <w:tc>
          <w:tcPr>
            <w:tcW w:w="1440" w:type="dxa"/>
            <w:vAlign w:val="center"/>
            <w:shd w:val="clear" w:color="auto" w:fill="E2EFD9"/>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vAlign w:val="center"/>
            <w:shd w:val="clear" w:color="auto" w:fill="E2EFD9"/>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vAlign w:val="center"/>
            <w:shd w:val="clear" w:color="auto" w:fill="E2EFD9"/>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vAlign w:val="center"/>
            <w:shd w:val="clear" w:color="auto" w:fill="E2EFD9"/>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vAlign w:val="center"/>
            <w:shd w:val="clear" w:color="auto" w:fill="E2EFD9"/>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vAlign w:val="center"/>
            <w:shd w:val="clear" w:color="auto" w:fill="E2EFD9"/>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vAlign w:val="center"/>
            <w:shd w:val="clear" w:color="auto" w:fill="E2EFD9"/>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jc w:val="center"/>
        </w:trPr>
        <w:tc>
          <w:tcPr>
            <w:tcW w:w="502" w:type="dxa"/>
            <w:vAlign w:val="center"/>
          </w:tcPr>
          <w:p w14:paraId="5A2FC12E"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1298" w:type="dxa"/>
            <w:vAlign w:val="center"/>
          </w:tcPr>
          <w:p w14:paraId="7512E0D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jc w:val="center"/>
        </w:trPr>
        <w:tc>
          <w:tcPr>
            <w:tcW w:w="502" w:type="dxa"/>
            <w:vAlign w:val="center"/>
          </w:tcPr>
          <w:p w14:paraId="26A7AB75" w14:textId="77777777">
            <w:pPr>
              <w:bidi/>
              <w:spacing w:after="0" w:line="240" w:lineRule="auto"/>
              <w:jc w:val="center"/>
              <w:rPr>
                <w:color w:val="auto"/>
                <w:lang w:bidi="fa-IR"/>
              </w:rPr>
            </w:pPr>
          </w:p>
        </w:tc>
        <w:tc>
          <w:tcPr>
            <w:tcW w:w="1298" w:type="dxa"/>
            <w:vAlign w:val="center"/>
          </w:tcPr>
          <w:p w14:paraId="096975BC"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vAlign w:val="center"/>
          </w:tcPr>
          <w:p w14:paraId="561EE959" w14:textId="77777777">
            <w:pPr>
              <w:bidi w:val="0"/>
              <w:spacing w:after="0" w:line="240" w:lineRule="auto"/>
              <w:jc w:val="center"/>
              <w:rPr>
                <w:rFonts w:ascii="Times New Roman" w:hAnsi="Times New Roman"/>
                <w:color w:val="auto"/>
                <w:lang w:bidi="fa-IR"/>
              </w:rPr>
            </w:pPr>
          </w:p>
        </w:tc>
        <w:tc>
          <w:tcPr>
            <w:tcW w:w="810" w:type="dxa"/>
            <w:vAlign w:val="center"/>
          </w:tcPr>
          <w:p w14:paraId="7AEAD0F9" w14:textId="77777777">
            <w:pPr>
              <w:bidi w:val="0"/>
              <w:spacing w:after="0" w:line="240" w:lineRule="auto"/>
              <w:jc w:val="center"/>
              <w:rPr>
                <w:rFonts w:ascii="Times New Roman" w:hAnsi="Times New Roman"/>
                <w:color w:val="auto"/>
                <w:lang w:bidi="fa-IR"/>
              </w:rPr>
            </w:pPr>
          </w:p>
        </w:tc>
        <w:tc>
          <w:tcPr>
            <w:tcW w:w="900" w:type="dxa"/>
            <w:vAlign w:val="center"/>
          </w:tcPr>
          <w:p w14:paraId="1D5FD1E7" w14:textId="77777777">
            <w:pPr>
              <w:bidi w:val="0"/>
              <w:spacing w:after="0" w:line="240" w:lineRule="auto"/>
              <w:jc w:val="center"/>
              <w:rPr>
                <w:rFonts w:ascii="Times New Roman" w:hAnsi="Times New Roman"/>
                <w:color w:val="auto"/>
                <w:lang w:bidi="fa-IR"/>
              </w:rPr>
            </w:pPr>
          </w:p>
        </w:tc>
        <w:tc>
          <w:tcPr>
            <w:tcW w:w="810" w:type="dxa"/>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jc w:val="center"/>
        </w:trPr>
        <w:tc>
          <w:tcPr>
            <w:tcW w:w="502" w:type="dxa"/>
            <w:vAlign w:val="center"/>
          </w:tcPr>
          <w:p w14:paraId="3AAEC2BD" w14:textId="77777777">
            <w:pPr>
              <w:bidi/>
              <w:spacing w:after="0" w:line="240" w:lineRule="auto"/>
              <w:jc w:val="center"/>
              <w:rPr>
                <w:color w:val="auto"/>
                <w:lang w:bidi="fa-IR"/>
              </w:rPr>
            </w:pPr>
            <w:r>
              <w:rPr>
                <w:rFonts w:ascii="Times New Roman" w:hAnsi="Times New Roman" w:hint="cs"/>
                <w:sz w:val="24"/>
                <w:szCs w:val="24"/>
                <w:lang w:bidi="fa-IR"/>
                <w:rtl/>
              </w:rPr>
              <w:t>۲</w:t>
            </w:r>
          </w:p>
        </w:tc>
        <w:tc>
          <w:tcPr>
            <w:tcW w:w="1298" w:type="dxa"/>
            <w:vAlign w:val="center"/>
          </w:tcPr>
          <w:p w14:paraId="5D71AA3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jc w:val="center"/>
        </w:trPr>
        <w:tc>
          <w:tcPr>
            <w:tcW w:w="502" w:type="dxa"/>
            <w:vAlign w:val="center"/>
          </w:tcPr>
          <w:p w14:paraId="5047A14E" w14:textId="77777777">
            <w:pPr>
              <w:bidi/>
              <w:spacing w:after="0" w:line="240" w:lineRule="auto"/>
              <w:jc w:val="center"/>
              <w:rPr>
                <w:color w:val="auto"/>
                <w:lang w:bidi="fa-IR"/>
              </w:rPr>
            </w:pPr>
          </w:p>
        </w:tc>
        <w:tc>
          <w:tcPr>
            <w:tcW w:w="1298" w:type="dxa"/>
            <w:vAlign w:val="center"/>
          </w:tcPr>
          <w:p w14:paraId="6703FC15"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vAlign w:val="center"/>
          </w:tcPr>
          <w:p w14:paraId="38A4C2D3" w14:textId="77777777">
            <w:pPr>
              <w:bidi w:val="0"/>
              <w:spacing w:after="0" w:line="240" w:lineRule="auto"/>
              <w:jc w:val="center"/>
              <w:rPr>
                <w:rFonts w:ascii="Times New Roman" w:hAnsi="Times New Roman"/>
                <w:color w:val="auto"/>
                <w:lang w:bidi="fa-IR"/>
              </w:rPr>
            </w:pPr>
          </w:p>
        </w:tc>
        <w:tc>
          <w:tcPr>
            <w:tcW w:w="810" w:type="dxa"/>
            <w:vAlign w:val="center"/>
          </w:tcPr>
          <w:p w14:paraId="23D2F783" w14:textId="77777777">
            <w:pPr>
              <w:bidi w:val="0"/>
              <w:spacing w:after="0" w:line="240" w:lineRule="auto"/>
              <w:jc w:val="center"/>
              <w:rPr>
                <w:rFonts w:ascii="Times New Roman" w:hAnsi="Times New Roman"/>
                <w:color w:val="auto"/>
                <w:lang w:bidi="fa-IR"/>
              </w:rPr>
            </w:pPr>
          </w:p>
        </w:tc>
        <w:tc>
          <w:tcPr>
            <w:tcW w:w="900" w:type="dxa"/>
            <w:vAlign w:val="center"/>
          </w:tcPr>
          <w:p w14:paraId="6F6E34C7" w14:textId="77777777">
            <w:pPr>
              <w:bidi w:val="0"/>
              <w:spacing w:after="0" w:line="240" w:lineRule="auto"/>
              <w:jc w:val="center"/>
              <w:rPr>
                <w:rFonts w:ascii="Times New Roman" w:hAnsi="Times New Roman"/>
                <w:color w:val="auto"/>
                <w:lang w:bidi="fa-IR"/>
              </w:rPr>
            </w:pPr>
          </w:p>
        </w:tc>
        <w:tc>
          <w:tcPr>
            <w:tcW w:w="810" w:type="dxa"/>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jc w:val="center"/>
        </w:trPr>
        <w:tc>
          <w:tcPr>
            <w:tcW w:w="502" w:type="dxa"/>
            <w:vAlign w:val="center"/>
          </w:tcPr>
          <w:p w14:paraId="59F5575D" w14:textId="77777777">
            <w:pPr>
              <w:bidi/>
              <w:spacing w:after="0" w:line="240" w:lineRule="auto"/>
              <w:jc w:val="center"/>
              <w:rPr>
                <w:color w:val="auto"/>
                <w:lang w:bidi="fa-IR"/>
              </w:rPr>
            </w:pPr>
            <w:r>
              <w:rPr>
                <w:rFonts w:ascii="Times New Roman" w:hAnsi="Times New Roman" w:hint="cs"/>
                <w:sz w:val="24"/>
                <w:szCs w:val="24"/>
                <w:lang w:bidi="fa-IR"/>
                <w:rtl/>
              </w:rPr>
              <w:t>۳</w:t>
            </w:r>
          </w:p>
        </w:tc>
        <w:tc>
          <w:tcPr>
            <w:tcW w:w="1298" w:type="dxa"/>
            <w:vAlign w:val="center"/>
          </w:tcPr>
          <w:p w14:paraId="34255E55"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jc w:val="center"/>
        </w:trPr>
        <w:tc>
          <w:tcPr>
            <w:tcW w:w="502" w:type="dxa"/>
            <w:vAlign w:val="center"/>
          </w:tcPr>
          <w:p w14:paraId="08CD8671" w14:textId="77777777">
            <w:pPr>
              <w:bidi/>
              <w:spacing w:after="0" w:line="240" w:lineRule="auto"/>
              <w:jc w:val="center"/>
              <w:rPr>
                <w:color w:val="auto"/>
                <w:lang w:bidi="fa-IR"/>
              </w:rPr>
            </w:pPr>
          </w:p>
        </w:tc>
        <w:tc>
          <w:tcPr>
            <w:tcW w:w="1298" w:type="dxa"/>
            <w:vAlign w:val="center"/>
          </w:tcPr>
          <w:p w14:paraId="4FAB5638"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vAlign w:val="center"/>
          </w:tcPr>
          <w:p w14:paraId="0CBA2DD5" w14:textId="77777777">
            <w:pPr>
              <w:bidi w:val="0"/>
              <w:spacing w:after="0" w:line="240" w:lineRule="auto"/>
              <w:jc w:val="center"/>
              <w:rPr>
                <w:rFonts w:ascii="Times New Roman" w:hAnsi="Times New Roman"/>
                <w:color w:val="auto"/>
                <w:lang w:bidi="fa-IR"/>
              </w:rPr>
            </w:pPr>
          </w:p>
        </w:tc>
        <w:tc>
          <w:tcPr>
            <w:tcW w:w="810" w:type="dxa"/>
            <w:vAlign w:val="center"/>
          </w:tcPr>
          <w:p w14:paraId="5D7CECC4" w14:textId="77777777">
            <w:pPr>
              <w:bidi w:val="0"/>
              <w:spacing w:after="0" w:line="240" w:lineRule="auto"/>
              <w:jc w:val="center"/>
              <w:rPr>
                <w:rFonts w:ascii="Times New Roman" w:hAnsi="Times New Roman"/>
                <w:color w:val="auto"/>
                <w:lang w:bidi="fa-IR"/>
              </w:rPr>
            </w:pPr>
          </w:p>
        </w:tc>
        <w:tc>
          <w:tcPr>
            <w:tcW w:w="900" w:type="dxa"/>
            <w:vAlign w:val="center"/>
          </w:tcPr>
          <w:p w14:paraId="1C93F160" w14:textId="77777777">
            <w:pPr>
              <w:bidi w:val="0"/>
              <w:spacing w:after="0" w:line="240" w:lineRule="auto"/>
              <w:jc w:val="center"/>
              <w:rPr>
                <w:rFonts w:ascii="Times New Roman" w:hAnsi="Times New Roman"/>
                <w:color w:val="auto"/>
                <w:lang w:bidi="fa-IR"/>
              </w:rPr>
            </w:pPr>
          </w:p>
        </w:tc>
        <w:tc>
          <w:tcPr>
            <w:tcW w:w="810" w:type="dxa"/>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jc w:val="center"/>
        </w:trPr>
        <w:tc>
          <w:tcPr>
            <w:tcW w:w="502" w:type="dxa"/>
            <w:vAlign w:val="center"/>
          </w:tcPr>
          <w:p w14:paraId="56F742E1" w14:textId="77777777">
            <w:pPr>
              <w:bidi/>
              <w:spacing w:after="0" w:line="240" w:lineRule="auto"/>
              <w:jc w:val="center"/>
              <w:rPr>
                <w:color w:val="auto"/>
                <w:lang w:bidi="fa-IR"/>
              </w:rPr>
            </w:pPr>
            <w:r>
              <w:rPr>
                <w:rFonts w:ascii="Times New Roman" w:hAnsi="Times New Roman" w:hint="cs"/>
                <w:sz w:val="24"/>
                <w:szCs w:val="24"/>
                <w:lang w:bidi="fa-IR"/>
                <w:rtl/>
              </w:rPr>
              <w:t>۴</w:t>
            </w:r>
          </w:p>
        </w:tc>
        <w:tc>
          <w:tcPr>
            <w:tcW w:w="1298" w:type="dxa"/>
            <w:vAlign w:val="center"/>
          </w:tcPr>
          <w:p w14:paraId="66CD90AC"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jc w:val="center"/>
        </w:trPr>
        <w:tc>
          <w:tcPr>
            <w:tcW w:w="502" w:type="dxa"/>
            <w:vAlign w:val="center"/>
          </w:tcPr>
          <w:p w14:paraId="0F2E6C6D" w14:textId="77777777">
            <w:pPr>
              <w:bidi/>
              <w:spacing w:after="0" w:line="240" w:lineRule="auto"/>
              <w:jc w:val="center"/>
              <w:rPr>
                <w:color w:val="auto"/>
                <w:lang w:bidi="fa-IR"/>
              </w:rPr>
            </w:pPr>
          </w:p>
        </w:tc>
        <w:tc>
          <w:tcPr>
            <w:tcW w:w="1298" w:type="dxa"/>
            <w:vAlign w:val="center"/>
          </w:tcPr>
          <w:p w14:paraId="030257E2"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vAlign w:val="center"/>
          </w:tcPr>
          <w:p w14:paraId="75FE9E1C" w14:textId="77777777">
            <w:pPr>
              <w:bidi w:val="0"/>
              <w:spacing w:after="0" w:line="240" w:lineRule="auto"/>
              <w:jc w:val="center"/>
              <w:rPr>
                <w:rFonts w:ascii="Times New Roman" w:hAnsi="Times New Roman"/>
                <w:color w:val="auto"/>
                <w:lang w:bidi="fa-IR"/>
              </w:rPr>
            </w:pPr>
          </w:p>
        </w:tc>
        <w:tc>
          <w:tcPr>
            <w:tcW w:w="810" w:type="dxa"/>
            <w:vAlign w:val="center"/>
          </w:tcPr>
          <w:p w14:paraId="4404905B" w14:textId="77777777">
            <w:pPr>
              <w:bidi w:val="0"/>
              <w:spacing w:after="0" w:line="240" w:lineRule="auto"/>
              <w:jc w:val="center"/>
              <w:rPr>
                <w:rFonts w:ascii="Times New Roman" w:hAnsi="Times New Roman"/>
                <w:color w:val="auto"/>
                <w:lang w:bidi="fa-IR"/>
              </w:rPr>
            </w:pPr>
          </w:p>
        </w:tc>
        <w:tc>
          <w:tcPr>
            <w:tcW w:w="900" w:type="dxa"/>
            <w:vAlign w:val="center"/>
          </w:tcPr>
          <w:p w14:paraId="7E22DA62" w14:textId="77777777">
            <w:pPr>
              <w:bidi w:val="0"/>
              <w:spacing w:after="0" w:line="240" w:lineRule="auto"/>
              <w:jc w:val="center"/>
              <w:rPr>
                <w:rFonts w:ascii="Times New Roman" w:hAnsi="Times New Roman"/>
                <w:color w:val="auto"/>
                <w:lang w:bidi="fa-IR"/>
              </w:rPr>
            </w:pPr>
          </w:p>
        </w:tc>
        <w:tc>
          <w:tcPr>
            <w:tcW w:w="810" w:type="dxa"/>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keepNext/>
        <w:autoSpaceDE/>
        <w:autoSpaceDN/>
        <w:bidi w:val="1"/>
        <w:adjustRightInd/>
        <w:spacing w:line="276" w:lineRule="auto"/>
        <w:ind w:firstLine="397"/>
        <w:jc w:val="right"/>
        <w:rPr>
          <w:rFonts w:cs="B Lotus" w:ascii="Times New Roman" w:hAnsi="Times New Roman" w:eastAsia="Times New Roman"/>
          <w:b/>
          <w:bCs/>
          <w:color w:val="000000"/>
          <w:sz w:val="24"/>
          <w:szCs w:val="24"/>
          <w:rtl/>
          <w:cs/>
          <w:lang w:bidi="fa-IR" w:val="en-US"/>
        </w:rPr>
      </w:pPr>
      <w:bookmarkStart w:id="150" w:name="_Toc238572112"/>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۹</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ضرایب رگرسیون گام به گام اضطراب مرگ بر روی متغیرهای پیش بین</w:t>
      </w:r>
      <w:bookmarkEnd w:id="15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718"/>
        <w:gridCol w:w="1016"/>
        <w:gridCol w:w="1691"/>
        <w:gridCol w:w="1096"/>
        <w:gridCol w:w="1111"/>
        <w:gridCol w:w="1156"/>
      </w:tblGrid>
      <w:tr w14:paraId="5190637F" w14:textId="77777777">
        <w:trPr>
          <w:cantSplit/>
          <w:tblHeader/>
          <w:jc w:val="center"/>
        </w:trPr>
        <w:tc>
          <w:tcPr>
            <w:tcW w:w="2692" w:type="dxa"/>
            <w:vAlign w:val="center"/>
            <w:shd w:val="clear" w:color="auto" w:fill="E2EFD9"/>
            <w:tcBorders>
              <w:tr2bl w:val="single" w:sz="8" w:space="0" w:color="000000"/>
            </w:tcBorders>
          </w:tcPr>
          <w:p w14:paraId="03424D75"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vAlign w:val="center"/>
            <w:shd w:val="clear" w:color="auto" w:fill="E2EFD9"/>
          </w:tcPr>
          <w:p w14:paraId="21A234FB" w14:textId="77777777">
            <w:pPr>
              <w:pStyle w:val="Normal"/>
              <w:bidi/>
              <w:spacing w:before="0" w:after="0" w:line="240" w:lineRule="auto"/>
              <w:jc w:val="center"/>
              <w:rPr>
                <w:rFonts w:cs="B Lotus"/>
                <w:color w:val="auto"/>
                <w:sz w:val="28"/>
                <w:szCs w:val="28"/>
                <w:lang w:bidi="fa-IR"/>
              </w:rPr>
            </w:pPr>
            <w:r>
              <w:rPr>
                <w:b/>
                <w:bCs/>
                <w:rtl w:val="0"/>
                <w:lang w:val="en-US"/>
              </w:rPr>
              <w:t>B</w:t>
            </w:r>
          </w:p>
        </w:tc>
        <w:tc>
          <w:tcPr>
            <w:tcW w:w="1674" w:type="dxa"/>
            <w:vAlign w:val="center"/>
            <w:shd w:val="clear" w:color="auto" w:fill="E2EFD9"/>
          </w:tcPr>
          <w:p w14:paraId="66D752DB"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خطای استاندارد</w:t>
            </w:r>
          </w:p>
        </w:tc>
        <w:tc>
          <w:tcPr>
            <w:tcW w:w="1085" w:type="dxa"/>
            <w:vAlign w:val="center"/>
            <w:shd w:val="clear" w:color="auto" w:fill="E2EFD9"/>
          </w:tcPr>
          <w:p w14:paraId="6D928BF3"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vAlign w:val="center"/>
            <w:shd w:val="clear" w:color="auto" w:fill="E2EFD9"/>
          </w:tcPr>
          <w:p w14:paraId="2A0FD4CD" w14:textId="77777777">
            <w:pPr>
              <w:pStyle w:val="Normal"/>
              <w:bidi/>
              <w:spacing w:before="0" w:after="0" w:line="240" w:lineRule="auto"/>
              <w:jc w:val="center"/>
              <w:rPr>
                <w:rFonts w:cs="B Lotus"/>
                <w:color w:val="auto"/>
                <w:sz w:val="28"/>
                <w:szCs w:val="28"/>
                <w:lang w:bidi="fa-IR"/>
              </w:rPr>
            </w:pPr>
            <w:r>
              <w:rPr>
                <w:b/>
                <w:bCs/>
                <w:rtl w:val="0"/>
                <w:lang w:val="en-US"/>
              </w:rPr>
              <w:t>t</w:t>
            </w:r>
          </w:p>
        </w:tc>
        <w:tc>
          <w:tcPr>
            <w:tcW w:w="1145" w:type="dxa"/>
            <w:vAlign w:val="center"/>
            <w:shd w:val="clear" w:color="auto" w:fill="E2EFD9"/>
          </w:tcPr>
          <w:p w14:paraId="3C638920"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vAlign w:val="center"/>
          </w:tcPr>
          <w:p w14:paraId="2B45D4EE"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ثابت</w:t>
            </w:r>
          </w:p>
        </w:tc>
        <w:tc>
          <w:tcPr>
            <w:tcW w:w="1006" w:type="dxa"/>
            <w:vAlign w:val="center"/>
          </w:tcPr>
          <w:p w14:paraId="3106877A" w14:textId="77777777">
            <w:pPr>
              <w:pStyle w:val="Normal"/>
              <w:bidi/>
              <w:spacing w:before="0" w:after="0" w:line="240" w:lineRule="auto"/>
              <w:jc w:val="center"/>
              <w:rPr>
                <w:rFonts w:cs="B Lotus"/>
                <w:color w:val="auto"/>
                <w:sz w:val="28"/>
                <w:szCs w:val="28"/>
                <w:lang w:bidi="fa-IR"/>
              </w:rPr>
            </w:pPr>
            <w:r>
              <w:rPr>
                <w:rFonts w:cs="B Lotus"/>
                <w:rtl/>
                <w:lang w:bidi="fa-IR"/>
              </w:rPr>
              <w:t>۸۲/۵۷</w:t>
            </w:r>
          </w:p>
        </w:tc>
        <w:tc>
          <w:tcPr>
            <w:tcW w:w="1674" w:type="dxa"/>
            <w:vAlign w:val="center"/>
          </w:tcPr>
          <w:p w14:paraId="62882511"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۱۱/۴</w:t>
            </w:r>
          </w:p>
        </w:tc>
        <w:tc>
          <w:tcPr>
            <w:tcW w:w="1085" w:type="dxa"/>
            <w:vAlign w:val="center"/>
          </w:tcPr>
          <w:p w14:paraId="1C02DD89"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w:t>
            </w:r>
          </w:p>
        </w:tc>
        <w:tc>
          <w:tcPr>
            <w:tcW w:w="1100" w:type="dxa"/>
            <w:vAlign w:val="center"/>
          </w:tcPr>
          <w:p w14:paraId="34F99AE0" w14:textId="77777777">
            <w:pPr>
              <w:pStyle w:val="Normal"/>
              <w:bidi/>
              <w:spacing w:before="0" w:after="0" w:line="240" w:lineRule="auto"/>
              <w:jc w:val="center"/>
              <w:rPr>
                <w:rFonts w:cs="B Lotus"/>
                <w:color w:val="auto"/>
                <w:sz w:val="28"/>
                <w:szCs w:val="28"/>
                <w:lang w:bidi="fa-IR"/>
              </w:rPr>
            </w:pPr>
            <w:r>
              <w:rPr>
                <w:rFonts w:cs="B Lotus"/>
                <w:rtl/>
                <w:lang w:bidi="fa-IR"/>
              </w:rPr>
              <w:t>۰۷/۱۴</w:t>
            </w:r>
          </w:p>
        </w:tc>
        <w:tc>
          <w:tcPr>
            <w:tcW w:w="1145" w:type="dxa"/>
            <w:vAlign w:val="center"/>
          </w:tcPr>
          <w:p w14:paraId="66B74F80"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vAlign w:val="center"/>
          </w:tcPr>
          <w:p w14:paraId="2651A611"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اضطراب سلامتی</w:t>
            </w:r>
          </w:p>
        </w:tc>
        <w:tc>
          <w:tcPr>
            <w:tcW w:w="1006" w:type="dxa"/>
            <w:vAlign w:val="center"/>
          </w:tcPr>
          <w:p w14:paraId="255CB092" w14:textId="77777777">
            <w:pPr>
              <w:pStyle w:val="Normal"/>
              <w:bidi/>
              <w:spacing w:before="0" w:after="0" w:line="240" w:lineRule="auto"/>
              <w:jc w:val="center"/>
              <w:rPr>
                <w:rFonts w:cs="B Lotus"/>
                <w:color w:val="auto"/>
                <w:sz w:val="28"/>
                <w:szCs w:val="28"/>
                <w:lang w:bidi="fa-IR"/>
              </w:rPr>
            </w:pPr>
            <w:r>
              <w:rPr>
                <w:rFonts w:cs="B Lotus"/>
                <w:rtl/>
                <w:lang w:bidi="fa-IR"/>
              </w:rPr>
              <w:t>۴۸/۰</w:t>
            </w:r>
          </w:p>
        </w:tc>
        <w:tc>
          <w:tcPr>
            <w:tcW w:w="1674" w:type="dxa"/>
            <w:vAlign w:val="center"/>
          </w:tcPr>
          <w:p w14:paraId="6FEE951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۰۷/۰</w:t>
            </w:r>
          </w:p>
        </w:tc>
        <w:tc>
          <w:tcPr>
            <w:tcW w:w="1085" w:type="dxa"/>
            <w:vAlign w:val="center"/>
          </w:tcPr>
          <w:p w14:paraId="2ED9D10C"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vAlign w:val="center"/>
          </w:tcPr>
          <w:p w14:paraId="7535766C" w14:textId="77777777">
            <w:pPr>
              <w:pStyle w:val="Normal"/>
              <w:bidi/>
              <w:spacing w:before="0" w:after="0" w:line="240" w:lineRule="auto"/>
              <w:jc w:val="center"/>
              <w:rPr>
                <w:rFonts w:cs="B Lotus"/>
                <w:color w:val="auto"/>
                <w:sz w:val="28"/>
                <w:szCs w:val="28"/>
                <w:lang w:bidi="fa-IR"/>
              </w:rPr>
            </w:pPr>
            <w:r>
              <w:rPr>
                <w:rFonts w:cs="B Lotus"/>
                <w:rtl/>
                <w:lang w:bidi="fa-IR"/>
              </w:rPr>
              <w:t>۸۵/۶</w:t>
            </w:r>
          </w:p>
        </w:tc>
        <w:tc>
          <w:tcPr>
            <w:tcW w:w="1145" w:type="dxa"/>
            <w:vAlign w:val="center"/>
          </w:tcPr>
          <w:p w14:paraId="1F0D0EDD"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vAlign w:val="center"/>
          </w:tcPr>
          <w:p w14:paraId="3FCF657A"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هوش معنوی</w:t>
            </w:r>
          </w:p>
        </w:tc>
        <w:tc>
          <w:tcPr>
            <w:tcW w:w="1006" w:type="dxa"/>
            <w:vAlign w:val="center"/>
          </w:tcPr>
          <w:p w14:paraId="1274C66D" w14:textId="77777777">
            <w:pPr>
              <w:pStyle w:val="Normal"/>
              <w:bidi/>
              <w:spacing w:before="0" w:after="0" w:line="240" w:lineRule="auto"/>
              <w:jc w:val="center"/>
              <w:rPr>
                <w:rFonts w:cs="B Lotus"/>
                <w:color w:val="auto"/>
                <w:sz w:val="28"/>
                <w:szCs w:val="28"/>
                <w:lang w:bidi="fa-IR"/>
              </w:rPr>
            </w:pPr>
            <w:r>
              <w:rPr>
                <w:rFonts w:cs="B Lotus"/>
                <w:rtl/>
                <w:lang w:bidi="fa-IR"/>
              </w:rPr>
              <w:t>۳۱/۰-</w:t>
            </w:r>
          </w:p>
        </w:tc>
        <w:tc>
          <w:tcPr>
            <w:tcW w:w="1674" w:type="dxa"/>
            <w:vAlign w:val="center"/>
          </w:tcPr>
          <w:p w14:paraId="24ECF38E"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31484BA7"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vAlign w:val="center"/>
          </w:tcPr>
          <w:p w14:paraId="3D8B20EE" w14:textId="77777777">
            <w:pPr>
              <w:pStyle w:val="Normal"/>
              <w:bidi/>
              <w:spacing w:before="0" w:after="0" w:line="240" w:lineRule="auto"/>
              <w:jc w:val="center"/>
              <w:rPr>
                <w:rFonts w:cs="B Lotus"/>
                <w:color w:val="auto"/>
                <w:sz w:val="28"/>
                <w:szCs w:val="28"/>
                <w:lang w:bidi="fa-IR"/>
              </w:rPr>
            </w:pPr>
            <w:r>
              <w:rPr>
                <w:rFonts w:cs="B Lotus"/>
                <w:rtl/>
                <w:lang w:bidi="fa-IR"/>
              </w:rPr>
              <w:t>۸۸/۳-</w:t>
            </w:r>
          </w:p>
        </w:tc>
        <w:tc>
          <w:tcPr>
            <w:tcW w:w="1145" w:type="dxa"/>
            <w:vAlign w:val="center"/>
          </w:tcPr>
          <w:p w14:paraId="1D7B2D7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vAlign w:val="center"/>
          </w:tcPr>
          <w:p w14:paraId="09525CFF"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ایجاد معنای شخصی</w:t>
            </w:r>
          </w:p>
        </w:tc>
        <w:tc>
          <w:tcPr>
            <w:tcW w:w="1006" w:type="dxa"/>
            <w:vAlign w:val="center"/>
          </w:tcPr>
          <w:p w14:paraId="37C651D8" w14:textId="77777777">
            <w:pPr>
              <w:pStyle w:val="Normal"/>
              <w:bidi/>
              <w:spacing w:before="0" w:after="0" w:line="240" w:lineRule="auto"/>
              <w:jc w:val="center"/>
              <w:rPr>
                <w:rFonts w:cs="B Lotus"/>
                <w:color w:val="auto"/>
                <w:sz w:val="28"/>
                <w:szCs w:val="28"/>
                <w:lang w:bidi="fa-IR"/>
              </w:rPr>
            </w:pPr>
            <w:r>
              <w:rPr>
                <w:rFonts w:cs="B Lotus"/>
                <w:rtl/>
                <w:lang w:bidi="fa-IR"/>
              </w:rPr>
              <w:t>۲۴/۰-</w:t>
            </w:r>
          </w:p>
        </w:tc>
        <w:tc>
          <w:tcPr>
            <w:tcW w:w="1674" w:type="dxa"/>
            <w:vAlign w:val="center"/>
          </w:tcPr>
          <w:p w14:paraId="4E3E8F94"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۰۹/۰</w:t>
            </w:r>
          </w:p>
        </w:tc>
        <w:tc>
          <w:tcPr>
            <w:tcW w:w="1085" w:type="dxa"/>
            <w:vAlign w:val="center"/>
          </w:tcPr>
          <w:p w14:paraId="5116FEE0"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vAlign w:val="center"/>
          </w:tcPr>
          <w:p w14:paraId="7A3CB69B" w14:textId="77777777">
            <w:pPr>
              <w:pStyle w:val="Normal"/>
              <w:bidi/>
              <w:spacing w:before="0" w:after="0" w:line="240" w:lineRule="auto"/>
              <w:jc w:val="center"/>
              <w:rPr>
                <w:rFonts w:cs="B Lotus"/>
                <w:color w:val="auto"/>
                <w:sz w:val="28"/>
                <w:szCs w:val="28"/>
                <w:lang w:bidi="fa-IR"/>
              </w:rPr>
            </w:pPr>
            <w:r>
              <w:rPr>
                <w:rFonts w:cs="B Lotus"/>
                <w:rtl/>
                <w:lang w:bidi="fa-IR"/>
              </w:rPr>
              <w:t>۶۷/۲-</w:t>
            </w:r>
          </w:p>
        </w:tc>
        <w:tc>
          <w:tcPr>
            <w:tcW w:w="1145" w:type="dxa"/>
            <w:vAlign w:val="center"/>
          </w:tcPr>
          <w:p w14:paraId="06365358"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vAlign w:val="center"/>
          </w:tcPr>
          <w:p w14:paraId="35A0F804"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vAlign w:val="center"/>
          </w:tcPr>
          <w:p w14:paraId="7B578419" w14:textId="77777777">
            <w:pPr>
              <w:pStyle w:val="Normal"/>
              <w:bidi/>
              <w:spacing w:before="0" w:after="0" w:line="240" w:lineRule="auto"/>
              <w:jc w:val="center"/>
              <w:rPr>
                <w:rFonts w:cs="B Lotus"/>
                <w:color w:val="auto"/>
                <w:sz w:val="28"/>
                <w:szCs w:val="28"/>
                <w:lang w:bidi="fa-IR"/>
              </w:rPr>
            </w:pPr>
            <w:r>
              <w:rPr>
                <w:rFonts w:cs="B Lotus"/>
                <w:rtl/>
                <w:lang w:bidi="fa-IR"/>
              </w:rPr>
              <w:t>۱۹/۰-</w:t>
            </w:r>
          </w:p>
        </w:tc>
        <w:tc>
          <w:tcPr>
            <w:tcW w:w="1674" w:type="dxa"/>
            <w:vAlign w:val="center"/>
          </w:tcPr>
          <w:p w14:paraId="67739A55"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58F49468"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vAlign w:val="center"/>
          </w:tcPr>
          <w:p w14:paraId="39EE3857" w14:textId="77777777">
            <w:pPr>
              <w:pStyle w:val="Normal"/>
              <w:bidi/>
              <w:spacing w:before="0" w:after="0" w:line="240" w:lineRule="auto"/>
              <w:jc w:val="center"/>
              <w:rPr>
                <w:rFonts w:cs="B Lotus"/>
                <w:color w:val="auto"/>
                <w:sz w:val="28"/>
                <w:szCs w:val="28"/>
                <w:lang w:bidi="fa-IR"/>
              </w:rPr>
            </w:pPr>
            <w:r>
              <w:rPr>
                <w:rFonts w:cs="B Lotus"/>
                <w:rtl/>
                <w:lang w:bidi="fa-IR"/>
              </w:rPr>
              <w:t>۳۷/۲-</w:t>
            </w:r>
          </w:p>
        </w:tc>
        <w:tc>
          <w:tcPr>
            <w:tcW w:w="1145" w:type="dxa"/>
            <w:vAlign w:val="center"/>
          </w:tcPr>
          <w:p w14:paraId="02F4444A"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۰۲۰/۰</w:t>
            </w:r>
          </w:p>
        </w:tc>
      </w:tr>
    </w:tbl>
    <w:p w14:paraId="5FFD327B" w14:textId="6E6EF8CE">
      <w:pPr>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 xml:space="preserve">با توجه به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همچنین 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توجه به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b/>
          <w:bCs/>
          <w:color w:val="000000"/>
          <w:sz w:val="56"/>
          <w:szCs w:val="56"/>
          <w:rtl/>
          <w:cs/>
          <w:lang w:bidi="fa-IR"/>
        </w:rPr>
        <w:lastRenderedPageBreak/>
        <w:t>فصل پنجم: بحث و نتیجه‌گیری</w:t>
      </w:r>
      <w:bookmarkEnd w:id="154"/>
    </w:p>
    <w:p w14:paraId="6C2E88EF" w14:textId="77777777">
      <w:pPr>
        <w:pStyle w:val="Heading2"/>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color w:val="000000"/>
          <w:sz w:val="30"/>
          <w:szCs w:val="30"/>
          <w:rtl/>
          <w:cs/>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Style w:val="FootnoteReference"/>
          <w:rFonts w:ascii="Times New Roman" w:eastAsia="Times New Roman" w:hAnsi="Times New Roman" w:hint="cs" w:cs="Times New Roman"/>
          <w:vertAlign w:val="superscript"/>
          <w:lang w:bidi="fa-IR" w:val="en-US"/>
          <w:sz w:val="20"/>
          <w:szCs w:val="20"/>
          <w:rtl w:val="0"/>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pPr>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Style w:val="FootnoteReference"/>
          <w:rFonts w:ascii="Times New Roman" w:hAnsi="Times New Roman" w:hint="cs" w:eastAsia="Times New Roman" w:cs="Times New Roman"/>
          <w:vertAlign w:val="superscript"/>
          <w:lang w:bidi="fa-IR" w:val="en-US"/>
          <w:sz w:val="20"/>
          <w:szCs w:val="20"/>
          <w:rtl w:val="0"/>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Style w:val="FootnoteReference"/>
          <w:rFonts w:ascii="Times New Roman" w:hAnsi="Times New Roman" w:hint="cs" w:eastAsia="Times New Roman" w:cs="Times New Roman"/>
          <w:vertAlign w:val="superscript"/>
          <w:lang w:bidi="fa-IR" w:val="en-US"/>
          <w:sz w:val="20"/>
          <w:szCs w:val="20"/>
          <w:rtl w:val="0"/>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لرزش، لرزیدن، تحریک پذیری، تعریق، حالت تهوع و... است.</w:t>
      </w:r>
      <w:r>
        <w:rPr>
          <w:rFonts w:ascii="Times New Roman" w:hAnsi="Times New Roman" w:hint="cs"/>
          <w:lang w:bidi="fa-IR"/>
          <w:rtl/>
        </w:rPr>
        <w:t xml:space="preserve"> </w:t>
      </w:r>
      <w:r>
        <w:rPr>
          <w:rFonts w:ascii="Times New Roman" w:hAnsi="Times New Roman" w:hint="cs"/>
          <w:lang w:bidi="fa-IR"/>
          <w:rtl/>
        </w:rPr>
        <w:t xml:space="preserve">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r>
        <w:rPr>
          <w:rFonts w:ascii="Times New Roman" w:eastAsia="Times New Roman" w:hAnsi="Times New Roman" w:hint="cs"/>
          <w:lang w:bidi="fa-IR"/>
          <w:rtl/>
        </w:rPr>
        <w:t>،</w:t>
      </w:r>
      <w:r>
        <w:rPr>
          <w:rFonts w:ascii="Times New Roman" w:eastAsia="Times New Roman" w:hAnsi="Times New Roman" w:hint="cs"/>
          <w:lang w:bidi="fa-IR"/>
          <w:rtl/>
        </w:rPr>
        <w:t xml:space="preserve"> از منظر نظری و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pPr>
        <w:pStyle w:val="Heading2"/>
        <w:bidi w:val="1"/>
        <w:spacing w:before="240" w:after="100" w:line="276" w:lineRule="auto"/>
        <w:jc w:val="right"/>
        <w:rPr>
          <w:rFonts w:ascii="Times New Roman" w:hAnsi="Times New Roman" w:eastAsia="Times New Roman" w:cs="B Titr"/>
          <w:b/>
          <w:bCs/>
          <w:color w:val="000000"/>
          <w:sz w:val="30"/>
          <w:szCs w:val="30"/>
          <w:rtl/>
          <w:cs/>
          <w:lang w:bidi="fa-IR" w:val="en-US"/>
        </w:rPr>
      </w:pPr>
      <w:r>
        <w:rPr>
          <w:rFonts w:ascii="Times New Roman" w:hAnsi="Times New Roman" w:cs="B Titr" w:eastAsia="Times New Roman"/>
          <w:b/>
          <w:bCs/>
          <w:color w:val="000000"/>
          <w:sz w:val="30"/>
          <w:szCs w:val="30"/>
          <w:rtl/>
          <w:cs/>
          <w:lang w:bidi="fa-IR"/>
        </w:rPr>
        <w:t>۵-۲- محدودیت‌های تحقیق</w:t>
      </w:r>
    </w:p>
    <w:p w14:paraId="7A14D2B7" w14:textId="77777777">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از جمله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bookmarkEnd w:id="187"/>
      <w:bookmarkEnd w:id="188"/>
      <w:bookmarkEnd w:id="189"/>
    </w:p>
    <w:p w14:paraId="0BE4ABA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w:t>
      </w:r>
      <w:r>
        <w:rPr>
          <w:rFonts w:ascii="Times New Roman" w:eastAsia="Times New Roman" w:hAnsi="Times New Roman" w:hint="cs"/>
          <w:lang w:bidi="fa-IR"/>
          <w:rtl/>
        </w:rPr>
        <w:t xml:space="preserve">، 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color w:val="000000"/>
          <w:sz w:val="30"/>
          <w:szCs w:val="30"/>
          <w:rtl/>
          <w:cs/>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color w:val="000000"/>
          <w:sz w:val="30"/>
          <w:szCs w:val="30"/>
          <w:rtl/>
          <w:cs/>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color w:val="000000"/>
          <w:sz w:val="30"/>
          <w:szCs w:val="30"/>
          <w:rtl/>
          <w:cs/>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pPr>
        <w:spacing w:after="0" w:line="276" w:lineRule="auto"/>
        <w:ind w:firstLine="397"/>
        <w:jc w:val="both"/>
        <w:rPr>
          <w:lang w:bidi="fa-IR"/>
        </w:rPr>
      </w:pPr>
      <w:r>
        <w:rPr>
          <w:rFonts w:ascii="Times New Roman" w:hAnsi="Times New Roman" w:hint="cs"/>
          <w:lang w:bidi="fa-IR"/>
          <w:rtl/>
        </w:rPr>
        <w:t xml:space="preserve">_ </w:t>
      </w:r>
      <w:r>
        <w:rPr>
          <w:rFonts w:ascii="Times New Roman" w:hAnsi="Times New Roman" w:hint="cs"/>
          <w:lang w:bidi="fa-IR"/>
          <w:rtl/>
        </w:rPr>
        <w:t>بر اساس</w:t>
      </w:r>
      <w:r>
        <w:rPr>
          <w:rFonts w:ascii="Times New Roman" w:hAnsi="Times New Roman" w:hint="cs"/>
          <w:lang w:bidi="fa-IR"/>
          <w:rtl/>
        </w:rPr>
        <w:t xml:space="preserve"> </w:t>
      </w:r>
      <w:r>
        <w:rPr>
          <w:rFonts w:ascii="Times New Roman" w:hAnsi="Times New Roman" w:hint="cs"/>
          <w:lang w:bidi="fa-IR"/>
          <w:rtl/>
        </w:rPr>
        <w:t xml:space="preserve">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bidi w:val="1"/>
        <w:spacing w:after="100" w:line="276" w:lineRule="auto" w:before="0"/>
        <w:jc w:val="right"/>
        <w:rPr>
          <w:rFonts w:ascii="Times New Roman" w:hAnsi="Times New Roman" w:eastAsia="Times New Roman" w:cs="B Titr"/>
          <w:b/>
          <w:bCs/>
          <w:color w:val="000000"/>
          <w:sz w:val="56"/>
          <w:szCs w:val="56"/>
          <w:rtl/>
          <w:cs/>
          <w:lang w:bidi="fa-IR" w:val="en-US"/>
        </w:rPr>
      </w:pPr>
      <w:bookmarkStart w:id="235" w:name="_Toc238572101"/>
      <w:r>
        <w:rPr>
          <w:rFonts w:ascii="Times New Roman" w:hAnsi="Times New Roman" w:cs="B Titr" w:eastAsia="Times New Roman"/>
          <w:b/>
          <w:bCs/>
          <w:color w:val="000000"/>
          <w:sz w:val="56"/>
          <w:szCs w:val="56"/>
          <w:rtl/>
          <w:cs/>
          <w:lang w:bidi="fa-IR"/>
        </w:rPr>
        <w:lastRenderedPageBreak/>
        <w:t>منابع فارسی</w:t>
      </w:r>
      <w:bookmarkEnd w:id="235"/>
    </w:p>
    <w:p w14:paraId="665539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pageBreakBefore/>
        <w:autoSpaceDE/>
        <w:autoSpaceDN/>
        <w:bidi w:val="1"/>
        <w:adjustRightInd/>
        <w:spacing w:after="0" w:line="276" w:lineRule="auto" w:before="0"/>
        <w:ind w:firstLine="397"/>
        <w:jc w:val="right"/>
        <w:rPr>
          <w:rFonts w:ascii="Times New Roman" w:hAnsi="Times New Roman" w:eastAsia="Times New Roman" w:cs="B Titr"/>
          <w:b/>
          <w:bCs/>
          <w:color w:val="000000"/>
          <w:sz w:val="56"/>
          <w:szCs w:val="56"/>
          <w:rtl/>
          <w:cs/>
          <w:lang w:bidi="fa-IR" w:val="en-US"/>
        </w:rPr>
      </w:pPr>
      <w:bookmarkStart w:id="236" w:name="_Toc238572102"/>
      <w:r>
        <w:rPr>
          <w:rFonts w:ascii="Times New Roman" w:hAnsi="Times New Roman" w:cs="B Titr" w:eastAsia="Times New Roman"/>
          <w:b/>
          <w:bCs/>
          <w:color w:val="000000"/>
          <w:sz w:val="56"/>
          <w:szCs w:val="56"/>
          <w:rtl/>
          <w:cs/>
          <w:lang w:bidi="fa-IR"/>
        </w:rPr>
        <w:t>منابع لاتین</w:t>
      </w:r>
      <w:bookmarkEnd w:id="236"/>
    </w:p>
    <w:p w14:paraId="0D7FF25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Abramowitz, J. S., &amp; Braddock, A. E. (2023). Psychological Treatment of Health Anxiety and Illness Anxiety Disorder. Guilford Press.</w:t>
      </w:r>
    </w:p>
    <w:p w14:paraId="0080DE3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Psychiatric Association (2022). Diagnostic and Statistical Manual of Mental Disorders (5th ed., Text Revision; DSM-5-TR). Washington, DC: American Psychiatric Association.</w:t>
      </w:r>
    </w:p>
    <w:p w14:paraId="6ADA431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Psychological Association. (2023). Clinical Practice Guideline for the Treatment of Depression and Anxiety in Older Adults.</w:t>
      </w:r>
    </w:p>
    <w:p w14:paraId="524DACE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Amiri, S., </w:t>
      </w:r>
      <w:r>
        <w:rPr>
          <w:rFonts w:ascii="Times New Roman" w:eastAsia="Times New Roman" w:hAnsi="Times New Roman" w:cs="Times New Roman"/>
          <w:sz w:val="24"/>
          <w:szCs w:val="24"/>
          <w:rtl w:val="0"/>
          <w:cs w:val="0"/>
          <w:lang w:val="en-US"/>
        </w:rPr>
        <w:t>Ghaffari</w:t>
      </w:r>
      <w:r>
        <w:rPr>
          <w:rFonts w:ascii="Times New Roman" w:eastAsia="Times New Roman" w:hAnsi="Times New Roman" w:cs="Times New Roman"/>
          <w:sz w:val="24"/>
          <w:szCs w:val="24"/>
          <w:rtl w:val="0"/>
          <w:cs w:val="0"/>
          <w:lang w:val="en-US"/>
        </w:rPr>
        <w:t xml:space="preserve">, M., &amp; </w:t>
      </w:r>
      <w:r>
        <w:rPr>
          <w:rFonts w:ascii="Times New Roman" w:eastAsia="Times New Roman" w:hAnsi="Times New Roman" w:cs="Times New Roman"/>
          <w:sz w:val="24"/>
          <w:szCs w:val="24"/>
          <w:rtl w:val="0"/>
          <w:cs w:val="0"/>
          <w:lang w:val="en-US"/>
        </w:rPr>
        <w:t>Shafiei</w:t>
      </w:r>
      <w:r>
        <w:rPr>
          <w:rFonts w:ascii="Times New Roman" w:eastAsia="Times New Roman" w:hAnsi="Times New Roman" w:cs="Times New Roman"/>
          <w:sz w:val="24"/>
          <w:szCs w:val="24"/>
          <w:rtl w:val="0"/>
          <w:cs w:val="0"/>
          <w:lang w:val="en-US"/>
        </w:rPr>
        <w:t>, M. (2016). The effect of spiritual intelligence on psychological health among elderly people. Aging &amp; Mental Health, 20(6), 610-617.</w:t>
      </w:r>
    </w:p>
    <w:p w14:paraId="08EE87D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Atchison, K; et al. (2024). Detection of anxiety symptoms and disorders in older adults: A diagnostic accuracy systematic review. Age and Ageing. </w:t>
      </w:r>
      <w:hyperlink r:id="rIdU100">
        <w:r>
          <w:rPr>
            <w:rStyle w:val="Hyperlink"/>
            <w:rFonts w:ascii="Times New Roman" w:eastAsia="Times New Roman" w:hAnsi="Times New Roman" w:cs="Times New Roman"/>
            <w:sz w:val="24"/>
            <w:szCs w:val="24"/>
            <w:rtl w:val="0"/>
            <w:lang w:val="en-US"/>
          </w:rPr>
          <w:t xml:space="preserve">https://doi.org/10.1093/ageing/afae122</w:t>
        </w:r>
      </w:hyperlink>
    </w:p>
    <w:p w14:paraId="41DEE56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Atchley, R. C. (1989). A Continuity Theory of Normal Aging. The Gerontologist, 29(2), 183–190.</w:t>
      </w:r>
    </w:p>
    <w:p w14:paraId="1F1287A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Atchley, R. C. (2016). Social Forces and Aging: An Introduction to Social Gerontology (14 </w:t>
      </w:r>
      <w:r>
        <w:rPr>
          <w:rFonts w:ascii="Times New Roman" w:eastAsia="Times New Roman" w:hAnsi="Times New Roman" w:cs="Times New Roman"/>
          <w:sz w:val="24"/>
          <w:szCs w:val="24"/>
          <w:rtl w:val="0"/>
          <w:cs w:val="0"/>
          <w:lang w:val="en-US"/>
        </w:rPr>
        <w:t>thed</w:t>
      </w:r>
      <w:r>
        <w:rPr>
          <w:rFonts w:ascii="Times New Roman" w:eastAsia="Times New Roman" w:hAnsi="Times New Roman" w:cs="Times New Roman"/>
          <w:sz w:val="24"/>
          <w:szCs w:val="24"/>
          <w:rtl w:val="0"/>
          <w:cs w:val="0"/>
          <w:lang w:val="en-US"/>
        </w:rPr>
        <w:t>). Cengage Learning.</w:t>
      </w:r>
    </w:p>
    <w:p w14:paraId="24EA6A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Beck, J. S., &amp; Haigh, E. A. P. (2014). Advances in Cognitive Theory and Therapy: The Generic Cognitive Model. Annual Review of Clinical Psychology, 10, 1–24.</w:t>
      </w:r>
    </w:p>
    <w:p w14:paraId="5000EAB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Bolton, D; &amp; Gillett, G. (2019). The biopsychosocial model of health and disease: New philosophical and scientific developments. Palgrave Macmillan. </w:t>
      </w:r>
      <w:hyperlink r:id="rIdU101">
        <w:r>
          <w:rPr>
            <w:rStyle w:val="Hyperlink"/>
            <w:rFonts w:ascii="Times New Roman" w:eastAsia="Times New Roman" w:hAnsi="Times New Roman" w:cs="Times New Roman"/>
            <w:sz w:val="24"/>
            <w:szCs w:val="24"/>
            <w:rtl w:val="0"/>
            <w:lang w:val="en-US"/>
          </w:rPr>
          <w:t xml:space="preserve">https://doi.org/10.1007/978-3-030-11899-0</w:t>
        </w:r>
      </w:hyperlink>
    </w:p>
    <w:p w14:paraId="4E39BE5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Campisi</w:t>
      </w:r>
      <w:r>
        <w:rPr>
          <w:rFonts w:ascii="Times New Roman" w:eastAsia="Times New Roman" w:hAnsi="Times New Roman" w:cs="Times New Roman"/>
          <w:sz w:val="24"/>
          <w:szCs w:val="24"/>
          <w:rtl w:val="0"/>
          <w:cs w:val="0"/>
          <w:lang w:val="en-US"/>
        </w:rPr>
        <w:t>, J. (2024). Cellular Senescence and Organismal Aging. Nature Reviews Molecular Cell Biology.</w:t>
      </w:r>
    </w:p>
    <w:p w14:paraId="184797C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Chen, Y; et al. (2023). Effects of Progressive Muscle Relaxation on anxiety, sleep quality, and quality of life in older adults: A systematic review and meta-analysis. Complementary Therapies in Medicine.</w:t>
      </w:r>
    </w:p>
    <w:p w14:paraId="0D96590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Chlan</w:t>
      </w:r>
      <w:r>
        <w:rPr>
          <w:rFonts w:ascii="Times New Roman" w:eastAsia="Times New Roman" w:hAnsi="Times New Roman" w:cs="Times New Roman"/>
          <w:sz w:val="24"/>
          <w:szCs w:val="24"/>
          <w:rtl w:val="0"/>
          <w:cs w:val="0"/>
          <w:lang w:val="en-US"/>
        </w:rPr>
        <w:t xml:space="preserve">, K.M. </w:t>
      </w:r>
      <w:r>
        <w:rPr>
          <w:rFonts w:ascii="Times New Roman" w:eastAsia="Times New Roman" w:hAnsi="Times New Roman" w:cs="Times New Roman"/>
          <w:sz w:val="24"/>
          <w:szCs w:val="24"/>
          <w:rtl w:val="0"/>
          <w:cs w:val="0"/>
          <w:lang w:val="en-US"/>
        </w:rPr>
        <w:t>Zebracki</w:t>
      </w:r>
      <w:r>
        <w:rPr>
          <w:rFonts w:ascii="Times New Roman" w:eastAsia="Times New Roman" w:hAnsi="Times New Roman" w:cs="Times New Roman"/>
          <w:sz w:val="24"/>
          <w:szCs w:val="24"/>
          <w:rtl w:val="0"/>
          <w:cs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cs w:val="0"/>
          <w:lang w:val="en-US"/>
        </w:rPr>
        <w:t>injory</w:t>
      </w:r>
      <w:r>
        <w:rPr>
          <w:rFonts w:ascii="Times New Roman" w:eastAsia="Times New Roman" w:hAnsi="Times New Roman" w:cs="Times New Roman"/>
          <w:sz w:val="24"/>
          <w:szCs w:val="24"/>
          <w:rtl w:val="0"/>
          <w:cs w:val="0"/>
          <w:lang w:val="en-US"/>
        </w:rPr>
        <w:t>. Retrieved from</w:t>
      </w:r>
    </w:p>
    <w:p w14:paraId="5BE3248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Cumming, E; &amp; Henry, W. E. (1961). Growing Old: The Process of Disengagement. New York: Basic Books.</w:t>
      </w:r>
    </w:p>
    <w:p w14:paraId="33FE5DD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Diener, E., Oishi, S., &amp; Tay, L. (2018). Advances in subjective well-being research. Nature Human </w:t>
      </w:r>
      <w:r>
        <w:rPr>
          <w:rFonts w:ascii="Times New Roman" w:eastAsia="Times New Roman" w:hAnsi="Times New Roman" w:cs="Times New Roman"/>
          <w:sz w:val="24"/>
          <w:szCs w:val="24"/>
          <w:rtl w:val="0"/>
          <w:cs w:val="0"/>
          <w:lang w:val="en-US"/>
        </w:rPr>
        <w:t>Behaviour</w:t>
      </w:r>
      <w:r>
        <w:rPr>
          <w:rFonts w:ascii="Times New Roman" w:eastAsia="Times New Roman" w:hAnsi="Times New Roman" w:cs="Times New Roman"/>
          <w:sz w:val="24"/>
          <w:szCs w:val="24"/>
          <w:rtl w:val="0"/>
          <w:cs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://doi.org/10.1038/s41562-018-0307-6</w:t>
      </w:r>
    </w:p>
    <w:p w14:paraId="4061C29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Dowd, J. J. (1975). Aging as Exchange: A Preface to Theory. Journal of Gerontology, 30(5), 584–594.</w:t>
      </w:r>
    </w:p>
    <w:p w14:paraId="0171EB8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Erikson, E. H. (1982). The Life Cycle Completed. New York: W. W. Norton.</w:t>
      </w:r>
    </w:p>
    <w:p w14:paraId="0A654C06"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Erikson, E. H; Erikson, J. M; &amp; </w:t>
      </w:r>
      <w:r>
        <w:rPr>
          <w:rFonts w:ascii="Times New Roman" w:eastAsia="Times New Roman" w:hAnsi="Times New Roman" w:cs="Times New Roman"/>
          <w:sz w:val="24"/>
          <w:szCs w:val="24"/>
          <w:rtl w:val="0"/>
          <w:cs w:val="0"/>
          <w:lang w:val="en-US"/>
        </w:rPr>
        <w:t>Kivnick</w:t>
      </w:r>
      <w:r>
        <w:rPr>
          <w:rFonts w:ascii="Times New Roman" w:eastAsia="Times New Roman" w:hAnsi="Times New Roman" w:cs="Times New Roman"/>
          <w:sz w:val="24"/>
          <w:szCs w:val="24"/>
          <w:rtl w:val="0"/>
          <w:cs w:val="0"/>
          <w:lang w:val="en-US"/>
        </w:rPr>
        <w:t>, H. Q. (1986). Vital Involvement in Old Age. New York: W. W. Norton.</w:t>
      </w:r>
    </w:p>
    <w:p w14:paraId="6B223B9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Fergus, T. A; &amp; </w:t>
      </w:r>
      <w:r>
        <w:rPr>
          <w:rFonts w:ascii="Times New Roman" w:eastAsia="Times New Roman" w:hAnsi="Times New Roman" w:cs="Times New Roman"/>
          <w:sz w:val="24"/>
          <w:szCs w:val="24"/>
          <w:rtl w:val="0"/>
          <w:cs w:val="0"/>
          <w:lang w:val="en-US"/>
        </w:rPr>
        <w:t>Valentiner</w:t>
      </w:r>
      <w:r>
        <w:rPr>
          <w:rFonts w:ascii="Times New Roman" w:eastAsia="Times New Roman" w:hAnsi="Times New Roman" w:cs="Times New Roman"/>
          <w:sz w:val="24"/>
          <w:szCs w:val="24"/>
          <w:rtl w:val="0"/>
          <w:cs w:val="0"/>
          <w:lang w:val="en-US"/>
        </w:rPr>
        <w:t>, D. P. (2022). Health anxiety and illness anxiety disorder: Contemporary perspectives and clinical implications.</w:t>
      </w:r>
    </w:p>
    <w:p w14:paraId="1B5460F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Fulop</w:t>
      </w:r>
      <w:r>
        <w:rPr>
          <w:rFonts w:ascii="Times New Roman" w:eastAsia="Times New Roman" w:hAnsi="Times New Roman" w:cs="Times New Roman"/>
          <w:sz w:val="24"/>
          <w:szCs w:val="24"/>
          <w:rtl w:val="0"/>
          <w:cs w:val="0"/>
          <w:lang w:val="en-US"/>
        </w:rPr>
        <w:t xml:space="preserve">, T; Larbi, A; Dupuis, G., et al. (2023). </w:t>
      </w:r>
      <w:r>
        <w:rPr>
          <w:rFonts w:ascii="Times New Roman" w:eastAsia="Times New Roman" w:hAnsi="Times New Roman" w:cs="Times New Roman"/>
          <w:sz w:val="24"/>
          <w:szCs w:val="24"/>
          <w:rtl w:val="0"/>
          <w:cs w:val="0"/>
          <w:lang w:val="en-US"/>
        </w:rPr>
        <w:t>Immunosenescence</w:t>
      </w:r>
      <w:r>
        <w:rPr>
          <w:rFonts w:ascii="Times New Roman" w:eastAsia="Times New Roman" w:hAnsi="Times New Roman" w:cs="Times New Roman"/>
          <w:sz w:val="24"/>
          <w:szCs w:val="24"/>
          <w:rtl w:val="0"/>
          <w:cs w:val="0"/>
          <w:lang w:val="en-US"/>
        </w:rPr>
        <w:t xml:space="preserve"> and Inflammaging as Two Sides of the Same Coin: Friends or Foes? Frontiers in Immunology.</w:t>
      </w:r>
    </w:p>
    <w:p w14:paraId="0F199F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Gladyshev</w:t>
      </w:r>
      <w:r>
        <w:rPr>
          <w:rFonts w:ascii="Times New Roman" w:eastAsia="Times New Roman" w:hAnsi="Times New Roman" w:cs="Times New Roman"/>
          <w:sz w:val="24"/>
          <w:szCs w:val="24"/>
          <w:rtl w:val="0"/>
          <w:cs w:val="0"/>
          <w:lang w:val="en-US"/>
        </w:rPr>
        <w:t>, V. N. (2024). The Biology of Aging. Nature Reviews Molecular Cell Biology.</w:t>
      </w:r>
    </w:p>
    <w:p w14:paraId="650515E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Goodarzi</w:t>
      </w:r>
      <w:r>
        <w:rPr>
          <w:rFonts w:ascii="Times New Roman" w:eastAsia="Times New Roman" w:hAnsi="Times New Roman" w:cs="Times New Roman"/>
          <w:sz w:val="24"/>
          <w:szCs w:val="24"/>
          <w:rtl w:val="0"/>
          <w:cs w:val="0"/>
          <w:lang w:val="en-US"/>
        </w:rPr>
        <w:t xml:space="preserve">, F; </w:t>
      </w:r>
      <w:r>
        <w:rPr>
          <w:rFonts w:ascii="Times New Roman" w:eastAsia="Times New Roman" w:hAnsi="Times New Roman" w:cs="Times New Roman"/>
          <w:sz w:val="24"/>
          <w:szCs w:val="24"/>
          <w:rtl w:val="0"/>
          <w:cs w:val="0"/>
          <w:lang w:val="en-US"/>
        </w:rPr>
        <w:t>Khoshravesh</w:t>
      </w:r>
      <w:r>
        <w:rPr>
          <w:rFonts w:ascii="Times New Roman" w:eastAsia="Times New Roman" w:hAnsi="Times New Roman" w:cs="Times New Roman"/>
          <w:sz w:val="24"/>
          <w:szCs w:val="24"/>
          <w:rtl w:val="0"/>
          <w:cs w:val="0"/>
          <w:lang w:val="en-US"/>
        </w:rPr>
        <w:t xml:space="preserve">, S., </w:t>
      </w:r>
      <w:r>
        <w:rPr>
          <w:rFonts w:ascii="Times New Roman" w:eastAsia="Times New Roman" w:hAnsi="Times New Roman" w:cs="Times New Roman"/>
          <w:sz w:val="24"/>
          <w:szCs w:val="24"/>
          <w:rtl w:val="0"/>
          <w:cs w:val="0"/>
          <w:lang w:val="en-US"/>
        </w:rPr>
        <w:t>Ayubi</w:t>
      </w:r>
      <w:r>
        <w:rPr>
          <w:rFonts w:ascii="Times New Roman" w:eastAsia="Times New Roman" w:hAnsi="Times New Roman" w:cs="Times New Roman"/>
          <w:sz w:val="24"/>
          <w:szCs w:val="24"/>
          <w:rtl w:val="0"/>
          <w:cs w:val="0"/>
          <w:lang w:val="en-US"/>
        </w:rPr>
        <w:t xml:space="preserve">, E; </w:t>
      </w:r>
      <w:r>
        <w:rPr>
          <w:rFonts w:ascii="Times New Roman" w:eastAsia="Times New Roman" w:hAnsi="Times New Roman" w:cs="Times New Roman"/>
          <w:sz w:val="24"/>
          <w:szCs w:val="24"/>
          <w:rtl w:val="0"/>
          <w:cs w:val="0"/>
          <w:lang w:val="en-US"/>
        </w:rPr>
        <w:t>Bashirian</w:t>
      </w:r>
      <w:r>
        <w:rPr>
          <w:rFonts w:ascii="Times New Roman" w:eastAsia="Times New Roman" w:hAnsi="Times New Roman" w:cs="Times New Roman"/>
          <w:sz w:val="24"/>
          <w:szCs w:val="24"/>
          <w:rtl w:val="0"/>
          <w:cs w:val="0"/>
          <w:lang w:val="en-US"/>
        </w:rPr>
        <w:t xml:space="preserve">, S; &amp; </w:t>
      </w:r>
      <w:r>
        <w:rPr>
          <w:rFonts w:ascii="Times New Roman" w:eastAsia="Times New Roman" w:hAnsi="Times New Roman" w:cs="Times New Roman"/>
          <w:sz w:val="24"/>
          <w:szCs w:val="24"/>
          <w:rtl w:val="0"/>
          <w:cs w:val="0"/>
          <w:lang w:val="en-US"/>
        </w:rPr>
        <w:t>Barati</w:t>
      </w:r>
      <w:r>
        <w:rPr>
          <w:rFonts w:ascii="Times New Roman" w:eastAsia="Times New Roman" w:hAnsi="Times New Roman" w:cs="Times New Roman"/>
          <w:sz w:val="24"/>
          <w:szCs w:val="24"/>
          <w:rtl w:val="0"/>
          <w:cs w:val="0"/>
          <w:lang w:val="en-US"/>
        </w:rPr>
        <w:t>, M. (2024). Psychosocial determinants of functional independence among older adults: A systematic review and meta-analysis. Health Promotion Perspectives, 14(1), 32–43. </w:t>
      </w:r>
      <w:hyperlink r:id="rIdU103">
        <w:r>
          <w:rPr>
            <w:rStyle w:val="Hyperlink"/>
            <w:rFonts w:ascii="Times New Roman" w:eastAsia="Times New Roman" w:hAnsi="Times New Roman" w:cs="Times New Roman"/>
            <w:sz w:val="24"/>
            <w:szCs w:val="24"/>
            <w:rtl w:val="0"/>
            <w:lang w:val="en-US"/>
          </w:rPr>
          <w:t xml:space="preserve">https://doi.org/10.34172/hpp.42354</w:t>
        </w:r>
      </w:hyperlink>
      <w:hyperlink r:id="rId12" w:history="1">
        <w:r>
          <w:rPr>
            <w:rStyle w:val="Hyperlink"/>
            <w:rFonts w:ascii="Times New Roman" w:eastAsia="Times New Roman" w:hAnsi="Times New Roman"/>
            <w:color w:val="000000"/>
            <w:rtl w:val="0"/>
            <w:lang w:val="en-US"/>
          </w:rPr>
          <w:t>https://doi.org/10.1007/s11920-024-01507-2</w:t>
        </w:r>
      </w:hyperlink>
    </w:p>
    <w:p w14:paraId="0F26E0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Gould, R. L., et al. (2022).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therapy for depression and anxiety in older people: A systematic review and meta-analysis. Age and Ageing.</w:t>
      </w:r>
    </w:p>
    <w:p w14:paraId="6191429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Halldórsson</w:t>
      </w:r>
      <w:r>
        <w:rPr>
          <w:rFonts w:ascii="Times New Roman" w:eastAsia="Times New Roman" w:hAnsi="Times New Roman" w:cs="Times New Roman"/>
          <w:sz w:val="24"/>
          <w:szCs w:val="24"/>
          <w:rtl w:val="0"/>
          <w:cs w:val="0"/>
          <w:lang w:val="en-US"/>
        </w:rPr>
        <w:t xml:space="preserve">, B; &amp; </w:t>
      </w:r>
      <w:r>
        <w:rPr>
          <w:rFonts w:ascii="Times New Roman" w:eastAsia="Times New Roman" w:hAnsi="Times New Roman" w:cs="Times New Roman"/>
          <w:sz w:val="24"/>
          <w:szCs w:val="24"/>
          <w:rtl w:val="0"/>
          <w:cs w:val="0"/>
          <w:lang w:val="en-US"/>
        </w:rPr>
        <w:t>Salkovskis</w:t>
      </w:r>
      <w:r>
        <w:rPr>
          <w:rFonts w:ascii="Times New Roman" w:eastAsia="Times New Roman" w:hAnsi="Times New Roman" w:cs="Times New Roman"/>
          <w:sz w:val="24"/>
          <w:szCs w:val="24"/>
          <w:rtl w:val="0"/>
          <w:cs w:val="0"/>
          <w:lang w:val="en-US"/>
        </w:rPr>
        <w:t xml:space="preserve">, P. M. (2023). Reassurance and its alternatives: Overview and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w:t>
      </w:r>
      <w:r>
        <w:rPr>
          <w:rFonts w:ascii="Times New Roman" w:eastAsia="Times New Roman" w:hAnsi="Times New Roman" w:cs="Times New Roman"/>
          <w:sz w:val="24"/>
          <w:szCs w:val="24"/>
          <w:rtl w:val="0"/>
          <w:cs w:val="0"/>
          <w:lang w:val="en-US"/>
        </w:rPr>
        <w:t>conceptualisation</w:t>
      </w:r>
      <w:r>
        <w:rPr>
          <w:rFonts w:ascii="Times New Roman" w:eastAsia="Times New Roman" w:hAnsi="Times New Roman" w:cs="Times New Roman"/>
          <w:sz w:val="24"/>
          <w:szCs w:val="24"/>
          <w:rtl w:val="0"/>
          <w:cs w:val="0"/>
          <w:lang w:val="en-US"/>
        </w:rPr>
        <w:t>. Journal of Obsessive-Compulsive and Related Disorders, 36, 100783. </w:t>
      </w:r>
      <w:hyperlink r:id="rIdU104">
        <w:r>
          <w:rPr>
            <w:rStyle w:val="Hyperlink"/>
            <w:rFonts w:ascii="Times New Roman" w:eastAsia="Times New Roman" w:hAnsi="Times New Roman" w:cs="Times New Roman"/>
            <w:sz w:val="24"/>
            <w:szCs w:val="24"/>
            <w:rtl w:val="0"/>
            <w:lang w:val="en-US"/>
          </w:rPr>
          <w:t xml:space="preserve">https://doi.org/10.1016/j.jocrd.2023.100783</w:t>
        </w:r>
      </w:hyperlink>
    </w:p>
    <w:p w14:paraId="1CB4730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cs w:val="0"/>
          <w:lang w:val="en-US"/>
        </w:rPr>
        <w:t>centre</w:t>
      </w:r>
      <w:r>
        <w:rPr>
          <w:rFonts w:ascii="Times New Roman" w:eastAsia="Times New Roman" w:hAnsi="Times New Roman" w:cs="Times New Roman"/>
          <w:sz w:val="24"/>
          <w:szCs w:val="24"/>
          <w:rtl w:val="0"/>
          <w:cs w:val="0"/>
          <w:lang w:val="en-US"/>
        </w:rPr>
        <w:t>. Palliative Medicine, 19(6), 556–562.</w:t>
      </w:r>
    </w:p>
    <w:p w14:paraId="51AE652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(1961). Successful Aging. In The </w:t>
      </w:r>
      <w:r>
        <w:rPr>
          <w:rFonts w:ascii="Times New Roman" w:eastAsia="Times New Roman" w:hAnsi="Times New Roman" w:cs="Times New Roman"/>
          <w:sz w:val="24"/>
          <w:szCs w:val="24"/>
          <w:rtl w:val="0"/>
          <w:cs w:val="0"/>
          <w:lang w:val="en-US"/>
        </w:rPr>
        <w:t>Gerontologist.</w:t>
      </w:r>
      <w:hyperlink r:id="rId13" w:history="1">
        <w:r>
          <w:rPr>
            <w:rFonts w:ascii="Times New Roman" w:eastAsia="Times New Roman" w:hAnsi="Times New Roman"/>
            <w:rtl w:val="0"/>
            <w:lang w:val="en-US"/>
          </w:rPr>
          <w:t>https</w:t>
        </w:r>
        <w:r>
          <w:rPr>
            <w:rFonts w:ascii="Times New Roman" w:eastAsia="Times New Roman" w:hAnsi="Times New Roman"/>
            <w:rtl w:val="0"/>
            <w:lang w:val="en-US"/>
          </w:rPr>
          <w:t>://doi.org/10.1097/MS9.0000000000002100</w:t>
        </w:r>
      </w:hyperlink>
    </w:p>
    <w:p w14:paraId="2A6C7D0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w:t>
      </w:r>
      <w:r>
        <w:rPr>
          <w:rFonts w:ascii="Times New Roman" w:eastAsia="Times New Roman" w:hAnsi="Times New Roman" w:cs="Times New Roman"/>
          <w:sz w:val="24"/>
          <w:szCs w:val="24"/>
          <w:rtl w:val="0"/>
          <w:cs w:val="0"/>
          <w:lang w:val="en-US"/>
        </w:rPr>
        <w:t>Neugarten</w:t>
      </w:r>
      <w:r>
        <w:rPr>
          <w:rFonts w:ascii="Times New Roman" w:eastAsia="Times New Roman" w:hAnsi="Times New Roman" w:cs="Times New Roman"/>
          <w:sz w:val="24"/>
          <w:szCs w:val="24"/>
          <w:rtl w:val="0"/>
          <w:cs w:val="0"/>
          <w:lang w:val="en-US"/>
        </w:rPr>
        <w:t>, B. L., &amp; Tobin, S. S. (1968). Disengagement and Patterns of Aging. In Middle Age and Aging.</w:t>
      </w:r>
    </w:p>
    <w:p w14:paraId="1F05AE9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Hill, S; &amp; Watts, D. (2024). Googling and health anxiety in older age—A case study of CBT incorporating a single case experimental design. Clinical Case Reports, 12(8), e9316. </w:t>
      </w:r>
      <w:hyperlink r:id="rIdU105">
        <w:r>
          <w:rPr>
            <w:rStyle w:val="Hyperlink"/>
            <w:rFonts w:ascii="Times New Roman" w:eastAsia="Times New Roman" w:hAnsi="Times New Roman" w:cs="Times New Roman"/>
            <w:sz w:val="24"/>
            <w:szCs w:val="24"/>
            <w:rtl w:val="0"/>
            <w:lang w:val="en-US"/>
          </w:rPr>
          <w:t xml:space="preserve">https://doi.org/10.1002/ccr3.9316</w:t>
        </w:r>
      </w:hyperlink>
      <w:r>
        <w:rPr>
          <w:rFonts w:ascii="Times New Roman" w:eastAsia="Times New Roman" w:hAnsi="Times New Roman" w:cs="Times New Roman"/>
          <w:sz w:val="24"/>
          <w:szCs w:val="24"/>
          <w:rtl w:val="0"/>
          <w:cs w:val="0"/>
          <w:lang w:val="en-US"/>
        </w:rPr>
        <w:t>https://doi.org/10.1002/ccr3.9316</w:t>
      </w:r>
    </w:p>
    <w:p w14:paraId="3808AFE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Hooyman</w:t>
      </w:r>
      <w:r>
        <w:rPr>
          <w:rFonts w:ascii="Times New Roman" w:eastAsia="Times New Roman" w:hAnsi="Times New Roman" w:cs="Times New Roman"/>
          <w:sz w:val="24"/>
          <w:szCs w:val="24"/>
          <w:rtl w:val="0"/>
          <w:cs w:val="0"/>
          <w:lang w:val="en-US"/>
        </w:rPr>
        <w:t xml:space="preserve">, N. R., &amp; </w:t>
      </w:r>
      <w:r>
        <w:rPr>
          <w:rFonts w:ascii="Times New Roman" w:eastAsia="Times New Roman" w:hAnsi="Times New Roman" w:cs="Times New Roman"/>
          <w:sz w:val="24"/>
          <w:szCs w:val="24"/>
          <w:rtl w:val="0"/>
          <w:cs w:val="0"/>
          <w:lang w:val="en-US"/>
        </w:rPr>
        <w:t>Kiyak</w:t>
      </w:r>
      <w:r>
        <w:rPr>
          <w:rFonts w:ascii="Times New Roman" w:eastAsia="Times New Roman" w:hAnsi="Times New Roman" w:cs="Times New Roman"/>
          <w:sz w:val="24"/>
          <w:szCs w:val="24"/>
          <w:rtl w:val="0"/>
          <w:cs w:val="0"/>
          <w:lang w:val="en-US"/>
        </w:rPr>
        <w:t>, H. A. (2015). Social Gerontology: A Multidisciplinary Perspective (10th ed.).</w:t>
      </w:r>
    </w:p>
    <w:p w14:paraId="4050F5D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Huang, Y; et al. (2023). Meaning in life, spirituality, and death anxiety among older adults: The mediating role of psychological adjustment.</w:t>
      </w:r>
    </w:p>
    <w:p w14:paraId="7CF48A3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Jafari-</w:t>
      </w:r>
      <w:r>
        <w:rPr>
          <w:rFonts w:ascii="Times New Roman" w:eastAsia="Times New Roman" w:hAnsi="Times New Roman" w:cs="Times New Roman"/>
          <w:sz w:val="24"/>
          <w:szCs w:val="24"/>
          <w:rtl w:val="0"/>
          <w:cs w:val="0"/>
          <w:lang w:val="en-US"/>
        </w:rPr>
        <w:t>Koulaee</w:t>
      </w:r>
      <w:r>
        <w:rPr>
          <w:rFonts w:ascii="Times New Roman" w:eastAsia="Times New Roman" w:hAnsi="Times New Roman" w:cs="Times New Roman"/>
          <w:sz w:val="24"/>
          <w:szCs w:val="24"/>
          <w:rtl w:val="0"/>
          <w:cs w:val="0"/>
          <w:lang w:val="en-US"/>
        </w:rPr>
        <w:t xml:space="preserve">, A; Mohammadi, E., Fox, M. T., </w:t>
      </w:r>
      <w:r>
        <w:rPr>
          <w:rFonts w:ascii="Times New Roman" w:eastAsia="Times New Roman" w:hAnsi="Times New Roman" w:cs="Times New Roman"/>
          <w:sz w:val="24"/>
          <w:szCs w:val="24"/>
          <w:rtl w:val="0"/>
          <w:cs w:val="0"/>
          <w:lang w:val="en-US"/>
        </w:rPr>
        <w:t>Rasekhi</w:t>
      </w:r>
      <w:r>
        <w:rPr>
          <w:rFonts w:ascii="Times New Roman" w:eastAsia="Times New Roman" w:hAnsi="Times New Roman" w:cs="Times New Roman"/>
          <w:sz w:val="24"/>
          <w:szCs w:val="24"/>
          <w:rtl w:val="0"/>
          <w:cs w:val="0"/>
          <w:lang w:val="en-US"/>
        </w:rPr>
        <w:t>, A., &amp; Akha, O. (2024). Predictors of basic and instrumental activities of daily living among older adults with multiple chronic conditions. BMC Geriatrics, 24, 383. </w:t>
      </w:r>
      <w:hyperlink r:id="rIdU106">
        <w:r>
          <w:rPr>
            <w:rStyle w:val="Hyperlink"/>
            <w:rFonts w:ascii="Times New Roman" w:eastAsia="Times New Roman" w:hAnsi="Times New Roman" w:cs="Times New Roman"/>
            <w:sz w:val="24"/>
            <w:szCs w:val="24"/>
            <w:rtl w:val="0"/>
            <w:lang w:val="en-US"/>
          </w:rPr>
          <w:t xml:space="preserve">https://doi.org/10.1186/s12877-024-04947-w</w:t>
        </w:r>
      </w:hyperlink>
      <w:r>
        <w:rPr>
          <w:rFonts w:ascii="Times New Roman" w:eastAsia="Times New Roman" w:hAnsi="Times New Roman" w:cs="Times New Roman"/>
          <w:sz w:val="24"/>
          <w:szCs w:val="24"/>
          <w:rtl w:val="0"/>
          <w:cs w:val="0"/>
          <w:lang w:val="en-US"/>
        </w:rPr>
        <w:t>https://doi.org/10.1186/s12877-024-04947-w</w:t>
      </w:r>
    </w:p>
    <w:p w14:paraId="4C67D1B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Jain, M., &amp; Purohit, </w:t>
      </w:r>
      <w:r>
        <w:rPr>
          <w:rFonts w:ascii="Times New Roman" w:eastAsia="Times New Roman" w:hAnsi="Times New Roman" w:cs="Times New Roman"/>
          <w:sz w:val="24"/>
          <w:szCs w:val="24"/>
          <w:rtl w:val="0"/>
          <w:cs w:val="0"/>
          <w:lang w:val="en-US"/>
        </w:rPr>
        <w:t>P.(</w:t>
      </w:r>
      <w:r>
        <w:rPr>
          <w:rFonts w:ascii="Times New Roman" w:eastAsia="Times New Roman" w:hAnsi="Times New Roman" w:cs="Times New Roman"/>
          <w:sz w:val="24"/>
          <w:szCs w:val="24"/>
          <w:rtl w:val="0"/>
          <w:cs w:val="0"/>
          <w:lang w:val="en-US"/>
        </w:rPr>
        <w:t>2006). Spiritual intelligence: A contemporary concern about the living conditions of the elderly. Indian journal of psychology, 81(1-2), 60-65.</w:t>
      </w:r>
    </w:p>
    <w:p w14:paraId="45E498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Johnco</w:t>
      </w:r>
      <w:r>
        <w:rPr>
          <w:rFonts w:ascii="Times New Roman" w:eastAsia="Times New Roman" w:hAnsi="Times New Roman" w:cs="Times New Roman"/>
          <w:sz w:val="24"/>
          <w:szCs w:val="24"/>
          <w:rtl w:val="0"/>
          <w:cs w:val="0"/>
          <w:lang w:val="en-US"/>
        </w:rPr>
        <w:t xml:space="preserve">, C. J; </w:t>
      </w:r>
      <w:r>
        <w:rPr>
          <w:rFonts w:ascii="Times New Roman" w:eastAsia="Times New Roman" w:hAnsi="Times New Roman" w:cs="Times New Roman"/>
          <w:sz w:val="24"/>
          <w:szCs w:val="24"/>
          <w:rtl w:val="0"/>
          <w:cs w:val="0"/>
          <w:lang w:val="en-US"/>
        </w:rPr>
        <w:t>Matovic</w:t>
      </w:r>
      <w:r>
        <w:rPr>
          <w:rFonts w:ascii="Times New Roman" w:eastAsia="Times New Roman" w:hAnsi="Times New Roman" w:cs="Times New Roman"/>
          <w:sz w:val="24"/>
          <w:szCs w:val="24"/>
          <w:rtl w:val="0"/>
          <w:cs w:val="0"/>
          <w:lang w:val="en-US"/>
        </w:rPr>
        <w:t>, D; &amp; Wuthrich, V. M. (2024). Anxiety disorders in later life. Psychiatric Clinics of North America, 47(4), 741–752. </w:t>
      </w:r>
      <w:hyperlink r:id="rIdU107">
        <w:r>
          <w:rPr>
            <w:rStyle w:val="Hyperlink"/>
            <w:rFonts w:ascii="Times New Roman" w:eastAsia="Times New Roman" w:hAnsi="Times New Roman" w:cs="Times New Roman"/>
            <w:sz w:val="24"/>
            <w:szCs w:val="24"/>
            <w:rtl w:val="0"/>
            <w:lang w:val="en-US"/>
          </w:rPr>
          <w:t xml:space="preserve">https://doi.org/10.1016/j.psc.2024.04.015</w:t>
        </w:r>
      </w:hyperlink>
      <w:r>
        <w:rPr>
          <w:rFonts w:ascii="Times New Roman" w:eastAsia="Times New Roman" w:hAnsi="Times New Roman" w:cs="Times New Roman"/>
          <w:sz w:val="24"/>
          <w:szCs w:val="24"/>
          <w:rtl w:val="0"/>
          <w:cs w:val="0"/>
          <w:lang w:val="en-US"/>
        </w:rPr>
        <w:t>https://doi.org/10.1016/j.psc.2024.04.015</w:t>
      </w:r>
      <w:hyperlink r:id="rId14" w:history="1">
        <w:r>
          <w:rPr>
            <w:rFonts w:ascii="Times New Roman" w:eastAsia="Times New Roman" w:hAnsi="Times New Roman"/>
            <w:rtl w:val="0"/>
            <w:lang w:val="en-US"/>
          </w:rPr>
          <w:t>https://doi.org/10.1016/j.jamda.2024.105334</w:t>
        </w:r>
      </w:hyperlink>
    </w:p>
    <w:p w14:paraId="6DCD2CD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Kaplan, S; et al. (2024). Non-pharmacological interventions for anxiety in older adults: An updated systematic review. Age and Ageing.</w:t>
      </w:r>
    </w:p>
    <w:p w14:paraId="733F4B7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cs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14:paraId="5E3FEA9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Kikas</w:t>
      </w:r>
      <w:r>
        <w:rPr>
          <w:rFonts w:ascii="Times New Roman" w:eastAsia="Times New Roman" w:hAnsi="Times New Roman" w:cs="Times New Roman"/>
          <w:sz w:val="24"/>
          <w:szCs w:val="24"/>
          <w:rtl w:val="0"/>
          <w:cs w:val="0"/>
          <w:lang w:val="en-US"/>
        </w:rPr>
        <w:t>, K; Werner-Seidler, A; Upton, E., &amp; Newby, J. M. (2024). Illness anxiety disorder: A review of the current research and future directions. Current Psychiatry Reports, 26(7), 331–339. </w:t>
      </w:r>
      <w:hyperlink r:id="rIdU109">
        <w:r>
          <w:rPr>
            <w:rStyle w:val="Hyperlink"/>
            <w:rFonts w:ascii="Times New Roman" w:eastAsia="Times New Roman" w:hAnsi="Times New Roman" w:cs="Times New Roman"/>
            <w:sz w:val="24"/>
            <w:szCs w:val="24"/>
            <w:rtl w:val="0"/>
            <w:lang w:val="en-US"/>
          </w:rPr>
          <w:t xml:space="preserve">https://doi.org/10.1007/s11920-024-01507-2</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://doi.org/10.1007/s11920-024-01507-2</w:t>
      </w:r>
    </w:p>
    <w:p w14:paraId="5517067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Killingsworth, B; et al. (2023). Intolerance for uncertainty mediates death anxiety and hypochondriasis in older adults. Innovation in Aging, 7(Supplement_1).</w:t>
      </w:r>
    </w:p>
    <w:p w14:paraId="6F5F9669"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King, D. B. (2021). Rethinking spiritual intelligence: A cognitive approach to spiritual abilities.</w:t>
      </w:r>
    </w:p>
    <w:p w14:paraId="411A272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King, D. B; &amp; </w:t>
      </w:r>
      <w:r>
        <w:rPr>
          <w:rFonts w:ascii="Times New Roman" w:eastAsia="Times New Roman" w:hAnsi="Times New Roman" w:cs="Times New Roman"/>
          <w:sz w:val="24"/>
          <w:szCs w:val="24"/>
          <w:rtl w:val="0"/>
          <w:cs w:val="0"/>
          <w:lang w:val="en-US"/>
        </w:rPr>
        <w:t>DeCicco</w:t>
      </w:r>
      <w:r>
        <w:rPr>
          <w:rFonts w:ascii="Times New Roman" w:eastAsia="Times New Roman" w:hAnsi="Times New Roman" w:cs="Times New Roman"/>
          <w:sz w:val="24"/>
          <w:szCs w:val="24"/>
          <w:rtl w:val="0"/>
          <w:cs w:val="0"/>
          <w:lang w:val="en-US"/>
        </w:rPr>
        <w:t>, T. L. (2009). A viable model and self-report measure of spiritual intelligence. International Journal of Transpersonal Studies, 28, 68–85.</w:t>
      </w:r>
    </w:p>
    <w:p w14:paraId="235D5B3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cs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Krejcie</w:t>
      </w:r>
      <w:r>
        <w:rPr>
          <w:rFonts w:ascii="Times New Roman" w:eastAsia="Times New Roman" w:hAnsi="Times New Roman" w:cs="Times New Roman"/>
          <w:sz w:val="24"/>
          <w:szCs w:val="24"/>
          <w:rtl w:val="0"/>
          <w:cs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14:paraId="7E971D5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Levin, J; Chatters, L. M; &amp; Taylor, R. J. (2011). Theory in religion, aging, and health: An overview. Journal of Religion and Health, 50(2), 389–406.</w:t>
      </w:r>
    </w:p>
    <w:p w14:paraId="064CB21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Liu, Y; Zhang, X; Fu, X; Li, W; Wang, Y; &amp; Lu, W. (2025). Successful aging rates of global older adults: A systematic review and meta-analysis. Journal of the American Medical Directors Association, 26(6), 105334. </w:t>
      </w:r>
      <w:hyperlink r:id="rIdU111">
        <w:r>
          <w:rPr>
            <w:rStyle w:val="Hyperlink"/>
            <w:rFonts w:ascii="Times New Roman" w:eastAsia="Times New Roman" w:hAnsi="Times New Roman" w:cs="Times New Roman"/>
            <w:sz w:val="24"/>
            <w:szCs w:val="24"/>
            <w:rtl w:val="0"/>
            <w:lang w:val="en-US"/>
          </w:rPr>
          <w:lastRenderedPageBreak/>
          <w:t xml:space="preserve">https://doi.org/10.1016/j.jamda.2024.105334</w:t>
        </w:r>
      </w:hyperlink>
      <w:r>
        <w:rPr>
          <w:rFonts w:ascii="Times New Roman" w:eastAsia="Times New Roman" w:hAnsi="Times New Roman" w:cs="Times New Roman"/>
          <w:sz w:val="24"/>
          <w:szCs w:val="24"/>
          <w:rtl w:val="0"/>
          <w:cs w:val="0"/>
          <w:lang w:val="en-US"/>
        </w:rPr>
        <w:lastRenderedPageBreak/>
        <w:t>https://doi.org/10.1016/j.jamda.2024.105334.</w:t>
      </w:r>
    </w:p>
    <w:p w14:paraId="475944B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Lou, Y; Yang, &amp; Ma. (2025). A network meta-analysis of different psychological therapies for death anxiety in older adults. OMEGA—Journal of Death and Dying. </w:t>
      </w:r>
      <w:hyperlink r:id="rIdU112">
        <w:r>
          <w:rPr>
            <w:rStyle w:val="Hyperlink"/>
            <w:rFonts w:ascii="Times New Roman" w:eastAsia="Times New Roman" w:hAnsi="Times New Roman" w:cs="Times New Roman"/>
            <w:sz w:val="24"/>
            <w:szCs w:val="24"/>
            <w:rtl w:val="0"/>
            <w:lang w:val="en-US"/>
          </w:rPr>
          <w:t xml:space="preserve">https://pubmed.ncbi.nlm.nih.gov/39900466/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://pubmed.ncbi.nlm.nih.gov/39900466/</w:t>
      </w:r>
    </w:p>
    <w:p w14:paraId="46AE264D"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López-</w:t>
      </w:r>
      <w:r>
        <w:rPr>
          <w:rFonts w:ascii="Times New Roman" w:hAnsi="Times New Roman" w:cs="Times New Roman" w:eastAsia="Times New Roman"/>
          <w:sz w:val="24"/>
          <w:szCs w:val="24"/>
          <w:rtl w:val="0"/>
          <w:cs w:val="0"/>
          <w:lang w:val="en-US"/>
        </w:rPr>
        <w:t>Otín</w:t>
      </w:r>
      <w:r>
        <w:rPr>
          <w:rFonts w:ascii="Times New Roman" w:hAnsi="Times New Roman" w:cs="Times New Roman" w:eastAsia="Times New Roman"/>
          <w:sz w:val="24"/>
          <w:szCs w:val="24"/>
          <w:rtl w:val="0"/>
          <w:cs w:val="0"/>
          <w:lang w:val="en-US"/>
        </w:rPr>
        <w:t xml:space="preserve">, C; </w:t>
      </w:r>
      <w:r>
        <w:rPr>
          <w:rFonts w:ascii="Times New Roman" w:hAnsi="Times New Roman" w:cs="Times New Roman" w:eastAsia="Times New Roman"/>
          <w:sz w:val="24"/>
          <w:szCs w:val="24"/>
          <w:rtl w:val="0"/>
          <w:cs w:val="0"/>
          <w:lang w:val="en-US"/>
        </w:rPr>
        <w:t>Blasco</w:t>
      </w:r>
      <w:r>
        <w:rPr>
          <w:rFonts w:ascii="Times New Roman" w:hAnsi="Times New Roman" w:cs="Times New Roman" w:eastAsia="Times New Roman"/>
          <w:sz w:val="24"/>
          <w:szCs w:val="24"/>
          <w:rtl w:val="0"/>
          <w:cs w:val="0"/>
          <w:lang w:val="en-US"/>
        </w:rPr>
        <w:t>, M. A., Partridge, L., Serrano, M., &amp; Kroemer, G. (2023). Hallmarks of Aging: An Expanding Universe. Cell.</w:t>
      </w:r>
    </w:p>
    <w:p w14:paraId="2200418C"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Martin, L. L; et al. (2023). Death anxiety, meaning in life, and psychological adjustment: Contemporary perspectives.</w:t>
      </w:r>
    </w:p>
    <w:p w14:paraId="7EDF6F13"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Mayer, J. D; &amp; Salovey, P. (2020). The Intelligence of Emotional </w:t>
      </w:r>
      <w:r>
        <w:rPr>
          <w:rFonts w:ascii="Times New Roman" w:hAnsi="Times New Roman" w:cs="Times New Roman" w:eastAsia="Times New Roman"/>
          <w:sz w:val="24"/>
          <w:szCs w:val="24"/>
          <w:rtl w:val="0"/>
          <w:cs w:val="0"/>
          <w:lang w:val="en-US"/>
        </w:rPr>
        <w:t>Intelligence.</w:t>
      </w:r>
      <w:hyperlink r:id="rId17" w:history="1">
        <w:r>
          <w:rPr>
            <w:rStyle w:val="Hyperlink"/>
            <w:rFonts w:ascii="Times New Roman" w:hAnsi="Times New Roman" w:cs="Times New Roman"/>
            <w:color w:val="000000"/>
            <w:rtl w:val="0"/>
            <w:lang w:val="en-US"/>
          </w:rPr>
          <w:t>World</w:t>
        </w:r>
        <w:r>
          <w:rPr>
            <w:rStyle w:val="Hyperlink"/>
            <w:rFonts w:ascii="Times New Roman" w:hAnsi="Times New Roman" w:cs="Times New Roman"/>
            <w:color w:val="000000"/>
            <w:rtl w:val="0"/>
            <w:lang w:val="en-US"/>
          </w:rPr>
          <w:t xml:space="preserve"> Health Organization – Ageing and health</w:t>
        </w:r>
      </w:hyperlink>
    </w:p>
    <w:p w14:paraId="5CB51639"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Miri, S; Farhadi, B; </w:t>
      </w:r>
      <w:r>
        <w:rPr>
          <w:rFonts w:ascii="Times New Roman" w:hAnsi="Times New Roman" w:cs="Times New Roman" w:eastAsia="Times New Roman"/>
          <w:sz w:val="24"/>
          <w:szCs w:val="24"/>
          <w:rtl w:val="0"/>
          <w:cs w:val="0"/>
          <w:lang w:val="en-US"/>
        </w:rPr>
        <w:t>Takasi</w:t>
      </w:r>
      <w:r>
        <w:rPr>
          <w:rFonts w:ascii="Times New Roman" w:hAnsi="Times New Roman" w:cs="Times New Roman" w:eastAsia="Times New Roman"/>
          <w:sz w:val="24"/>
          <w:szCs w:val="24"/>
          <w:rtl w:val="0"/>
          <w:cs w:val="0"/>
          <w:lang w:val="en-US"/>
        </w:rPr>
        <w:t xml:space="preserve">, P; </w:t>
      </w:r>
      <w:r>
        <w:rPr>
          <w:rFonts w:ascii="Times New Roman" w:hAnsi="Times New Roman" w:cs="Times New Roman" w:eastAsia="Times New Roman"/>
          <w:sz w:val="24"/>
          <w:szCs w:val="24"/>
          <w:rtl w:val="0"/>
          <w:cs w:val="0"/>
          <w:lang w:val="en-US"/>
        </w:rPr>
        <w:t>Ghorbani</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Vajargah</w:t>
      </w:r>
      <w:r>
        <w:rPr>
          <w:rFonts w:ascii="Times New Roman" w:hAnsi="Times New Roman" w:cs="Times New Roman" w:eastAsia="Times New Roman"/>
          <w:sz w:val="24"/>
          <w:szCs w:val="24"/>
          <w:rtl w:val="0"/>
          <w:cs w:val="0"/>
          <w:lang w:val="en-US"/>
        </w:rPr>
        <w:t xml:space="preserve">, P; &amp; </w:t>
      </w:r>
      <w:r>
        <w:rPr>
          <w:rFonts w:ascii="Times New Roman" w:hAnsi="Times New Roman" w:cs="Times New Roman" w:eastAsia="Times New Roman"/>
          <w:sz w:val="24"/>
          <w:szCs w:val="24"/>
          <w:rtl w:val="0"/>
          <w:cs w:val="0"/>
          <w:lang w:val="en-US"/>
        </w:rPr>
        <w:t>Karkhah</w:t>
      </w:r>
      <w:r>
        <w:rPr>
          <w:rFonts w:ascii="Times New Roman" w:hAnsi="Times New Roman" w:cs="Times New Roman" w:eastAsia="Times New Roman"/>
          <w:sz w:val="24"/>
          <w:szCs w:val="24"/>
          <w:rtl w:val="0"/>
          <w:cs w:val="0"/>
          <w:lang w:val="en-US"/>
        </w:rPr>
        <w:t>, S. (2024). Physical independence and related factors among older adults: A systematic review and meta-analysis. Annals of Medicine &amp; Surgery, 86(6), 3400–3408. </w:t>
      </w:r>
      <w:hyperlink r:id="rIdU113">
        <w:r>
          <w:rPr>
            <w:rStyle w:val="Hyperlink"/>
            <w:rFonts w:ascii="Times New Roman" w:hAnsi="Times New Roman" w:cs="Times New Roman"/>
            <w:sz w:val="24"/>
            <w:szCs w:val="24"/>
            <w:rtl w:val="0"/>
            <w:lang w:val="en-US"/>
          </w:rPr>
          <w:t xml:space="preserve">https://doi.org/10.1097/MS9.0000000000002100</w:t>
        </w:r>
      </w:hyperlink>
      <w:r>
        <w:rPr>
          <w:rFonts w:ascii="Times New Roman" w:hAnsi="Times New Roman" w:cs="Times New Roman" w:eastAsia="Times New Roman"/>
          <w:sz w:val="24"/>
          <w:szCs w:val="24"/>
          <w:rtl w:val="0"/>
          <w:cs w:val="0"/>
          <w:lang w:val="en-US"/>
        </w:rPr>
        <w:t>https://doi.org/10.1097/MS9.0000000000002100</w:t>
      </w:r>
      <w:hyperlink r:id="rId18" w:history="1">
        <w:r>
          <w:rPr>
            <w:rStyle w:val="Hyperlink"/>
            <w:rFonts w:ascii="Times New Roman" w:hAnsi="Times New Roman" w:cs="Times New Roman"/>
            <w:color w:val="000000"/>
            <w:rtl w:val="0"/>
            <w:lang w:val="en-US"/>
          </w:rPr>
          <w:t>World Health Organization – Mental health of older adults</w:t>
        </w:r>
      </w:hyperlink>
    </w:p>
    <w:p w14:paraId="2A227F52"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Mohamadzadeh</w:t>
      </w:r>
      <w:r>
        <w:rPr>
          <w:rFonts w:ascii="Times New Roman" w:hAnsi="Times New Roman" w:cs="Times New Roman" w:eastAsia="Times New Roman"/>
          <w:sz w:val="24"/>
          <w:szCs w:val="24"/>
          <w:rtl w:val="0"/>
          <w:cs w:val="0"/>
          <w:lang w:val="en-US"/>
        </w:rPr>
        <w:t xml:space="preserve">, M; </w:t>
      </w:r>
      <w:r>
        <w:rPr>
          <w:rFonts w:ascii="Times New Roman" w:hAnsi="Times New Roman" w:cs="Times New Roman" w:eastAsia="Times New Roman"/>
          <w:sz w:val="24"/>
          <w:szCs w:val="24"/>
          <w:rtl w:val="0"/>
          <w:cs w:val="0"/>
          <w:lang w:val="en-US"/>
        </w:rPr>
        <w:t>Zanjari</w:t>
      </w:r>
      <w:r>
        <w:rPr>
          <w:rFonts w:ascii="Times New Roman" w:hAnsi="Times New Roman" w:cs="Times New Roman" w:eastAsia="Times New Roman"/>
          <w:sz w:val="24"/>
          <w:szCs w:val="24"/>
          <w:rtl w:val="0"/>
          <w:cs w:val="0"/>
          <w:lang w:val="en-US"/>
        </w:rPr>
        <w:t xml:space="preserve">, N; </w:t>
      </w:r>
      <w:r>
        <w:rPr>
          <w:rFonts w:ascii="Times New Roman" w:hAnsi="Times New Roman" w:cs="Times New Roman" w:eastAsia="Times New Roman"/>
          <w:sz w:val="24"/>
          <w:szCs w:val="24"/>
          <w:rtl w:val="0"/>
          <w:cs w:val="0"/>
          <w:lang w:val="en-US"/>
        </w:rPr>
        <w:t>Delbari</w:t>
      </w:r>
      <w:r>
        <w:rPr>
          <w:rFonts w:ascii="Times New Roman" w:hAnsi="Times New Roman" w:cs="Times New Roman" w:eastAsia="Times New Roman"/>
          <w:sz w:val="24"/>
          <w:szCs w:val="24"/>
          <w:rtl w:val="0"/>
          <w:cs w:val="0"/>
          <w:lang w:val="en-US"/>
        </w:rPr>
        <w:t xml:space="preserve">, A; </w:t>
      </w:r>
      <w:r>
        <w:rPr>
          <w:rFonts w:ascii="Times New Roman" w:hAnsi="Times New Roman" w:cs="Times New Roman" w:eastAsia="Times New Roman"/>
          <w:sz w:val="24"/>
          <w:szCs w:val="24"/>
          <w:rtl w:val="0"/>
          <w:cs w:val="0"/>
          <w:lang w:val="en-US"/>
        </w:rPr>
        <w:t>Foroughan</w:t>
      </w:r>
      <w:r>
        <w:rPr>
          <w:rFonts w:ascii="Times New Roman" w:hAnsi="Times New Roman" w:cs="Times New Roman" w:eastAsia="Times New Roman"/>
          <w:sz w:val="24"/>
          <w:szCs w:val="24"/>
          <w:rtl w:val="0"/>
          <w:cs w:val="0"/>
          <w:lang w:val="en-US"/>
        </w:rPr>
        <w:t xml:space="preserve">, M; &amp; </w:t>
      </w:r>
      <w:r>
        <w:rPr>
          <w:rFonts w:ascii="Times New Roman" w:hAnsi="Times New Roman" w:cs="Times New Roman" w:eastAsia="Times New Roman"/>
          <w:sz w:val="24"/>
          <w:szCs w:val="24"/>
          <w:rtl w:val="0"/>
          <w:cs w:val="0"/>
          <w:lang w:val="en-US"/>
        </w:rPr>
        <w:t>Tabesh</w:t>
      </w:r>
      <w:r>
        <w:rPr>
          <w:rFonts w:ascii="Times New Roman" w:hAnsi="Times New Roman" w:cs="Times New Roman" w:eastAsia="Times New Roman"/>
          <w:sz w:val="24"/>
          <w:szCs w:val="24"/>
          <w:rtl w:val="0"/>
          <w:cs w:val="0"/>
          <w:lang w:val="en-US"/>
        </w:rPr>
        <w:t>, H. (2024). Factors associated with subjective successful aging among Iranian older adults: A cross-sectional analysis. Iranian Journal of Nursing and Midwifery Research, 29(5), 583–589. </w:t>
      </w:r>
      <w:hyperlink r:id="rIdU114">
        <w:r>
          <w:rPr>
            <w:rStyle w:val="Hyperlink"/>
            <w:rFonts w:ascii="Times New Roman" w:hAnsi="Times New Roman" w:cs="Times New Roman"/>
            <w:sz w:val="24"/>
            <w:szCs w:val="24"/>
            <w:rtl w:val="0"/>
            <w:lang w:val="en-US"/>
          </w:rPr>
          <w:t xml:space="preserve">https://doi.org/10.4103/ijnmr.ijnmr_260_23</w:t>
        </w:r>
      </w:hyperlink>
      <w:r>
        <w:rPr>
          <w:rFonts w:ascii="Times New Roman" w:hAnsi="Times New Roman" w:cs="Times New Roman" w:eastAsia="Times New Roman"/>
          <w:sz w:val="24"/>
          <w:szCs w:val="24"/>
          <w:rtl w:val="0"/>
          <w:cs w:val="0"/>
          <w:lang w:val="en-US"/>
        </w:rPr>
        <w:t>https://doi.org/10.4103/ijnmr.ijnmr_260_23</w:t>
      </w:r>
      <w:hyperlink r:id="rId19" w:history="1">
        <w:r>
          <w:rPr>
            <w:rStyle w:val="Hyperlink"/>
            <w:rFonts w:ascii="Times New Roman" w:hAnsi="Times New Roman" w:cs="Times New Roman"/>
            <w:color w:val="000000"/>
            <w:rtl w:val="0"/>
            <w:lang w:val="en-US"/>
          </w:rPr>
          <w:t>https://doi.org/10.1186/s12877-025-06040-2</w:t>
        </w:r>
      </w:hyperlink>
    </w:p>
    <w:p w14:paraId="087B34E0"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Mohammadi, M., </w:t>
      </w:r>
      <w:r>
        <w:rPr>
          <w:rFonts w:ascii="Times New Roman" w:hAnsi="Times New Roman" w:cs="Times New Roman" w:eastAsia="Times New Roman"/>
          <w:sz w:val="24"/>
          <w:szCs w:val="24"/>
          <w:rtl w:val="0"/>
          <w:cs w:val="0"/>
          <w:lang w:val="en-US"/>
        </w:rPr>
        <w:t>Bahrami</w:t>
      </w:r>
      <w:r>
        <w:rPr>
          <w:rFonts w:ascii="Times New Roman" w:hAnsi="Times New Roman" w:cs="Times New Roman" w:eastAsia="Times New Roman"/>
          <w:sz w:val="24"/>
          <w:szCs w:val="24"/>
          <w:rtl w:val="0"/>
          <w:cs w:val="0"/>
          <w:lang w:val="en-US"/>
        </w:rPr>
        <w:t>, F., &amp; Abedi, M. R. (2019). The role of spirituality, mental health and quality of life in predicting death anxiety in the elderly. Iranian Journal of Psychiatry and Behavioral Sciences, 13(2), e82350.</w:t>
      </w:r>
    </w:p>
    <w:p w14:paraId="79A81ECF"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eastAsia="Times New Roman" w:hAnsi="Times New Roman" w:cs="Times New Roman"/>
          <w:sz w:val="24"/>
          <w:szCs w:val="24"/>
          <w:rtl w:val="0"/>
          <w:cs w:val="0"/>
          <w:lang w:val="en-US"/>
        </w:rPr>
        <w:t>Moreira-</w:t>
      </w:r>
      <w:r>
        <w:rPr>
          <w:rFonts w:ascii="Times New Roman" w:eastAsia="Times New Roman" w:hAnsi="Times New Roman" w:cs="Times New Roman"/>
          <w:sz w:val="24"/>
          <w:szCs w:val="24"/>
          <w:rtl w:val="0"/>
          <w:cs w:val="0"/>
          <w:lang w:val="en-US"/>
        </w:rPr>
        <w:t>almaida</w:t>
      </w:r>
      <w:r>
        <w:rPr>
          <w:rFonts w:ascii="Times New Roman" w:eastAsia="Times New Roman" w:hAnsi="Times New Roman" w:cs="Times New Roman"/>
          <w:sz w:val="24"/>
          <w:szCs w:val="24"/>
          <w:rtl w:val="0"/>
          <w:cs w:val="0"/>
          <w:lang w:val="en-US"/>
        </w:rPr>
        <w:t xml:space="preserve">, A. Koenig, H. D.(2006). Retaining the meaning of the words religiousness and </w:t>
      </w:r>
      <w:r>
        <w:rPr>
          <w:rFonts w:ascii="Times New Roman" w:eastAsia="Times New Roman" w:hAnsi="Times New Roman" w:cs="Times New Roman"/>
          <w:sz w:val="24"/>
          <w:szCs w:val="24"/>
          <w:rtl w:val="0"/>
          <w:cs w:val="0"/>
          <w:lang w:val="en-US"/>
        </w:rPr>
        <w:t>spirituality:Acommentary</w:t>
      </w:r>
      <w:r>
        <w:rPr>
          <w:rFonts w:ascii="Times New Roman" w:eastAsia="Times New Roman" w:hAnsi="Times New Roman" w:cs="Times New Roman"/>
          <w:sz w:val="24"/>
          <w:szCs w:val="24"/>
          <w:rtl w:val="0"/>
          <w:cs w:val="0"/>
          <w:lang w:val="en-US"/>
        </w:rPr>
        <w:t xml:space="preserve"> on the WHOQOL SRPB groups:a cross </w:t>
      </w:r>
      <w:r>
        <w:rPr>
          <w:rFonts w:ascii="Times New Roman" w:eastAsia="Times New Roman" w:hAnsi="Times New Roman" w:cs="Times New Roman"/>
          <w:sz w:val="24"/>
          <w:szCs w:val="24"/>
          <w:rtl w:val="0"/>
          <w:cs w:val="0"/>
          <w:lang w:val="en-US"/>
        </w:rPr>
        <w:lastRenderedPageBreak/>
        <w:t xml:space="preserve">culture study of </w:t>
      </w:r>
      <w:r>
        <w:rPr>
          <w:rFonts w:ascii="Times New Roman" w:eastAsia="Times New Roman" w:hAnsi="Times New Roman" w:cs="Times New Roman"/>
          <w:sz w:val="24"/>
          <w:szCs w:val="24"/>
          <w:rtl w:val="0"/>
          <w:cs w:val="0"/>
          <w:lang w:val="en-US"/>
        </w:rPr>
        <w:t>spirituality,religion</w:t>
      </w:r>
      <w:r>
        <w:rPr>
          <w:rFonts w:ascii="Times New Roman" w:eastAsia="Times New Roman" w:hAnsi="Times New Roman" w:cs="Times New Roman"/>
          <w:sz w:val="24"/>
          <w:szCs w:val="24"/>
          <w:rtl w:val="0"/>
          <w:cs w:val="0"/>
          <w:lang w:val="en-US"/>
        </w:rPr>
        <w:t xml:space="preserve">, and personal beliefs as components of quality of </w:t>
      </w:r>
      <w:r>
        <w:rPr>
          <w:rFonts w:ascii="Times New Roman" w:eastAsia="Times New Roman" w:hAnsi="Times New Roman" w:cs="Times New Roman"/>
          <w:sz w:val="24"/>
          <w:szCs w:val="24"/>
          <w:rtl w:val="0"/>
          <w:cs w:val="0"/>
          <w:lang w:val="en-US"/>
        </w:rPr>
        <w:t>lifes</w:t>
      </w:r>
      <w:r>
        <w:rPr>
          <w:rFonts w:ascii="Times New Roman" w:eastAsia="Times New Roman" w:hAnsi="Times New Roman" w:cs="Times New Roman"/>
          <w:sz w:val="24"/>
          <w:szCs w:val="24"/>
          <w:rtl w:val="0"/>
          <w:cs w:val="0"/>
          <w:lang w:val="en-US"/>
        </w:rPr>
        <w:t>. Social science and medicine,63,843-845.</w:t>
      </w:r>
    </w:p>
    <w:p w14:paraId="41B2D632"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hAnsi="Times New Roman" w:cs="Times New Roman" w:eastAsia="Times New Roman"/>
          <w:sz w:val="24"/>
          <w:szCs w:val="24"/>
          <w:rtl w:val="0"/>
          <w:cs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eastAsia="Times New Roman"/>
          <w:sz w:val="24"/>
          <w:szCs w:val="24"/>
          <w:rtl w:val="0"/>
          <w:cs w:val="0"/>
          <w:lang w:val="en-US"/>
        </w:rPr>
        <w:t>https://doi.org/10.1016/j.ssaho.2024.100879</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Noyes, R., Jr., Stuart, S. P., Langbehn, D. R., Happel, R. L., Longley, S. L., Muller, B. A., &amp; Yagla, S. J. (2003). Test of an interpersonal model of hypochondriasis. Psychosomatic Medicine, 65(2), 292–300. </w:t>
      </w:r>
      <w:hyperlink r:id="rIdDoiNoyes03" w:history="1">
        <w:r>
          <w:rPr>
            <w:rFonts w:ascii="Times New Roman" w:hAnsi="Times New Roman" w:eastAsia="Times New Roman" w:cs="B Lotus"/>
            <w:rStyle w:val="Hyperlink"/>
            <w:sz w:val="28"/>
            <w:szCs w:val="28"/>
            <w:rtl w:val="0"/>
            <w:cs w:val="0"/>
            <w:lang w:val="en-US"/>
          </w:rPr>
          <w:t xml:space="preserve">https://doi.org/10.1097/01.PSY.0000058377.50240.64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Stuart, S., &amp; Noyes, R., Jr. (1999). Attachment and interpersonal communication in somatization. Psychosomatics, 40(1), 34–43. </w:t>
      </w:r>
      <w:hyperlink r:id="rIdDoiStuart99" w:history="1">
        <w:r>
          <w:rPr>
            <w:rFonts w:ascii="Times New Roman" w:hAnsi="Times New Roman" w:eastAsia="Times New Roman" w:cs="B Lotus"/>
            <w:rStyle w:val="Hyperlink"/>
            <w:sz w:val="28"/>
            <w:szCs w:val="28"/>
            <w:rtl w:val="0"/>
            <w:cs w:val="0"/>
            <w:lang w:val="en-US"/>
          </w:rPr>
          <w:t xml:space="preserve">https://doi.org/10.1016/S0033-3182(99)71269-7</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Warwick, H. M. C., &amp; Salkovskis, P. M. (1990). Hypochondriasis. Behaviour Research and Therapy, 28(2), 105–117. </w:t>
      </w:r>
      <w:hyperlink r:id="rIdDoiWarwick90" w:history="1">
        <w:r>
          <w:rPr>
            <w:rFonts w:ascii="Times New Roman" w:hAnsi="Times New Roman" w:eastAsia="Times New Roman" w:cs="B Lotus"/>
            <w:rStyle w:val="Hyperlink"/>
            <w:sz w:val="28"/>
            <w:szCs w:val="28"/>
            <w:rtl w:val="0"/>
            <w:cs w:val="0"/>
            <w:lang w:val="en-US"/>
          </w:rPr>
          <w:t xml:space="preserve">https://doi.org/10.1016/0005-7967(90)90023-c</w:t>
        </w:r>
      </w:hyperlink>
    </w:p>
    <w:p w14:paraId="524B98F9"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eastAsia="Times New Roman" w:hAnsi="Times New Roman" w:cs="Times New Roman"/>
          <w:color w:val="auto"/>
          <w:rtl w:val="0"/>
          <w:cs w:val="0"/>
          <w:lang w:val="en-US"/>
        </w:rPr>
        <w:t>Çarıkçı-Özgül</w:t>
      </w:r>
      <w:r>
        <w:rPr>
          <w:rFonts w:ascii="Times New Roman" w:eastAsia="Times New Roman" w:hAnsi="Times New Roman" w:cs="Times New Roman"/>
          <w:color w:val="auto"/>
          <w:rtl w:val="0"/>
          <w:cs w:val="0"/>
          <w:lang w:val="en-US"/>
        </w:rPr>
        <w:t xml:space="preserve">, D. N; &amp; </w:t>
      </w:r>
      <w:r>
        <w:rPr>
          <w:rFonts w:ascii="Times New Roman" w:eastAsia="Times New Roman" w:hAnsi="Times New Roman" w:cs="Times New Roman"/>
          <w:color w:val="auto"/>
          <w:rtl w:val="0"/>
          <w:cs w:val="0"/>
          <w:lang w:val="en-US"/>
        </w:rPr>
        <w:t>Işık</w:t>
      </w:r>
      <w:r>
        <w:rPr>
          <w:rFonts w:ascii="Times New Roman" w:eastAsia="Times New Roman" w:hAnsi="Times New Roman" w:cs="Times New Roman"/>
          <w:color w:val="auto"/>
          <w:rtl w:val="0"/>
          <w:cs w:val="0"/>
          <w:lang w:val="en-US"/>
        </w:rPr>
        <w:t>, Ü. (2024). Exploring adult attachment and anxiety: The role of intolerance of uncertainty and social support. Current Psychology, 43, 18612–18620. </w:t>
      </w:r>
      <w:hyperlink r:id="rIdU116">
        <w:r>
          <w:rPr>
            <w:rStyle w:val="Hyperlink"/>
            <w:rFonts w:ascii="Times New Roman" w:eastAsia="Times New Roman" w:hAnsi="Times New Roman"/>
            <w:color w:val="auto"/>
            <w:rtl w:val="0"/>
            <w:lang w:bidi="fa-IR" w:val="en-US"/>
          </w:rPr>
          <w:t xml:space="preserve">https://doi.org/10.1007/s12144-024-05659-5</w:t>
        </w:r>
      </w:hyperlink>
      <w:r>
        <w:rPr>
          <w:rFonts w:ascii="Times New Roman" w:eastAsia="Times New Roman" w:hAnsi="Times New Roman" w:cs="Times New Roman"/>
          <w:color w:val="auto"/>
          <w:rtl w:val="0"/>
          <w:cs w:val="0"/>
          <w:lang w:val="en-US"/>
        </w:rPr>
        <w:t> \t "_</w:t>
      </w:r>
      <w:r>
        <w:rPr>
          <w:rFonts w:ascii="Times New Roman" w:eastAsia="Times New Roman" w:hAnsi="Times New Roman" w:cs="Times New Roman"/>
          <w:color w:val="auto"/>
          <w:rtl w:val="0"/>
          <w:cs w:val="0"/>
          <w:lang w:val="en-US"/>
        </w:rPr>
        <w:t>new"https</w:t>
      </w:r>
      <w:r>
        <w:rPr>
          <w:rFonts w:ascii="Times New Roman" w:eastAsia="Times New Roman" w:hAnsi="Times New Roman" w:cs="Times New Roman"/>
          <w:color w:val="auto"/>
          <w:rtl w:val="0"/>
          <w:cs w:val="0"/>
          <w:lang w:val="en-US"/>
        </w:rPr>
        <w:t>://doi.org/10.1007/s12144-024-05659-5</w:t>
      </w:r>
    </w:p>
    <w:p w14:paraId="46B915CB" w14:textId="77777777">
      <w:pPr>
        <w:autoSpaceDE/>
        <w:autoSpaceDN/>
        <w:bidi w:val="0"/>
        <w:adjustRightInd/>
        <w:rPr>
          <w:rFonts w:ascii="Times New Roman" w:hAnsi="Times New Roman" w:cs="Times New Roman"/>
          <w:sz w:val="24"/>
          <w:szCs w:val="24"/>
          <w:rtl w:val="0"/>
        </w:rPr>
      </w:pPr>
    </w:p>
    <w:p w14:paraId="04D024B1" w14:textId="39387A50">
      <w:pPr>
        <w:pStyle w:val="Bibliography"/>
        <w:autoSpaceDE/>
        <w:autoSpaceDN/>
        <w:bidi w:val="0"/>
        <w:adjustRightInd/>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National Institute on Aging. (2023). Mental Health and Older Adults.</w:t>
      </w:r>
    </w:p>
    <w:p w14:paraId="401C5CB0" w14:textId="77777777">
      <w:pPr>
        <w:pStyle w:val="Bibliography"/>
        <w:bidi w:val="0"/>
        <w:spacing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Nikolich-Žugich</w:t>
      </w:r>
      <w:r>
        <w:rPr>
          <w:rFonts w:ascii="Times New Roman" w:hAnsi="Times New Roman" w:cs="Times New Roman" w:eastAsia="Times New Roman"/>
          <w:sz w:val="24"/>
          <w:szCs w:val="24"/>
          <w:rtl w:val="0"/>
          <w:cs w:val="0"/>
          <w:lang w:val="en-US"/>
        </w:rPr>
        <w:t>, J; et al. (2023). The twilight of immunity: emerging concepts in aging of the immune system. Nature Immunology.</w:t>
      </w:r>
    </w:p>
    <w:p w14:paraId="1B1CA33B" w14:textId="77777777">
      <w:pPr>
        <w:bidi w:val="0"/>
        <w:spacing w:line="276" w:lineRule="auto"/>
        <w:jc w:val="both"/>
      </w:pPr>
    </w:p>
    <w:p>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Nordgren, L. F; van Harreveld, F., &amp; van der Pligt, J. (2022). The psychology of death anxiety and mortality salience.</w:t>
      </w:r>
    </w:p>
    <w:p>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Noyes, R., Jr., Stuart, S., Longley, S. L., Langbehn, D. R., &amp; Happel, R. L. (2002). Hypochondriasis and fear of death. Journal of Nervous and Mental Disease, 190(8), 503–509. https://doi.org/10.1097/00005053-200208000-00002</w:t>
      </w:r>
    </w:p>
    <w:p w14:paraId="2C6E1C9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Pinto, C. T; Guedes, L., Pinto, S; &amp; Nunes, R. (2024). Spiritual intelligence: A scoping review on the gateway to mental health. Global Health Action, 17(1), 2362310. </w:t>
      </w:r>
      <w:hyperlink r:id="rIdU118">
        <w:r>
          <w:rPr>
            <w:rStyle w:val="Hyperlink"/>
            <w:rFonts w:ascii="Times New Roman" w:hAnsi="Times New Roman" w:cs="Times New Roman"/>
            <w:sz w:val="24"/>
            <w:szCs w:val="24"/>
            <w:rtl w:val="0"/>
            <w:lang w:val="en-US"/>
          </w:rPr>
          <w:t xml:space="preserve">https://doi.org/10.1080/16549716.2024.2362310</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://doi.org/10.1080/16549716.2024.2362310</w:t>
      </w:r>
    </w:p>
    <w:p w14:paraId="174CAF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Rule, A; Abbey, C; Wang, H; Rozelle, S; &amp; Singh, M. K. (2024). Measurement of flourishing: A scoping review. Frontiers in Psychology, 15, 1293943. </w:t>
      </w:r>
      <w:hyperlink r:id="rIdU119">
        <w:r>
          <w:rPr>
            <w:rStyle w:val="Hyperlink"/>
            <w:rFonts w:ascii="Times New Roman" w:hAnsi="Times New Roman" w:cs="Times New Roman"/>
            <w:sz w:val="24"/>
            <w:szCs w:val="24"/>
            <w:rtl w:val="0"/>
            <w:lang w:val="en-US"/>
          </w:rPr>
          <w:t xml:space="preserve">https://doi.org/10.3389/fpsyg.2024.1293943</w:t>
        </w:r>
      </w:hyperlink>
    </w:p>
    <w:p w14:paraId="73F2636D"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Ryan, R. M; &amp; Deci, E. L. (2017). Self-determination theory: Basic psychological needs in motivation, development, and wellness. Guilford Press.</w:t>
      </w:r>
    </w:p>
    <w:p w14:paraId="34DD3858"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lastRenderedPageBreak/>
        <w:t>Ryff</w:t>
      </w:r>
      <w:r>
        <w:rPr>
          <w:rFonts w:ascii="Times New Roman" w:hAnsi="Times New Roman" w:cs="Times New Roman" w:eastAsia="Times New Roman"/>
          <w:sz w:val="24"/>
          <w:szCs w:val="24"/>
          <w:rtl w:val="0"/>
          <w:cs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://doi.org/10.1177/09637214241266818</w:t>
      </w:r>
    </w:p>
    <w:p w14:paraId="25C7699A"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Shafiee</w:t>
      </w:r>
      <w:r>
        <w:rPr>
          <w:rFonts w:ascii="Times New Roman" w:hAnsi="Times New Roman" w:cs="Times New Roman" w:eastAsia="Times New Roman"/>
          <w:sz w:val="24"/>
          <w:szCs w:val="24"/>
          <w:rtl w:val="0"/>
          <w:cs w:val="0"/>
          <w:lang w:val="en-US"/>
        </w:rPr>
        <w:t xml:space="preserve">, A; Mohammadi, I; Rajai, S; </w:t>
      </w:r>
      <w:r>
        <w:rPr>
          <w:rFonts w:ascii="Times New Roman" w:hAnsi="Times New Roman" w:cs="Times New Roman" w:eastAsia="Times New Roman"/>
          <w:sz w:val="24"/>
          <w:szCs w:val="24"/>
          <w:rtl w:val="0"/>
          <w:cs w:val="0"/>
          <w:lang w:val="en-US"/>
        </w:rPr>
        <w:t>Jafarabady</w:t>
      </w:r>
      <w:r>
        <w:rPr>
          <w:rFonts w:ascii="Times New Roman" w:hAnsi="Times New Roman" w:cs="Times New Roman" w:eastAsia="Times New Roman"/>
          <w:sz w:val="24"/>
          <w:szCs w:val="24"/>
          <w:rtl w:val="0"/>
          <w:cs w:val="0"/>
          <w:lang w:val="en-US"/>
        </w:rPr>
        <w:t xml:space="preserve">, K; &amp; </w:t>
      </w:r>
      <w:r>
        <w:rPr>
          <w:rFonts w:ascii="Times New Roman" w:hAnsi="Times New Roman" w:cs="Times New Roman" w:eastAsia="Times New Roman"/>
          <w:sz w:val="24"/>
          <w:szCs w:val="24"/>
          <w:rtl w:val="0"/>
          <w:cs w:val="0"/>
          <w:lang w:val="en-US"/>
        </w:rPr>
        <w:t>Abdollahi</w:t>
      </w:r>
      <w:r>
        <w:rPr>
          <w:rFonts w:ascii="Times New Roman" w:hAnsi="Times New Roman" w:cs="Times New Roman" w:eastAsia="Times New Roman"/>
          <w:sz w:val="24"/>
          <w:szCs w:val="24"/>
          <w:rtl w:val="0"/>
          <w:cs w:val="0"/>
          <w:lang w:val="en-US"/>
        </w:rPr>
        <w:t>, A. (2025). Global prevalence of anxiety symptoms and its associated factors in older adults: A systematic review and meta-analysis. Journal of General and Family Medicine, 26(2), 116–127. </w:t>
      </w:r>
      <w:hyperlink r:id="rIdU121">
        <w:r>
          <w:rPr>
            <w:rStyle w:val="Hyperlink"/>
            <w:rFonts w:ascii="Times New Roman" w:hAnsi="Times New Roman" w:cs="Times New Roman"/>
            <w:sz w:val="24"/>
            <w:szCs w:val="24"/>
            <w:rtl w:val="0"/>
            <w:lang w:val="en-US"/>
          </w:rPr>
          <w:t xml:space="preserve">https://doi.org/10.1002/jgf2.750</w:t>
        </w:r>
      </w:hyperlink>
      <w:r>
        <w:rPr>
          <w:rFonts w:ascii="Times New Roman" w:hAnsi="Times New Roman" w:cs="Times New Roman" w:eastAsia="Times New Roman"/>
          <w:sz w:val="24"/>
          <w:szCs w:val="24"/>
          <w:rtl w:val="0"/>
          <w:cs w:val="0"/>
          <w:lang w:val="en-US"/>
        </w:rPr>
        <w:t>https://doi.org/10.1002/jgf2.750</w:t>
      </w:r>
    </w:p>
    <w:p w14:paraId="6E2B06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Soto, C; et al. (2024). Meaning in life, hope, and mental health in older adults: A systematic review. BMC Geriatrics.</w:t>
      </w:r>
    </w:p>
    <w:p w14:paraId="03A23009"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Stavrova</w:t>
      </w:r>
      <w:r>
        <w:rPr>
          <w:rFonts w:ascii="Times New Roman" w:hAnsi="Times New Roman" w:cs="Times New Roman" w:eastAsia="Times New Roman"/>
          <w:sz w:val="24"/>
          <w:szCs w:val="24"/>
          <w:rtl w:val="0"/>
          <w:cs w:val="0"/>
          <w:lang w:val="en-US"/>
        </w:rPr>
        <w:t xml:space="preserve">, O. </w:t>
      </w:r>
      <w:r>
        <w:rPr>
          <w:rFonts w:ascii="Times New Roman" w:hAnsi="Times New Roman" w:cs="Times New Roman" w:eastAsia="Times New Roman"/>
          <w:sz w:val="24"/>
          <w:szCs w:val="24"/>
          <w:rtl w:val="0"/>
          <w:cs w:val="0"/>
          <w:lang w:val="en-US"/>
        </w:rPr>
        <w:t>Fetchenhauer</w:t>
      </w:r>
      <w:r>
        <w:rPr>
          <w:rFonts w:ascii="Times New Roman" w:hAnsi="Times New Roman" w:cs="Times New Roman" w:eastAsia="Times New Roman"/>
          <w:sz w:val="24"/>
          <w:szCs w:val="24"/>
          <w:rtl w:val="0"/>
          <w:cs w:val="0"/>
          <w:lang w:val="en-US"/>
        </w:rPr>
        <w:t>, D. Schlosser, T. (2012). Why are religious people happy? The effect of the social norm of religiosity across countries. Social Science Research, 3.</w:t>
      </w:r>
    </w:p>
    <w:p w14:paraId="001971CF"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Sternberg, R. J. (2021). Adaptive Intelligence: Surviving and Thriving in Times of Uncertainty. Cambridge University Press.</w:t>
      </w:r>
    </w:p>
    <w:p w14:paraId="6B2FCFF0"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Suad</w:t>
      </w:r>
      <w:r>
        <w:rPr>
          <w:rFonts w:ascii="Times New Roman" w:hAnsi="Times New Roman" w:cs="Times New Roman" w:eastAsia="Times New Roman"/>
          <w:sz w:val="24"/>
          <w:szCs w:val="24"/>
          <w:rtl w:val="0"/>
          <w:cs w:val="0"/>
          <w:lang w:val="en-US"/>
        </w:rPr>
        <w:t xml:space="preserve">, Zarina Mat, </w:t>
      </w:r>
      <w:r>
        <w:rPr>
          <w:rFonts w:ascii="Times New Roman" w:hAnsi="Times New Roman" w:cs="Times New Roman" w:eastAsia="Times New Roman"/>
          <w:sz w:val="24"/>
          <w:szCs w:val="24"/>
          <w:rtl w:val="0"/>
          <w:cs w:val="0"/>
          <w:lang w:val="en-US"/>
        </w:rPr>
        <w:t>Zulkarnin</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A,Hatta</w:t>
      </w:r>
      <w:r>
        <w:rPr>
          <w:rFonts w:ascii="Times New Roman" w:hAnsi="Times New Roman" w:cs="Times New Roman" w:eastAsia="Times New Roman"/>
          <w:sz w:val="24"/>
          <w:szCs w:val="24"/>
          <w:rtl w:val="0"/>
          <w:cs w:val="0"/>
          <w:lang w:val="en-US"/>
        </w:rPr>
        <w:t xml:space="preserve"> and Nuria Muhammad. (2010). " The Impact of Spiritual intelligence on the Health of Older Adults in Malaysia. " Asian Social Work and Policy Review, 4(2), 84-97.</w:t>
      </w:r>
    </w:p>
    <w:p w14:paraId="24491DC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Taylor, S; &amp; Asmundson, G. J. G. (2021). Treating Health Anxiety: A Cognitive-Behavioral Approach. Guilford Press.</w:t>
      </w:r>
    </w:p>
    <w:p w14:paraId="24093371"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Templer</w:t>
      </w:r>
      <w:r>
        <w:rPr>
          <w:rFonts w:ascii="Times New Roman" w:hAnsi="Times New Roman" w:cs="Times New Roman" w:eastAsia="Times New Roman"/>
          <w:sz w:val="24"/>
          <w:szCs w:val="24"/>
          <w:rtl w:val="0"/>
          <w:cs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Tomer, A., &amp; Eliason, G. (2000). Attitudes toward death: A developmental perspective. Springer Publishing Company.</w:t>
      </w:r>
    </w:p>
    <w:p w14:paraId="7F663F7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Department of Economic and Social Affairs, Population Division. (2024). World population prospects 2024: Summary of results. United Nations.</w:t>
      </w:r>
    </w:p>
    <w:p w14:paraId="109E257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cs w:val="0"/>
          <w:lang w:val="en-US"/>
        </w:rPr>
        <w:t xml:space="preserve"> UNFPA Iran – Population ageing and disabilities</w:t>
      </w:r>
    </w:p>
    <w:p w14:paraId="1E0FAFFB"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(2023). World Social Report 2023: Leaving No One Behind in an Ageing World.</w:t>
      </w:r>
    </w:p>
    <w:p w14:paraId="5ADEE5A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Valsala</w:t>
      </w:r>
      <w:r>
        <w:rPr>
          <w:rFonts w:ascii="Times New Roman" w:eastAsia="Times New Roman" w:hAnsi="Times New Roman" w:cs="Times New Roman" w:hint="cs"/>
          <w:sz w:val="24"/>
          <w:szCs w:val="24"/>
          <w:rtl w:val="0"/>
          <w:cs w:val="0"/>
          <w:lang w:val="en-US"/>
        </w:rPr>
        <w:t>, P; &amp; Menon, P. (2023). Psychospiritual basis of altruism: A review. Journal of Humanistic Psychology, 63(3), 344–363. </w:t>
      </w:r>
      <w:hyperlink r:id="rIdU124">
        <w:r>
          <w:rPr>
            <w:rStyle w:val="Hyperlink"/>
            <w:rFonts w:ascii="Times New Roman" w:eastAsia="Times New Roman" w:hAnsi="Times New Roman" w:cs="Times New Roman" w:hint="cs"/>
            <w:sz w:val="24"/>
            <w:szCs w:val="24"/>
            <w:rtl w:val="0"/>
            <w:lang w:bidi="fa-IR" w:val="en-US"/>
          </w:rPr>
          <w:t xml:space="preserve">https://doi.org/10.1177/0022167819830517</w:t>
        </w:r>
      </w:hyperlink>
    </w:p>
    <w:p w14:paraId="341E3893"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van </w:t>
      </w:r>
      <w:r>
        <w:rPr>
          <w:rFonts w:ascii="Times New Roman" w:eastAsia="Times New Roman" w:hAnsi="Times New Roman" w:cs="Times New Roman" w:hint="cs"/>
          <w:sz w:val="24"/>
          <w:szCs w:val="24"/>
          <w:rtl w:val="0"/>
          <w:cs w:val="0"/>
          <w:lang w:val="en-US"/>
        </w:rPr>
        <w:t>Bruggen</w:t>
      </w:r>
      <w:r>
        <w:rPr>
          <w:rFonts w:ascii="Times New Roman" w:eastAsia="Times New Roman" w:hAnsi="Times New Roman" w:cs="Times New Roman" w:hint="cs"/>
          <w:sz w:val="24"/>
          <w:szCs w:val="24"/>
          <w:rtl w:val="0"/>
          <w:cs w:val="0"/>
          <w:lang w:val="en-US"/>
        </w:rPr>
        <w:t xml:space="preserve">, V; Vos, J., </w:t>
      </w:r>
      <w:r>
        <w:rPr>
          <w:rFonts w:ascii="Times New Roman" w:eastAsia="Times New Roman" w:hAnsi="Times New Roman" w:cs="Times New Roman" w:hint="cs"/>
          <w:sz w:val="24"/>
          <w:szCs w:val="24"/>
          <w:rtl w:val="0"/>
          <w:cs w:val="0"/>
          <w:lang w:val="en-US"/>
        </w:rPr>
        <w:t>Bohlmeijer</w:t>
      </w:r>
      <w:r>
        <w:rPr>
          <w:rFonts w:ascii="Times New Roman" w:eastAsia="Times New Roman" w:hAnsi="Times New Roman" w:cs="Times New Roman" w:hint="cs"/>
          <w:sz w:val="24"/>
          <w:szCs w:val="24"/>
          <w:rtl w:val="0"/>
          <w:cs w:val="0"/>
          <w:lang w:val="en-US"/>
        </w:rPr>
        <w:t>, E. T., et al. (2021). Systematic review of existential and spiritual factors related to death anxiety.</w:t>
      </w:r>
    </w:p>
    <w:p w14:paraId="066D3C9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Wagenseller</w:t>
      </w:r>
      <w:r>
        <w:rPr>
          <w:rFonts w:ascii="Times New Roman" w:eastAsia="Times New Roman" w:hAnsi="Times New Roman" w:cs="Times New Roman" w:hint="cs"/>
          <w:sz w:val="24"/>
          <w:szCs w:val="24"/>
          <w:rtl w:val="0"/>
          <w:cs w:val="0"/>
          <w:lang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14:paraId="27BB2B6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Wang, C; et al. (2023). Effectiveness of meaning-centered interventions on psychological well-being among older adults: A systematic review and meta-analysis. Aging &amp; Mental Health.</w:t>
      </w:r>
    </w:p>
    <w:p w14:paraId="527BE1A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Wang, S; Lin, J., </w:t>
      </w:r>
      <w:r>
        <w:rPr>
          <w:rFonts w:ascii="Times New Roman" w:eastAsia="Times New Roman" w:hAnsi="Times New Roman" w:cs="Times New Roman" w:hint="cs"/>
          <w:sz w:val="24"/>
          <w:szCs w:val="24"/>
          <w:rtl w:val="0"/>
          <w:cs w:val="0"/>
          <w:lang w:val="en-US"/>
        </w:rPr>
        <w:t>Kuang</w:t>
      </w:r>
      <w:r>
        <w:rPr>
          <w:rFonts w:ascii="Times New Roman" w:eastAsia="Times New Roman" w:hAnsi="Times New Roman" w:cs="Times New Roman" w:hint="cs"/>
          <w:sz w:val="24"/>
          <w:szCs w:val="24"/>
          <w:rtl w:val="0"/>
          <w:cs w:val="0"/>
          <w:lang w:val="en-US"/>
        </w:rPr>
        <w:t>, L; Yang, X; Yu, B; &amp; Cui, Y. (2024). Risk factors for social isolation in older adults: A systematic review and meta-analysis. Public Health Nursing, 41(2), 200–208. </w:t>
      </w:r>
      <w:hyperlink r:id="rIdU126">
        <w:r>
          <w:rPr>
            <w:rStyle w:val="Hyperlink"/>
            <w:rFonts w:ascii="Times New Roman" w:eastAsia="Times New Roman" w:hAnsi="Times New Roman" w:cs="Times New Roman" w:hint="cs"/>
            <w:sz w:val="24"/>
            <w:szCs w:val="24"/>
            <w:rtl w:val="0"/>
            <w:lang w:bidi="fa-IR" w:val="en-US"/>
          </w:rPr>
          <w:t xml:space="preserve">https://doi.org/10.1111/phn.13266</w:t>
        </w:r>
      </w:hyperlink>
    </w:p>
    <w:p w14:paraId="758BE2EF"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(2020). Healthy ageing and functional ability.</w:t>
      </w:r>
    </w:p>
    <w:p w14:paraId="128DD7EC"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(2024). Ageing and Health.</w:t>
      </w:r>
    </w:p>
    <w:p w14:paraId="66A13E3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blank"World</w:t>
      </w:r>
      <w:r>
        <w:rPr>
          <w:rFonts w:ascii="Times New Roman" w:eastAsia="Times New Roman" w:hAnsi="Times New Roman" w:cs="Times New Roman" w:hint="cs"/>
          <w:sz w:val="24"/>
          <w:szCs w:val="24"/>
          <w:rtl w:val="0"/>
          <w:cs w:val="0"/>
          <w:lang w:val="en-US"/>
        </w:rPr>
        <w:t xml:space="preserve"> Health Organization – Ageing and health</w:t>
      </w:r>
    </w:p>
    <w:p w14:paraId="52DBC640"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Organization.(2022). World mental health report: Transforming mental health for all. World Health Organization.</w:t>
      </w:r>
    </w:p>
    <w:p w14:paraId="5451670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Organization.(2023). Healthy ageing: A priority for delivering universal health coverage. Geneva: World Health Organization.</w:t>
      </w:r>
    </w:p>
    <w:p w14:paraId="51EA795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cs w:val="0"/>
          <w:lang w:val="en-US"/>
        </w:rPr>
        <w:t xml:space="preserve"> World Health Organization – Mental health of older adults</w:t>
      </w:r>
    </w:p>
    <w:p w14:paraId="2B3D095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Yalom, I. D. (1980). Existential Psychotherapy. New York: Basic Books</w:t>
      </w:r>
    </w:p>
    <w:p w14:paraId="5F9C448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Yonker</w:t>
      </w:r>
      <w:r>
        <w:rPr>
          <w:rFonts w:ascii="Times New Roman" w:eastAsia="Times New Roman" w:hAnsi="Times New Roman" w:cs="Times New Roman" w:hint="cs"/>
          <w:sz w:val="24"/>
          <w:szCs w:val="24"/>
          <w:rtl w:val="0"/>
          <w:cs w:val="0"/>
          <w:lang w:val="en-US"/>
        </w:rPr>
        <w:t xml:space="preserve">, J.E. </w:t>
      </w:r>
      <w:r>
        <w:rPr>
          <w:rFonts w:ascii="Times New Roman" w:eastAsia="Times New Roman" w:hAnsi="Times New Roman" w:cs="Times New Roman" w:hint="cs"/>
          <w:sz w:val="24"/>
          <w:szCs w:val="24"/>
          <w:rtl w:val="0"/>
          <w:cs w:val="0"/>
          <w:lang w:val="en-US"/>
        </w:rPr>
        <w:t>Schnabelrauch</w:t>
      </w:r>
      <w:r>
        <w:rPr>
          <w:rFonts w:ascii="Times New Roman" w:eastAsia="Times New Roman" w:hAnsi="Times New Roman" w:cs="Times New Roman" w:hint="cs"/>
          <w:sz w:val="24"/>
          <w:szCs w:val="24"/>
          <w:rtl w:val="0"/>
          <w:cs w:val="0"/>
          <w:lang w:val="en-US"/>
        </w:rPr>
        <w:t xml:space="preserve">, C.A. </w:t>
      </w:r>
      <w:r>
        <w:rPr>
          <w:rFonts w:ascii="Times New Roman" w:eastAsia="Times New Roman" w:hAnsi="Times New Roman" w:cs="Times New Roman" w:hint="cs"/>
          <w:sz w:val="24"/>
          <w:szCs w:val="24"/>
          <w:rtl w:val="0"/>
          <w:cs w:val="0"/>
          <w:lang w:val="en-US"/>
        </w:rPr>
        <w:t>Dehaan</w:t>
      </w:r>
      <w:r>
        <w:rPr>
          <w:rFonts w:ascii="Times New Roman" w:eastAsia="Times New Roman" w:hAnsi="Times New Roman" w:cs="Times New Roman" w:hint="cs"/>
          <w:sz w:val="24"/>
          <w:szCs w:val="24"/>
          <w:rtl w:val="0"/>
          <w:cs w:val="0"/>
          <w:lang w:val="en-US"/>
        </w:rPr>
        <w:t>, L.G. (2012). The relationship between spirituality and religiosity on psychological outcomes in adolescents and emerging adults: A meta-analytic review. Journal of Adolescence, 35: 299-314.</w:t>
      </w:r>
    </w:p>
    <w:p w14:paraId="08FE5E9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Younes, R. S; </w:t>
      </w:r>
      <w:r>
        <w:rPr>
          <w:rFonts w:ascii="Times New Roman" w:eastAsia="Times New Roman" w:hAnsi="Times New Roman" w:cs="Times New Roman" w:hint="cs"/>
          <w:sz w:val="24"/>
          <w:szCs w:val="24"/>
          <w:rtl w:val="0"/>
          <w:cs w:val="0"/>
          <w:lang w:val="en-US"/>
        </w:rPr>
        <w:t>Rahme</w:t>
      </w:r>
      <w:r>
        <w:rPr>
          <w:rFonts w:ascii="Times New Roman" w:eastAsia="Times New Roman" w:hAnsi="Times New Roman" w:cs="Times New Roman" w:hint="cs"/>
          <w:sz w:val="24"/>
          <w:szCs w:val="24"/>
          <w:rtl w:val="0"/>
          <w:cs w:val="0"/>
          <w:lang w:val="en-US"/>
        </w:rPr>
        <w:t xml:space="preserve">, E; </w:t>
      </w:r>
      <w:r>
        <w:rPr>
          <w:rFonts w:ascii="Times New Roman" w:eastAsia="Times New Roman" w:hAnsi="Times New Roman" w:cs="Times New Roman" w:hint="cs"/>
          <w:sz w:val="24"/>
          <w:szCs w:val="24"/>
          <w:rtl w:val="0"/>
          <w:cs w:val="0"/>
          <w:lang w:val="en-US"/>
        </w:rPr>
        <w:t>Rajha</w:t>
      </w:r>
      <w:r>
        <w:rPr>
          <w:rFonts w:ascii="Times New Roman" w:eastAsia="Times New Roman" w:hAnsi="Times New Roman" w:cs="Times New Roman" w:hint="cs"/>
          <w:sz w:val="24"/>
          <w:szCs w:val="24"/>
          <w:rtl w:val="0"/>
          <w:cs w:val="0"/>
          <w:lang w:val="en-US"/>
        </w:rPr>
        <w:t xml:space="preserve">, F; &amp; </w:t>
      </w:r>
      <w:r>
        <w:rPr>
          <w:rFonts w:ascii="Times New Roman" w:eastAsia="Times New Roman" w:hAnsi="Times New Roman" w:cs="Times New Roman" w:hint="cs"/>
          <w:sz w:val="24"/>
          <w:szCs w:val="24"/>
          <w:rtl w:val="0"/>
          <w:cs w:val="0"/>
          <w:lang w:val="en-US"/>
        </w:rPr>
        <w:t>Mzawak</w:t>
      </w:r>
      <w:r>
        <w:rPr>
          <w:rFonts w:ascii="Times New Roman" w:eastAsia="Times New Roman" w:hAnsi="Times New Roman" w:cs="Times New Roman" w:hint="cs"/>
          <w:sz w:val="24"/>
          <w:szCs w:val="24"/>
          <w:rtl w:val="0"/>
          <w:cs w:val="0"/>
          <w:lang w:val="en-US"/>
        </w:rPr>
        <w:t>, M. A. (2024). Exploring death anxiety among older adults: An integrative review of associated factors and interventions. OMEGA—Journal of Death and Dying. Advance online publication. </w:t>
      </w:r>
      <w:hyperlink r:id="rIdU129">
        <w:r>
          <w:rPr>
            <w:rStyle w:val="Hyperlink"/>
            <w:rFonts w:ascii="Times New Roman" w:eastAsia="Times New Roman" w:hAnsi="Times New Roman" w:cs="Times New Roman" w:hint="cs"/>
            <w:sz w:val="24"/>
            <w:szCs w:val="24"/>
            <w:rtl w:val="0"/>
            <w:lang w:bidi="fa-IR" w:val="en-US"/>
          </w:rPr>
          <w:t xml:space="preserve">https://doi.org/10.1177/00302228241272578</w:t>
        </w:r>
      </w:hyperlink>
    </w:p>
    <w:p w14:paraId="217F956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Yousefi</w:t>
      </w:r>
      <w:r>
        <w:rPr>
          <w:rFonts w:ascii="Times New Roman" w:eastAsia="Times New Roman" w:hAnsi="Times New Roman" w:cs="Times New Roman" w:hint="cs"/>
          <w:sz w:val="24"/>
          <w:szCs w:val="24"/>
          <w:rtl w:val="0"/>
          <w:cs w:val="0"/>
          <w:lang w:val="en-US"/>
        </w:rPr>
        <w:t xml:space="preserve"> </w:t>
      </w:r>
      <w:r>
        <w:rPr>
          <w:rFonts w:ascii="Times New Roman" w:eastAsia="Times New Roman" w:hAnsi="Times New Roman" w:cs="Times New Roman" w:hint="cs"/>
          <w:sz w:val="24"/>
          <w:szCs w:val="24"/>
          <w:rtl w:val="0"/>
          <w:cs w:val="0"/>
          <w:lang w:val="en-US"/>
        </w:rPr>
        <w:t>Afrashteh</w:t>
      </w:r>
      <w:r>
        <w:rPr>
          <w:rFonts w:ascii="Times New Roman" w:eastAsia="Times New Roman" w:hAnsi="Times New Roman" w:cs="Times New Roman" w:hint="cs"/>
          <w:sz w:val="24"/>
          <w:szCs w:val="24"/>
          <w:rtl w:val="0"/>
          <w:cs w:val="0"/>
          <w:lang w:val="en-US"/>
        </w:rPr>
        <w:t xml:space="preserve">, M., </w:t>
      </w:r>
      <w:r>
        <w:rPr>
          <w:rFonts w:ascii="Times New Roman" w:eastAsia="Times New Roman" w:hAnsi="Times New Roman" w:cs="Times New Roman" w:hint="cs"/>
          <w:sz w:val="24"/>
          <w:szCs w:val="24"/>
          <w:rtl w:val="0"/>
          <w:cs w:val="0"/>
          <w:lang w:val="en-US"/>
        </w:rPr>
        <w:t>Fartash</w:t>
      </w:r>
      <w:r>
        <w:rPr>
          <w:rFonts w:ascii="Times New Roman" w:eastAsia="Times New Roman" w:hAnsi="Times New Roman" w:cs="Times New Roman" w:hint="cs"/>
          <w:sz w:val="24"/>
          <w:szCs w:val="24"/>
          <w:rtl w:val="0"/>
          <w:cs w:val="0"/>
          <w:lang w:val="en-US"/>
        </w:rPr>
        <w:t xml:space="preserve">, A., &amp; </w:t>
      </w:r>
      <w:r>
        <w:rPr>
          <w:rFonts w:ascii="Times New Roman" w:eastAsia="Times New Roman" w:hAnsi="Times New Roman" w:cs="Times New Roman" w:hint="cs"/>
          <w:sz w:val="24"/>
          <w:szCs w:val="24"/>
          <w:rtl w:val="0"/>
          <w:cs w:val="0"/>
          <w:lang w:val="en-US"/>
        </w:rPr>
        <w:t>Aboutorabi</w:t>
      </w:r>
      <w:r>
        <w:rPr>
          <w:rFonts w:ascii="Times New Roman" w:eastAsia="Times New Roman" w:hAnsi="Times New Roman" w:cs="Times New Roman" w:hint="cs"/>
          <w:sz w:val="24"/>
          <w:szCs w:val="24"/>
          <w:rtl w:val="0"/>
          <w:cs w:val="0"/>
          <w:lang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new"https</w:t>
      </w:r>
      <w:r>
        <w:rPr>
          <w:rFonts w:ascii="Times New Roman" w:eastAsia="Times New Roman" w:hAnsi="Times New Roman" w:cs="Times New Roman" w:hint="cs"/>
          <w:sz w:val="24"/>
          <w:szCs w:val="24"/>
          <w:rtl w:val="0"/>
          <w:cs w:val="0"/>
          <w:lang w:val="en-US"/>
        </w:rPr>
        <w:t>://doi.org/10.1186/s12877-025-06040-2</w:t>
      </w:r>
    </w:p>
    <w:p w14:paraId="369291DD"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14:paraId="2FF2AD2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Zohar, D; &amp; Marshall, I. (2000). SQ: Spiritual Intelligence—The Ultimate Intelligence. London: Bloomsbury.</w:t>
      </w:r>
    </w:p>
    <w:p w14:paraId="0BE92076" w14:textId="77777777">
      <w:pPr>
        <w:pStyle w:val="Heading1"/>
        <w:pageBreakBefore/>
        <w:autoSpaceDE/>
        <w:autoSpaceDN/>
        <w:bidi w:val="0"/>
        <w:adjustRightInd/>
        <w:spacing w:before="0" w:after="240"/>
        <w:ind w:firstLine="397"/>
        <w:jc w:val="left"/>
        <w:rPr>
          <w:rFonts w:ascii="Times New Roman" w:hAnsi="Times New Roman" w:eastAsia="Times New Roman" w:cs="Times New Roman"/>
          <w:b/>
          <w:bCs/>
          <w:color w:val="000000"/>
          <w:sz w:val="56"/>
          <w:szCs w:val="56"/>
          <w:rtl w:val="0"/>
          <w:cs w:val="0"/>
          <w:lang w:val="en-US"/>
        </w:rPr>
      </w:pPr>
      <w:bookmarkStart w:id="237" w:name="_Toc238572103"/>
      <w:r>
        <w:rPr>
          <w:rFonts w:ascii="Times New Roman" w:hAnsi="Times New Roman" w:cs="Times New Roman" w:eastAsia="Times New Roman"/>
          <w:b/>
          <w:bCs/>
          <w:color w:val="000000"/>
          <w:sz w:val="56"/>
          <w:szCs w:val="56"/>
          <w:rtl w:val="0"/>
          <w:cs w:val="0"/>
          <w:lang w:val="en-US"/>
        </w:rPr>
        <w:lastRenderedPageBreak/>
        <w:t>ABSTRACT</w:t>
      </w:r>
      <w:bookmarkEnd w:id="237"/>
    </w:p>
    <w:p w14:paraId="098F154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lang w:bidi="fa-IR" w:val="en-US"/>
        </w:rPr>
        <w:t>Fereshteghan</w:t>
      </w:r>
      <w:r>
        <w:rPr>
          <w:rFonts w:ascii="Times New Roman" w:eastAsia="Times New Roman" w:hAnsi="Times New Roman" w:cs="Times New Roman" w:hint="cs"/>
          <w:sz w:val="24"/>
          <w:szCs w:val="24"/>
          <w:rtl w:val="0"/>
          <w:lang w:bidi="fa-IR"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lang w:bidi="fa-IR" w:val="en-US"/>
        </w:rPr>
        <w:t>Salkoskis</w:t>
      </w:r>
      <w:r>
        <w:rPr>
          <w:rFonts w:ascii="Times New Roman" w:eastAsia="Times New Roman" w:hAnsi="Times New Roman" w:cs="Times New Roman" w:hint="cs"/>
          <w:sz w:val="24"/>
          <w:szCs w:val="24"/>
          <w:rtl w:val="0"/>
          <w:lang w:bidi="fa-IR" w:val="en-US"/>
        </w:rPr>
        <w:t xml:space="preserve"> and Warwick's Health Anxiety Questionnaire (2002), and </w:t>
      </w:r>
      <w:r>
        <w:rPr>
          <w:rFonts w:ascii="Times New Roman" w:eastAsia="Times New Roman" w:hAnsi="Times New Roman" w:cs="Times New Roman" w:hint="cs"/>
          <w:sz w:val="24"/>
          <w:szCs w:val="24"/>
          <w:rtl w:val="0"/>
          <w:lang w:bidi="fa-IR" w:val="en-US"/>
        </w:rPr>
        <w:t>Templer's</w:t>
      </w:r>
      <w:r>
        <w:rPr>
          <w:rFonts w:ascii="Times New Roman" w:eastAsia="Times New Roman" w:hAnsi="Times New Roman" w:cs="Times New Roman" w:hint="cs"/>
          <w:sz w:val="24"/>
          <w:szCs w:val="24"/>
          <w:rtl w:val="0"/>
          <w:lang w:bidi="fa-IR"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Keywords: Spiritual intelligence, health anxiety, death anxiety, elderly.</w:t>
      </w:r>
    </w:p>
    <w:p>
      <w:pPr>
        <w:pageBreakBefore/>
        <w:bidi w:val="0"/>
        <w:spacing w:before="0" w:after="120" w:line="240" w:lineRule="auto"/>
        <w:jc w:val="center"/>
        <w:rPr>
          <w:rtl w:val="0"/>
        </w:rPr>
      </w:pPr>
      <w:r>
        <w:rPr>
          <w:rFonts w:ascii="Times New Roman" w:hAnsi="Times New Roman"/>
          <w:b/>
          <w:bCs/>
          <w:noProof/>
          <w:sz w:val="36"/>
          <w:szCs w:val="36"/>
          <w:rtl w:val="0"/>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tl w:val="0"/>
          <w:lang w:val="en-US" w:bidi="fa-IR"/>
        </w:rPr>
        <w:t xml:space="preserve">Payame Noor University</w:t>
      </w:r>
    </w:p>
    <w:p>
      <w:pPr>
        <w:bidi w:val="0"/>
        <w:spacing w:before="0" w:after="360" w:line="240" w:lineRule="auto"/>
        <w:jc w:val="center"/>
        <w:rPr>
          <w:rtl w:val="0"/>
        </w:rPr>
      </w:pPr>
      <w:r>
        <w:rPr>
          <w:rFonts w:ascii="Times New Roman" w:hAnsi="Times New Roman" w:cs="Times New Roman"/>
          <w:sz w:val="28"/>
          <w:szCs w:val="28"/>
          <w:rtl w:val="0"/>
          <w:lang w:val="en-US" w:bidi="fa-IR"/>
        </w:rPr>
        <w:t xml:space="preserve">Sari Center</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Master's Thesis</w:t>
      </w:r>
    </w:p>
    <w:p>
      <w:pPr>
        <w:bidi w:val="0"/>
        <w:spacing w:before="0" w:after="360" w:line="240" w:lineRule="auto"/>
        <w:jc w:val="center"/>
        <w:rPr>
          <w:rtl w:val="0"/>
        </w:rPr>
      </w:pPr>
      <w:r>
        <w:rPr>
          <w:rFonts w:ascii="Times New Roman" w:hAnsi="Times New Roman" w:cs="Times New Roman"/>
          <w:sz w:val="24"/>
          <w:szCs w:val="24"/>
          <w:rtl w:val="0"/>
          <w:lang w:val="en-US" w:bidi="fa-IR"/>
        </w:rPr>
        <w:t xml:space="preserve">Psychology Major, Islamic Psychology Major, Positive Psychology Major</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Title</w:t>
      </w:r>
    </w:p>
    <w:p>
      <w:pPr>
        <w:bidi w:val="0"/>
        <w:spacing w:before="0" w:after="120" w:line="240" w:lineRule="auto"/>
        <w:jc w:val="center"/>
        <w:rPr>
          <w:rtl w:val="0"/>
        </w:rPr>
      </w:pPr>
      <w:r>
        <w:rPr>
          <w:rFonts w:ascii="Times New Roman" w:hAnsi="Times New Roman" w:cs="Times New Roman"/>
          <w:sz w:val="36"/>
          <w:szCs w:val="36"/>
          <w:rtl w:val="0"/>
          <w:lang w:val="en-US" w:bidi="fa-IR"/>
        </w:rPr>
        <w:t xml:space="preserve">Relationship between Spiritual Intelligence and Health Anxiety with Death Anxiety in the Elderly</w:t>
      </w:r>
    </w:p>
    <w:p>
      <w:pPr>
        <w:bidi w:val="0"/>
        <w:spacing w:before="0" w:after="480" w:line="240" w:lineRule="auto"/>
        <w:jc w:val="center"/>
        <w:rPr>
          <w:rtl w:val="0"/>
        </w:rPr>
      </w:pPr>
      <w:r>
        <w:rPr>
          <w:rFonts w:ascii="Times New Roman" w:hAnsi="Times New Roman" w:cs="Times New Roman"/>
          <w:sz w:val="24"/>
          <w:szCs w:val="24"/>
          <w:rtl w:val="0"/>
          <w:lang w:val="en-US" w:bidi="fa-IR"/>
        </w:rPr>
        <w:t xml:space="preserve">Fereshtegan Nursing Home, Eslamshahr</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Supervisor</w:t>
      </w:r>
    </w:p>
    <w:p>
      <w:pPr>
        <w:bidi w:val="0"/>
        <w:spacing w:before="0" w:after="360" w:line="240" w:lineRule="auto"/>
        <w:jc w:val="center"/>
        <w:rPr>
          <w:rtl w:val="0"/>
        </w:rPr>
      </w:pPr>
      <w:r>
        <w:rPr>
          <w:rFonts w:ascii="Times New Roman" w:hAnsi="Times New Roman" w:cs="Times New Roman"/>
          <w:sz w:val="28"/>
          <w:szCs w:val="28"/>
          <w:rtl w:val="0"/>
          <w:lang w:val="en-US" w:bidi="fa-IR"/>
        </w:rPr>
        <w:t xml:space="preserve">Babollah Bakhshipour Joibari</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Author</w:t>
      </w:r>
    </w:p>
    <w:p>
      <w:pPr>
        <w:bidi w:val="0"/>
        <w:spacing w:before="0" w:after="480" w:line="240" w:lineRule="auto"/>
        <w:jc w:val="center"/>
        <w:rPr>
          <w:rtl w:val="0"/>
        </w:rPr>
      </w:pPr>
      <w:r>
        <w:rPr>
          <w:rFonts w:ascii="Times New Roman" w:hAnsi="Times New Roman" w:cs="Times New Roman"/>
          <w:sz w:val="28"/>
          <w:szCs w:val="28"/>
          <w:rtl w:val="0"/>
          <w:lang w:val="en-US" w:bidi="fa-IR"/>
        </w:rPr>
        <w:t xml:space="preserve">Fatemeh Bayat</w:t>
      </w:r>
    </w:p>
    <w:p>
      <w:pPr>
        <w:bidi w:val="0"/>
        <w:spacing w:before="0" w:after="0" w:line="240" w:lineRule="auto"/>
        <w:jc w:val="center"/>
        <w:rPr>
          <w:rtl w:val="0"/>
        </w:rPr>
      </w:pPr>
      <w:r>
        <w:rPr>
          <w:rFonts w:ascii="Times New Roman" w:hAnsi="Times New Roman" w:cs="Times New Roman"/>
          <w:sz w:val="28"/>
          <w:szCs w:val="28"/>
          <w:rtl w:val="0"/>
          <w:lang w:val="en-US" w:bidi="fa-IR"/>
        </w:rPr>
        <w:t xml:space="preserve">September 2026</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population prospects</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tl w:val="0"/>
          <w:lang w:val="en-US"/>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World Health Organization</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Immunological Theory of Aging</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val="en-US"/>
          <w:rtl w:val="0"/>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United Nations</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10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Warwick</w:t>
      </w:r>
    </w:p>
  </w:footnote>
  <w:footnote w:id="10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Halldórsson</w:t>
      </w:r>
    </w:p>
  </w:footnote>
  <w:footnote w:id="10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Stuart</w:t>
      </w:r>
    </w:p>
  </w:footnote>
  <w:footnote w:id="10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Çarıkçı-Özgül</w:t>
      </w:r>
    </w:p>
  </w:footnote>
  <w:footnote w:id="1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Işık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DoiWarwick90" Type="http://schemas.openxmlformats.org/officeDocument/2006/relationships/hyperlink" Target="https://doi.org/10.1016/0005-7967(90)90023-c" TargetMode="External"/><Relationship Id="rIdDoiStuart99" Type="http://schemas.openxmlformats.org/officeDocument/2006/relationships/hyperlink" Target="https://doi.org/10.1016/S0033-3182(99)71269-7" TargetMode="External"/><Relationship Id="rIdDoiNoyes03" Type="http://schemas.openxmlformats.org/officeDocument/2006/relationships/hyperlink" Target="https://doi.org/10.1097/01.PSY.0000058377.50240.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