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701" w:bottom="1417" w:left="141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rPr>
          <w:rFonts w:ascii="Times New Roman" w:hAnsi="Times New Roman" w:eastAsia="Times New Roman" w:cs="B Lotus"/>
          <w:color w:val="000000"/>
          <w:kern w:val="2"/>
          <w:sz w:val="24"/>
          <w:szCs w:val="24"/>
          <w:lang w:bidi="fa-IR"/>
          <w14:ligatures w14:val="standardContextual"/>
          <w:b/>
          <w:bCs/>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"1-4" \h \z \u </w:instrText>
      </w:r>
      <w:r>
        <w:rPr>
          <w:rFonts w:ascii="Times New Roman" w:hAnsi="Times New Roman" w:eastAsia="Times New Roman" w:cs="B Lotus"/>
          <w:sz w:val="24"/>
          <w:szCs w:val="24"/>
          <w:color w:val="000000"/>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sectPr>
          <w:type w:val="nextPage"/>
          <w:footerReference w:type="default" r:id="rId11"/>
          <w:footnotePr>
            <w:numRestart w:val="eachPage"/>
          </w:footnotePr>
          <w:pgSz w:w="11906" w:h="16838" w:code="9"/>
          <w:pgMar w:top="1417" w:right="1701" w:bottom="1417" w:left="141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p>
    <w:p w14:paraId="4EF4EE27" w14:textId="77777777">
      <w:pPr>
        <w:keepNext/>
        <w:keepLines/>
        <w:spacing w:before="0" w:after="240" w:line="276" w:lineRule="auto"/>
        <w:rPr>
          <w:rFonts w:ascii="B Lotus" w:hAnsi="B Lotus"/>
          <w:color w:val="auto"/>
          <w:lang w:bidi="fa-IR"/>
        </w:rPr>
        <w:pStyle w:val="Heading1"/>
        <w:pageBreakBefore/>
        <w:jc w:val="center"/>
      </w:pPr>
      <w:bookmarkStart w:id="5001" w:name="_TocChekideh"/>
      <w:r>
        <w:rPr>
          <w:rFonts w:ascii="Times New Roman" w:hAnsi="Times New Roman" w:hint="cs" w:eastAsia="Times New Roman" w:cs="B Titr"/>
          <w:lang w:bidi="fa-IR"/>
          <w:sz w:val="56"/>
          <w:szCs w:val="56"/>
          <w:b/>
          <w:bCs/>
          <w:rtl/>
        </w:rPr>
        <w:t>چکیده</w:t>
      </w:r>
      <w:r>
        <w:rPr>
          <w:rFonts w:ascii="Times New Roman" w:eastAsia="Times New Roman" w:hAnsi="Times New Roman" w:hint="cs"/>
          <w:lang w:bidi="fa-IR"/>
          <w:rtl/>
        </w:rPr>
        <w:t xml:space="preserve"> </w:t>
      </w:r>
      <w:bookmarkEnd w:id="5001"/>
    </w:p>
    <w:p w14:paraId="25611BA5" w14:textId="3872EF37">
      <w:pPr>
        <w:ind w:firstLine="397"/>
        <w:jc w:val="both"/>
        <w:rPr>
          <w:rFonts w:ascii="Times New Roman" w:hAnsi="Times New Roman"/>
          <w:color w:val="auto"/>
          <w:sz w:val="16"/>
          <w:szCs w:val="16"/>
          <w:lang w:bidi="fa-IR"/>
        </w:rPr>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pPr>
      <w:bookmarkStart w:id="1" w:name="_Toc238572002"/>
      <w:r>
        <w:rPr>
          <w:rFonts w:ascii="Times New Roman" w:hAnsi="Times New Roman" w:cs="B Titr" w:eastAsia="Times New Roman"/>
          <w:sz w:val="56"/>
          <w:szCs w:val="56"/>
          <w:b/>
          <w:bCs/>
          <w:color w:val="000000"/>
          <w:rtl/>
          <w:lang w:bidi="fa-IR"/>
        </w:rPr>
        <w:lastRenderedPageBreak/>
        <w:t>فصل اول: کلیات پژوهش</w:t>
      </w:r>
      <w:bookmarkEnd w:id="1"/>
    </w:p>
    <w:p w14:paraId="2753F673"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2" w:name="_Toc238572003"/>
      <w:r>
        <w:rPr>
          <w:rFonts w:ascii="Times New Roman" w:hAnsi="Times New Roman" w:cs="B Titr" w:eastAsia="Times New Roman"/>
          <w:b/>
          <w:bCs/>
          <w:sz w:val="30"/>
          <w:szCs w:val="30"/>
          <w:lang w:bidi="fa-IR"/>
          <w:color w:val="000000"/>
          <w:rtl/>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lang w:bidi="fa-IR"/>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lang w:bidi="fa-IR"/>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3" w:name="_Toc238572004"/>
      <w:r>
        <w:rPr>
          <w:rFonts w:ascii="Times New Roman" w:hAnsi="Times New Roman" w:cs="B Titr" w:eastAsia="Times New Roman"/>
          <w:b/>
          <w:bCs/>
          <w:sz w:val="30"/>
          <w:szCs w:val="30"/>
          <w:lang w:bidi="fa-IR"/>
          <w:color w:val="000000"/>
          <w:rtl/>
        </w:rPr>
        <w:t>۱-۲- بیان مسأله</w:t>
      </w:r>
      <w:bookmarkEnd w:id="3"/>
    </w:p>
    <w:p w14:paraId="558E3B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lang w:bidi="fa-IR"/>
        </w:rPr>
        <w:footnoteReference w:id="5"/>
      </w:r>
      <w:r>
        <w:rPr>
          <w:rFonts w:ascii="Times New Roman" w:eastAsia="Times New Roman" w:hAnsi="Times New Roman" w:hint="cs"/>
          <w:lang w:bidi="fa-IR"/>
          <w:rtl/>
        </w:rPr>
        <w:t xml:space="preserve"> و همکاران، ۲۰۲۴).</w:t>
      </w:r>
    </w:p>
    <w:p w14:paraId="7F3E9A2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lang w:bidi="fa-IR"/>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lang w:bidi="fa-IR"/>
        </w:rPr>
        <w:footnoteReference w:id="7"/>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5" w:name="_Toc238572005"/>
      <w:r>
        <w:rPr>
          <w:rFonts w:ascii="Times New Roman" w:hAnsi="Times New Roman" w:cs="B Titr" w:eastAsia="Times New Roman"/>
          <w:b/>
          <w:bCs/>
          <w:sz w:val="30"/>
          <w:szCs w:val="30"/>
          <w:lang w:bidi="fa-IR"/>
          <w:color w:val="000000"/>
          <w:rtl/>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6" w:name="_Toc238572006"/>
      <w:r>
        <w:rPr>
          <w:rFonts w:ascii="Times New Roman" w:hAnsi="Times New Roman" w:cs="B Titr" w:eastAsia="Times New Roman"/>
          <w:b/>
          <w:bCs/>
          <w:sz w:val="30"/>
          <w:szCs w:val="30"/>
          <w:lang w:bidi="fa-IR"/>
          <w:color w:val="000000"/>
          <w:rtl/>
        </w:rPr>
        <w:t>۱-۴- اهداف پژوهش</w:t>
      </w:r>
      <w:bookmarkEnd w:id="6"/>
    </w:p>
    <w:p w14:paraId="4AB0C7D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 w:name="_Toc238572007"/>
      <w:r>
        <w:rPr>
          <w:rFonts w:ascii="Times New Roman" w:hAnsi="Times New Roman" w:cs="B Titr" w:eastAsia="Times New Roman"/>
          <w:b/>
          <w:bCs/>
          <w:sz w:val="30"/>
          <w:szCs w:val="30"/>
          <w:lang w:bidi="fa-IR"/>
          <w:color w:val="000000"/>
          <w:rtl/>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adjustRightInd/>
        <w:spacing w:before="240" w:after="100" w:line="276" w:lineRule="auto"/>
        <w:rPr>
          <w:rFonts w:ascii="Times New Roman" w:hAnsi="Times New Roman" w:cs="B Titr" w:eastAsia="Times New Roman"/>
          <w:b/>
          <w:bCs/>
          <w:color w:val="000000"/>
          <w:lang w:bidi="fa-IR"/>
          <w:sz w:val="30"/>
          <w:szCs w:val="30"/>
        </w:rPr>
      </w:pPr>
      <w:bookmarkStart w:id="10" w:name="_Toc238572008"/>
      <w:r>
        <w:rPr>
          <w:rFonts w:ascii="Times New Roman" w:hAnsi="Times New Roman" w:cs="B Titr" w:eastAsia="Times New Roman"/>
          <w:b/>
          <w:bCs/>
          <w:sz w:val="30"/>
          <w:szCs w:val="30"/>
          <w:lang w:bidi="fa-IR"/>
          <w:color w:val="000000"/>
          <w:rtl/>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spacing w:before="240" w:after="100" w:line="276" w:lineRule="auto"/>
        <w:rPr>
          <w:rFonts w:ascii="Times New Roman" w:cs="B Titr" w:hAnsi="Times New Roman" w:eastAsia="Times New Roman"/>
          <w:b/>
          <w:bCs/>
          <w:color w:val="000000"/>
          <w:lang w:bidi="fa-IR"/>
          <w:sz w:val="30"/>
          <w:szCs w:val="30"/>
        </w:rPr>
      </w:pPr>
      <w:bookmarkStart w:id="11" w:name="_Toc238572009"/>
      <w:r>
        <w:rPr>
          <w:rFonts w:ascii="Times New Roman" w:hAnsi="Times New Roman" w:cs="B Titr" w:eastAsia="Times New Roman"/>
          <w:b/>
          <w:bCs/>
          <w:sz w:val="30"/>
          <w:szCs w:val="30"/>
          <w:lang w:bidi="fa-IR"/>
          <w:color w:val="000000"/>
          <w:rtl/>
        </w:rPr>
        <w:lastRenderedPageBreak/>
        <w:t>۱-۵- فرضیه های پژوهش</w:t>
      </w:r>
      <w:bookmarkEnd w:id="11"/>
    </w:p>
    <w:p w14:paraId="0FD89750"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2" w:name="_Toc238572010"/>
      <w:r>
        <w:rPr>
          <w:rFonts w:ascii="Times New Roman" w:hAnsi="Times New Roman" w:cs="B Titr" w:eastAsia="Times New Roman"/>
          <w:b/>
          <w:bCs/>
          <w:sz w:val="30"/>
          <w:szCs w:val="30"/>
          <w:lang w:bidi="fa-IR"/>
          <w:color w:val="000000"/>
          <w:rtl/>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5" w:name="_Toc238572011"/>
      <w:r>
        <w:rPr>
          <w:rFonts w:ascii="Times New Roman" w:hAnsi="Times New Roman" w:cs="B Titr" w:eastAsia="Times New Roman"/>
          <w:b/>
          <w:bCs/>
          <w:sz w:val="30"/>
          <w:szCs w:val="30"/>
          <w:lang w:bidi="fa-IR"/>
          <w:color w:val="000000"/>
          <w:rtl/>
        </w:rPr>
        <w:t>۱-۵-۲-فرضیات فرعی:</w:t>
      </w:r>
      <w:bookmarkEnd w:id="15"/>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spacing w:before="240" w:after="100" w:line="276" w:lineRule="auto"/>
        <w:rPr>
          <w:rFonts w:ascii="Times New Roman" w:cs="B Titr" w:hAnsi="Times New Roman" w:eastAsia="Times New Roman"/>
          <w:b/>
          <w:bCs/>
          <w:color w:val="000000"/>
          <w:lang w:bidi="fa-IR"/>
          <w:sz w:val="30"/>
          <w:szCs w:val="30"/>
        </w:rPr>
      </w:pPr>
      <w:bookmarkStart w:id="18" w:name="_Toc238572012"/>
      <w:r>
        <w:rPr>
          <w:rFonts w:ascii="Times New Roman" w:hAnsi="Times New Roman" w:cs="B Titr" w:eastAsia="Times New Roman"/>
          <w:b/>
          <w:bCs/>
          <w:sz w:val="30"/>
          <w:szCs w:val="30"/>
          <w:lang w:bidi="fa-IR"/>
          <w:color w:val="000000"/>
          <w:rtl/>
        </w:rPr>
        <w:t xml:space="preserve">۱-۶- تعاریف نظری و عملیاتی </w:t>
      </w:r>
      <w:r>
        <w:rPr>
          <w:rFonts w:ascii="Times New Roman" w:hAnsi="Times New Roman" w:cs="B Titr" w:eastAsia="Times New Roman"/>
          <w:b/>
          <w:bCs/>
          <w:sz w:val="30"/>
          <w:szCs w:val="30"/>
          <w:lang w:bidi="fa-IR"/>
          <w:color w:val="000000"/>
          <w:rtl/>
        </w:rPr>
        <w:t>متغیرها</w:t>
      </w:r>
      <w:bookmarkEnd w:id="18"/>
    </w:p>
    <w:p w14:paraId="2346C958"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9" w:name="_Toc238572013"/>
      <w:r>
        <w:rPr>
          <w:rFonts w:ascii="Times New Roman" w:hAnsi="Times New Roman" w:cs="B Titr" w:eastAsia="Times New Roman"/>
          <w:b/>
          <w:bCs/>
          <w:sz w:val="30"/>
          <w:szCs w:val="30"/>
          <w:lang w:bidi="fa-IR"/>
          <w:color w:val="000000"/>
          <w:rtl/>
        </w:rPr>
        <w:t xml:space="preserve">۱-۶-۱- تعاریف نظری </w:t>
      </w:r>
      <w:r>
        <w:rPr>
          <w:rFonts w:ascii="Times New Roman" w:hAnsi="Times New Roman" w:cs="B Titr" w:eastAsia="Times New Roman"/>
          <w:b/>
          <w:bCs/>
          <w:sz w:val="30"/>
          <w:szCs w:val="30"/>
          <w:lang w:bidi="fa-IR"/>
          <w:color w:val="000000"/>
          <w:rtl/>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20" w:name="_Toc238572014"/>
      <w:r>
        <w:rPr>
          <w:rFonts w:ascii="Times New Roman" w:hAnsi="Times New Roman" w:cs="B Titr" w:eastAsia="Times New Roman"/>
          <w:b/>
          <w:bCs/>
          <w:sz w:val="30"/>
          <w:szCs w:val="30"/>
          <w:lang w:bidi="fa-IR"/>
          <w:color w:val="000000"/>
          <w:rtl/>
        </w:rPr>
        <w:t xml:space="preserve">۱-۶-۲- تعاریف عملیاتی </w:t>
      </w:r>
      <w:r>
        <w:rPr>
          <w:rFonts w:ascii="Times New Roman" w:hAnsi="Times New Roman" w:cs="B Titr" w:eastAsia="Times New Roman"/>
          <w:b/>
          <w:bCs/>
          <w:sz w:val="30"/>
          <w:szCs w:val="30"/>
          <w:lang w:bidi="fa-IR"/>
          <w:color w:val="000000"/>
          <w:rtl/>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spacing w:before="0" w:after="240" w:line="276" w:lineRule="auto"/>
        <w:jc w:val="center"/>
        <w:rPr>
          <w:rFonts w:ascii="Times New Roman" w:cs="B Titr" w:hAnsi="Times New Roman" w:eastAsia="Times New Roman"/>
          <w:color w:val="000000"/>
          <w:sz w:val="56"/>
          <w:szCs w:val="56"/>
          <w:lang w:bidi="fa-IR"/>
          <w:b/>
          <w:bCs/>
        </w:rPr>
      </w:pPr>
      <w:bookmarkStart w:id="21" w:name="_Toc238572015"/>
      <w:r>
        <w:rPr>
          <w:rFonts w:ascii="Times New Roman" w:hAnsi="Times New Roman" w:cs="B Titr" w:eastAsia="Times New Roman"/>
          <w:sz w:val="56"/>
          <w:szCs w:val="56"/>
          <w:b/>
          <w:bCs/>
          <w:color w:val="000000"/>
          <w:rtl/>
          <w:lang w:bidi="fa-IR"/>
        </w:rPr>
        <w:lastRenderedPageBreak/>
        <w:t>فصل دوم: مبانی نظری و پیشینه پژوهش</w:t>
      </w:r>
      <w:bookmarkEnd w:id="21"/>
    </w:p>
    <w:p w14:paraId="05FA92BD"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22" w:name="_Toc238572016"/>
      <w:r>
        <w:rPr>
          <w:rFonts w:ascii="Times New Roman" w:hAnsi="Times New Roman" w:cs="B Titr" w:eastAsia="Times New Roman"/>
          <w:b/>
          <w:bCs/>
          <w:sz w:val="30"/>
          <w:szCs w:val="30"/>
          <w:lang w:bidi="fa-IR"/>
          <w:color w:val="000000"/>
          <w:rtl/>
        </w:rPr>
        <w:lastRenderedPageBreak/>
        <w:t>۲-۱- گستره نخست: سالمندی</w:t>
      </w:r>
      <w:bookmarkEnd w:id="22"/>
    </w:p>
    <w:p w14:paraId="78DC0B1D"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23" w:name="_Toc238572017"/>
      <w:r>
        <w:rPr>
          <w:rFonts w:ascii="Times New Roman" w:hAnsi="Times New Roman" w:cs="B Titr" w:eastAsia="Times New Roman"/>
          <w:b/>
          <w:bCs/>
          <w:sz w:val="30"/>
          <w:szCs w:val="30"/>
          <w:lang w:bidi="fa-IR"/>
          <w:color w:val="000000"/>
          <w:rtl/>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14:paraId="0F3658C2"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24" w:name="_Toc238572018"/>
      <w:r>
        <w:rPr>
          <w:rFonts w:ascii="Times New Roman" w:hAnsi="Times New Roman" w:cs="B Titr" w:eastAsia="Times New Roman"/>
          <w:b/>
          <w:bCs/>
          <w:sz w:val="30"/>
          <w:szCs w:val="30"/>
          <w:lang w:bidi="fa-IR"/>
          <w:color w:val="000000"/>
          <w:rtl/>
        </w:rPr>
        <w:t>۲-۱-۲- نظریه های سالمندی</w:t>
      </w:r>
      <w:bookmarkEnd w:id="24"/>
    </w:p>
    <w:p w14:paraId="32F7C692" w14:textId="77777777">
      <w:pPr>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lang w:bidi="fa-IR"/>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همچنین،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lang w:bidi="fa-IR"/>
        </w:rPr>
        <w:footnoteReference w:id="9"/>
      </w:r>
      <w:r>
        <w:rPr>
          <w:rFonts w:ascii="Times New Roman" w:hAnsi="Times New Roman" w:hint="cs"/>
          <w:lang w:bidi="fa-IR"/>
          <w:rtl/>
        </w:rPr>
        <w:t xml:space="preserve">، ۲۰۲۳؛ سازمان جهانی بهداشت، ۲۰۲۰).</w:t>
      </w:r>
    </w:p>
    <w:p w14:paraId="66899C70"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5" w:name="_Toc238572019"/>
      <w:r>
        <w:rPr>
          <w:rFonts w:ascii="Times New Roman" w:hAnsi="Times New Roman" w:cs="B Titr" w:eastAsia="Times New Roman"/>
          <w:b/>
          <w:bCs/>
          <w:sz w:val="30"/>
          <w:szCs w:val="30"/>
          <w:lang w:bidi="fa-IR"/>
          <w:color w:val="000000"/>
          <w:rtl/>
        </w:rPr>
        <w:t xml:space="preserve">۲-۱-۲-۱- نظریه‌های زیست شناختی</w:t>
      </w:r>
      <w:bookmarkEnd w:id="25"/>
    </w:p>
    <w:p w14:paraId="484366E1"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7" w:name="_Toc238572020"/>
      <w:r>
        <w:rPr>
          <w:rFonts w:ascii="Times New Roman" w:hAnsi="Times New Roman" w:cs="B Titr" w:eastAsia="Times New Roman"/>
          <w:b/>
          <w:bCs/>
          <w:sz w:val="30"/>
          <w:szCs w:val="30"/>
          <w:lang w:bidi="fa-IR"/>
          <w:color w:val="000000"/>
          <w:rtl/>
        </w:rPr>
        <w:lastRenderedPageBreak/>
        <w:t xml:space="preserve">۲-۱-۲-۱-۱- نظریه ایمنی</w:t>
      </w:r>
      <w:bookmarkEnd w:id="27"/>
    </w:p>
    <w:p w14:paraId="7CC44E55"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همچنین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lang w:bidi="fa-IR"/>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lang w:bidi="fa-IR"/>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lang w:bidi="fa-IR"/>
        </w:rPr>
        <w:footnoteReference w:id="12"/>
      </w:r>
      <w:r>
        <w:rPr>
          <w:rFonts w:ascii="Times New Roman" w:hAnsi="Times New Roman" w:hint="cs"/>
          <w:lang w:bidi="fa-IR"/>
          <w:rtl/>
        </w:rPr>
        <w:t xml:space="preserve"> و همکاران، ۲۰۲۳).</w:t>
      </w:r>
    </w:p>
    <w:p w14:paraId="11FE0E24"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8" w:name="_Toc238572021"/>
      <w:r>
        <w:rPr>
          <w:rFonts w:ascii="Times New Roman" w:hAnsi="Times New Roman" w:cs="B Titr" w:eastAsia="Times New Roman"/>
          <w:b/>
          <w:bCs/>
          <w:sz w:val="30"/>
          <w:szCs w:val="30"/>
          <w:lang w:bidi="fa-IR"/>
          <w:color w:val="000000"/>
          <w:rtl/>
        </w:rPr>
        <w:t>۲-۱-۲-۱-۲-نظریه پیر شدن سلولی</w:t>
      </w:r>
      <w:bookmarkEnd w:id="28"/>
    </w:p>
    <w:p w14:paraId="5A7126E9"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lang w:bidi="fa-IR"/>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lang w:bidi="fa-IR"/>
        </w:rPr>
        <w:footnoteReference w:id="14"/>
      </w:r>
      <w:r>
        <w:rPr>
          <w:rFonts w:ascii="Times New Roman" w:hAnsi="Times New Roman" w:hint="cs"/>
          <w:lang w:bidi="fa-IR"/>
          <w:rtl/>
        </w:rPr>
        <w:t>، ۲۰۲۴).</w:t>
      </w:r>
    </w:p>
    <w:p w14:paraId="41EE9C7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9" w:name="_Toc238572022"/>
      <w:r>
        <w:rPr>
          <w:rFonts w:ascii="Times New Roman" w:hAnsi="Times New Roman" w:cs="B Titr" w:eastAsia="Times New Roman"/>
          <w:b/>
          <w:bCs/>
          <w:sz w:val="30"/>
          <w:szCs w:val="30"/>
          <w:lang w:bidi="fa-IR"/>
          <w:color w:val="000000"/>
          <w:rtl/>
        </w:rPr>
        <w:lastRenderedPageBreak/>
        <w:t xml:space="preserve">۲-۱-۲-۱-۳- نظریه رادیکال آزاد</w:t>
      </w:r>
      <w:bookmarkEnd w:id="29"/>
    </w:p>
    <w:p w14:paraId="79F4BF84"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 xml:space="preserve">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همچنین،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lang w:bidi="fa-IR"/>
        </w:rPr>
        <w:footnoteReference w:id="15"/>
      </w:r>
      <w:r>
        <w:rPr>
          <w:rFonts w:ascii="Times New Roman" w:hAnsi="Times New Roman" w:hint="cs"/>
          <w:lang w:bidi="fa-IR"/>
          <w:rtl/>
        </w:rPr>
        <w:t>، ۲۰۲۴).</w:t>
      </w:r>
    </w:p>
    <w:p w14:paraId="3D641FB1"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0" w:name="_Toc238572023"/>
      <w:r>
        <w:rPr>
          <w:rFonts w:ascii="Times New Roman" w:hAnsi="Times New Roman" w:cs="B Titr" w:eastAsia="Times New Roman"/>
          <w:b/>
          <w:bCs/>
          <w:sz w:val="30"/>
          <w:szCs w:val="30"/>
          <w:lang w:bidi="fa-IR"/>
          <w:color w:val="000000"/>
          <w:rtl/>
        </w:rPr>
        <w:t xml:space="preserve">۲-۱-۲-۲- نظریه‌های روانشناختی</w:t>
      </w:r>
      <w:bookmarkEnd w:id="30"/>
    </w:p>
    <w:p w14:paraId="4520A324"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1" w:name="_Toc238572024"/>
      <w:r>
        <w:rPr>
          <w:rFonts w:ascii="Times New Roman" w:hAnsi="Times New Roman" w:cs="B Titr" w:eastAsia="Times New Roman"/>
          <w:b/>
          <w:bCs/>
          <w:sz w:val="30"/>
          <w:szCs w:val="30"/>
          <w:lang w:bidi="fa-IR"/>
          <w:color w:val="000000"/>
          <w:rtl/>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lang w:bidi="fa-IR"/>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14:paraId="55F08B4D"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2" w:name="_Toc238572025"/>
      <w:r>
        <w:rPr>
          <w:rFonts w:ascii="Times New Roman" w:hAnsi="Times New Roman" w:cs="B Titr" w:eastAsia="Times New Roman"/>
          <w:b/>
          <w:bCs/>
          <w:sz w:val="30"/>
          <w:szCs w:val="30"/>
          <w:lang w:bidi="fa-IR"/>
          <w:color w:val="000000"/>
          <w:rtl/>
        </w:rPr>
        <w:t xml:space="preserve">۲-۱-۲-۲-۲- نظریه لوینسون و شی</w:t>
      </w:r>
      <w:bookmarkEnd w:id="32"/>
    </w:p>
    <w:p w14:paraId="081CFB18" w14:textId="77777777">
      <w:pPr>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lang w:bidi="fa-IR"/>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lang w:bidi="fa-IR"/>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3" w:name="_Toc238572026"/>
      <w:r>
        <w:rPr>
          <w:rFonts w:ascii="Times New Roman" w:hAnsi="Times New Roman" w:cs="B Titr" w:eastAsia="Times New Roman"/>
          <w:b/>
          <w:bCs/>
          <w:sz w:val="30"/>
          <w:szCs w:val="30"/>
          <w:lang w:bidi="fa-IR"/>
          <w:color w:val="000000"/>
          <w:rtl/>
        </w:rPr>
        <w:t xml:space="preserve">۲-۱-۲-۲-۳- نظریه اریکسون</w:t>
      </w:r>
      <w:bookmarkEnd w:id="33"/>
    </w:p>
    <w:p w14:paraId="624436C2" w14:textId="77777777">
      <w:pPr>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lang w:bidi="fa-IR"/>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lang w:bidi="fa-IR"/>
        </w:rPr>
        <w:footnoteReference w:id="20"/>
      </w:r>
      <w:r>
        <w:rPr>
          <w:rFonts w:ascii="Times New Roman" w:hAnsi="Times New Roman" w:hint="cs"/>
          <w:lang w:bidi="fa-IR"/>
          <w:rtl/>
        </w:rPr>
        <w:t>، ۱۹۸۶).</w:t>
      </w:r>
    </w:p>
    <w:p w14:paraId="6DF5AB5B"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4" w:name="_Toc238572027"/>
      <w:r>
        <w:rPr>
          <w:rFonts w:ascii="Times New Roman" w:hAnsi="Times New Roman" w:cs="B Titr" w:eastAsia="Times New Roman"/>
          <w:b/>
          <w:bCs/>
          <w:sz w:val="30"/>
          <w:szCs w:val="30"/>
          <w:lang w:bidi="fa-IR"/>
          <w:color w:val="000000"/>
          <w:rtl/>
        </w:rPr>
        <w:t xml:space="preserve">۲-۱-۲-۳- نظریه‌های جامعه شناختی</w:t>
      </w:r>
      <w:bookmarkEnd w:id="34"/>
    </w:p>
    <w:p w14:paraId="04BBBE12"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6" w:name="_Toc238572028"/>
      <w:r>
        <w:rPr>
          <w:rFonts w:ascii="Times New Roman" w:hAnsi="Times New Roman" w:cs="B Titr" w:eastAsia="Times New Roman"/>
          <w:b/>
          <w:bCs/>
          <w:sz w:val="30"/>
          <w:szCs w:val="30"/>
          <w:lang w:bidi="fa-IR"/>
          <w:color w:val="000000"/>
          <w:rtl/>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lang w:bidi="fa-IR"/>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lang w:bidi="fa-IR"/>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lang w:bidi="fa-IR"/>
        </w:rPr>
        <w:footnoteReference w:id="23"/>
      </w:r>
      <w:r>
        <w:rPr>
          <w:rFonts w:ascii="Times New Roman" w:hAnsi="Times New Roman" w:hint="cs"/>
          <w:lang w:bidi="fa-IR"/>
          <w:rtl/>
        </w:rPr>
        <w:t>، ۲۰۱۶).</w:t>
      </w:r>
    </w:p>
    <w:p w14:paraId="4B444079"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7" w:name="_Toc238572029"/>
      <w:r>
        <w:rPr>
          <w:rFonts w:ascii="Times New Roman" w:hAnsi="Times New Roman" w:cs="B Titr" w:eastAsia="Times New Roman"/>
          <w:b/>
          <w:bCs/>
          <w:sz w:val="30"/>
          <w:szCs w:val="30"/>
          <w:lang w:bidi="fa-IR"/>
          <w:color w:val="000000"/>
          <w:rtl/>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lang w:bidi="fa-IR"/>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lang w:bidi="fa-IR"/>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lang w:bidi="fa-IR"/>
        </w:rPr>
        <w:footnoteReference w:id="26"/>
      </w:r>
      <w:r>
        <w:rPr>
          <w:rFonts w:ascii="Times New Roman" w:hAnsi="Times New Roman" w:hint="cs"/>
          <w:lang w:bidi="fa-IR"/>
          <w:rtl/>
        </w:rPr>
        <w:t>، ۱۹۶۸).</w:t>
      </w:r>
    </w:p>
    <w:p w14:paraId="4AC40FF0"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8" w:name="_Toc238572030"/>
      <w:r>
        <w:rPr>
          <w:rFonts w:ascii="Times New Roman" w:hAnsi="Times New Roman" w:cs="B Titr" w:eastAsia="Times New Roman"/>
          <w:b/>
          <w:bCs/>
          <w:sz w:val="30"/>
          <w:szCs w:val="30"/>
          <w:lang w:bidi="fa-IR"/>
          <w:color w:val="000000"/>
          <w:rtl/>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lang w:bidi="fa-IR"/>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9" w:name="_Toc238572031"/>
      <w:r>
        <w:rPr>
          <w:rFonts w:ascii="Times New Roman" w:hAnsi="Times New Roman" w:cs="B Titr" w:eastAsia="Times New Roman"/>
          <w:b/>
          <w:bCs/>
          <w:sz w:val="30"/>
          <w:szCs w:val="30"/>
          <w:lang w:bidi="fa-IR"/>
          <w:color w:val="000000"/>
          <w:rtl/>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lang w:bidi="fa-IR"/>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14:paraId="7110E0CE"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40" w:name="_Toc238572032"/>
      <w:r>
        <w:rPr>
          <w:rFonts w:ascii="Times New Roman" w:hAnsi="Times New Roman" w:cs="B Titr" w:eastAsia="Times New Roman"/>
          <w:b/>
          <w:bCs/>
          <w:sz w:val="30"/>
          <w:szCs w:val="30"/>
          <w:lang w:bidi="fa-IR"/>
          <w:color w:val="000000"/>
          <w:rtl/>
        </w:rPr>
        <w:t>۲-۲- گستره دوم: اضطراب مرگ</w:t>
      </w:r>
      <w:bookmarkEnd w:id="40"/>
    </w:p>
    <w:p w14:paraId="2F8D229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41" w:name="_Toc238572033"/>
      <w:r>
        <w:rPr>
          <w:rFonts w:ascii="Times New Roman" w:hAnsi="Times New Roman" w:cs="B Titr" w:eastAsia="Times New Roman"/>
          <w:b/>
          <w:bCs/>
          <w:sz w:val="30"/>
          <w:szCs w:val="30"/>
          <w:lang w:bidi="fa-IR"/>
          <w:color w:val="000000"/>
          <w:rtl/>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lang w:bidi="fa-IR"/>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lang w:bidi="fa-IR"/>
        </w:rPr>
        <w:footnoteReference w:id="30"/>
      </w:r>
      <w:r>
        <w:rPr>
          <w:rFonts w:ascii="Times New Roman" w:hAnsi="Times New Roman" w:hint="cs"/>
          <w:lang w:bidi="fa-IR"/>
          <w:rtl/>
        </w:rPr>
        <w:t xml:space="preserve"> و همکاران، ۲۰۲۳).</w:t>
      </w:r>
    </w:p>
    <w:p w14:paraId="7D391F2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43" w:name="_Toc238572034"/>
      <w:r>
        <w:rPr>
          <w:rFonts w:ascii="Times New Roman" w:hAnsi="Times New Roman" w:cs="B Titr" w:eastAsia="Times New Roman"/>
          <w:b/>
          <w:bCs/>
          <w:sz w:val="30"/>
          <w:szCs w:val="30"/>
          <w:lang w:bidi="fa-IR"/>
          <w:color w:val="000000"/>
          <w:rtl/>
        </w:rPr>
        <w:lastRenderedPageBreak/>
        <w:t xml:space="preserve">۲-۲-۲- </w:t>
      </w:r>
      <w:r>
        <w:rPr>
          <w:rFonts w:ascii="Times New Roman" w:hAnsi="Times New Roman" w:cs="B Titr" w:eastAsia="Times New Roman"/>
          <w:b/>
          <w:bCs/>
          <w:sz w:val="30"/>
          <w:szCs w:val="30"/>
          <w:lang w:bidi="fa-IR"/>
          <w:color w:val="000000"/>
          <w:rtl/>
        </w:rPr>
        <w:t>نظریه‌های</w:t>
      </w:r>
      <w:r>
        <w:rPr>
          <w:rFonts w:ascii="Times New Roman" w:hAnsi="Times New Roman" w:cs="B Titr" w:eastAsia="Times New Roman"/>
          <w:b/>
          <w:bCs/>
          <w:sz w:val="30"/>
          <w:szCs w:val="30"/>
          <w:lang w:bidi="fa-IR"/>
          <w:color w:val="000000"/>
          <w:rtl/>
        </w:rPr>
        <w:t xml:space="preserve"> مرتبط با اضطراب مرگ</w:t>
      </w:r>
      <w:bookmarkEnd w:id="43"/>
    </w:p>
    <w:p w14:paraId="136CA3A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4" w:name="_Toc238572035"/>
      <w:r>
        <w:rPr>
          <w:rFonts w:ascii="Times New Roman" w:hAnsi="Times New Roman" w:cs="B Titr" w:eastAsia="Times New Roman"/>
          <w:b/>
          <w:bCs/>
          <w:sz w:val="30"/>
          <w:szCs w:val="30"/>
          <w:lang w:bidi="fa-IR"/>
          <w:color w:val="000000"/>
          <w:rtl/>
        </w:rPr>
        <w:t>۲-۲-۲-۱- نظریه فروید (</w:t>
      </w:r>
      <w:r>
        <w:rPr>
          <w:rFonts w:ascii="Times New Roman" w:hAnsi="Times New Roman" w:cs="B Titr" w:eastAsia="Times New Roman"/>
          <w:b/>
          <w:bCs/>
          <w:sz w:val="30"/>
          <w:szCs w:val="30"/>
          <w:lang w:bidi="fa-IR"/>
          <w:color w:val="000000"/>
          <w:rtl/>
        </w:rPr>
        <w:t>روان‌تحلیل‌گری</w:t>
      </w:r>
      <w:r>
        <w:rPr>
          <w:rFonts w:ascii="Times New Roman" w:hAnsi="Times New Roman" w:cs="B Titr" w:eastAsia="Times New Roman"/>
          <w:b/>
          <w:bCs/>
          <w:sz w:val="30"/>
          <w:szCs w:val="30"/>
          <w:lang w:bidi="fa-IR"/>
          <w:color w:val="000000"/>
          <w:rtl/>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lang w:bidi="fa-IR"/>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14:paraId="0F0F100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6" w:name="_Toc238572036"/>
      <w:r>
        <w:rPr>
          <w:rFonts w:ascii="Times New Roman" w:hAnsi="Times New Roman" w:cs="B Titr" w:eastAsia="Times New Roman"/>
          <w:b/>
          <w:bCs/>
          <w:sz w:val="30"/>
          <w:szCs w:val="30"/>
          <w:lang w:bidi="fa-IR"/>
          <w:color w:val="000000"/>
          <w:rtl/>
        </w:rPr>
        <w:t xml:space="preserve">۲-۲-۲-۲- نظریه </w:t>
      </w:r>
      <w:r>
        <w:rPr>
          <w:rFonts w:ascii="Times New Roman" w:hAnsi="Times New Roman" w:cs="B Titr" w:eastAsia="Times New Roman"/>
          <w:b/>
          <w:bCs/>
          <w:sz w:val="30"/>
          <w:szCs w:val="30"/>
          <w:lang w:bidi="fa-IR"/>
          <w:color w:val="000000"/>
          <w:rtl/>
        </w:rPr>
        <w:t>یالوم</w:t>
      </w:r>
      <w:r>
        <w:rPr>
          <w:rFonts w:ascii="Times New Roman" w:hAnsi="Times New Roman" w:cs="B Titr" w:eastAsia="Times New Roman"/>
          <w:b/>
          <w:bCs/>
          <w:sz w:val="30"/>
          <w:szCs w:val="30"/>
          <w:lang w:bidi="fa-IR"/>
          <w:color w:val="000000"/>
          <w:rtl/>
        </w:rPr>
        <w:t xml:space="preserve"> (</w:t>
      </w:r>
      <w:r>
        <w:rPr>
          <w:rFonts w:ascii="Times New Roman" w:hAnsi="Times New Roman" w:cs="B Titr" w:eastAsia="Times New Roman"/>
          <w:b/>
          <w:bCs/>
          <w:sz w:val="30"/>
          <w:szCs w:val="30"/>
          <w:lang w:bidi="fa-IR"/>
          <w:color w:val="000000"/>
          <w:rtl/>
        </w:rPr>
        <w:t>وجودگرایی</w:t>
      </w:r>
      <w:r>
        <w:rPr>
          <w:rFonts w:ascii="Times New Roman" w:hAnsi="Times New Roman" w:cs="B Titr" w:eastAsia="Times New Roman"/>
          <w:b/>
          <w:bCs/>
          <w:sz w:val="30"/>
          <w:szCs w:val="30"/>
          <w:lang w:bidi="fa-IR"/>
          <w:color w:val="000000"/>
          <w:rtl/>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lang w:bidi="fa-IR"/>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14:paraId="0916D0C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8" w:name="_Toc238572037"/>
      <w:r>
        <w:rPr>
          <w:rFonts w:ascii="Times New Roman" w:hAnsi="Times New Roman" w:cs="B Titr" w:eastAsia="Times New Roman"/>
          <w:b/>
          <w:bCs/>
          <w:sz w:val="30"/>
          <w:szCs w:val="30"/>
          <w:lang w:bidi="fa-IR"/>
          <w:color w:val="000000"/>
          <w:rtl/>
        </w:rPr>
        <w:t>۲-۲-۲-۳- نظریه مدیریت وحشت (</w:t>
      </w:r>
      <w:r>
        <w:rPr>
          <w:rFonts w:ascii="Times New Roman" w:hAnsi="Times New Roman" w:cs="B Titr" w:eastAsia="Times New Roman"/>
          <w:b/>
          <w:bCs/>
          <w:sz w:val="30"/>
          <w:szCs w:val="30"/>
          <w:lang w:bidi="fa-IR" w:val="en-US"/>
          <w:color w:val="000000"/>
          <w:rtl w:val="0"/>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lang w:bidi="fa-IR"/>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14:paraId="20F1B09C"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9" w:name="_Toc238572038"/>
      <w:r>
        <w:rPr>
          <w:rFonts w:ascii="Times New Roman" w:hAnsi="Times New Roman" w:cs="B Titr" w:eastAsia="Times New Roman"/>
          <w:b/>
          <w:bCs/>
          <w:sz w:val="30"/>
          <w:szCs w:val="30"/>
          <w:lang w:bidi="fa-IR"/>
          <w:color w:val="000000"/>
          <w:rtl/>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lang w:bidi="fa-IR"/>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0" w:name="_Toc238572039"/>
      <w:r>
        <w:rPr>
          <w:rFonts w:ascii="Times New Roman" w:hAnsi="Times New Roman" w:cs="B Titr" w:eastAsia="Times New Roman"/>
          <w:b/>
          <w:bCs/>
          <w:sz w:val="30"/>
          <w:szCs w:val="30"/>
          <w:lang w:bidi="fa-IR"/>
          <w:color w:val="000000"/>
          <w:rtl/>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14:paraId="17E055B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1" w:name="_Toc238572040"/>
      <w:r>
        <w:rPr>
          <w:rFonts w:ascii="Times New Roman" w:hAnsi="Times New Roman" w:cs="B Titr" w:eastAsia="Times New Roman"/>
          <w:b/>
          <w:bCs/>
          <w:sz w:val="30"/>
          <w:szCs w:val="30"/>
          <w:lang w:bidi="fa-IR"/>
          <w:color w:val="000000"/>
          <w:rtl/>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2" w:name="_Toc238572041"/>
      <w:r>
        <w:rPr>
          <w:rFonts w:ascii="Times New Roman" w:hAnsi="Times New Roman" w:cs="B Titr" w:eastAsia="Times New Roman"/>
          <w:b/>
          <w:bCs/>
          <w:sz w:val="30"/>
          <w:szCs w:val="30"/>
          <w:lang w:bidi="fa-IR"/>
          <w:color w:val="000000"/>
          <w:rtl/>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lang w:bidi="fa-IR"/>
        </w:rPr>
        <w:footnoteReference w:id="35"/>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lang w:bidi="fa-IR"/>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lang w:bidi="fa-IR"/>
        </w:rPr>
        <w:footnoteReference w:id="37"/>
      </w:r>
      <w:r>
        <w:rPr>
          <w:rFonts w:ascii="Times New Roman" w:hAnsi="Times New Roman" w:hint="cs"/>
          <w:lang w:bidi="fa-IR"/>
          <w:rtl/>
        </w:rPr>
        <w:t xml:space="preserve"> و همکاران، ۲۰۲۳).</w:t>
      </w:r>
    </w:p>
    <w:p w14:paraId="121543EE"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3" w:name="_Toc238572042"/>
      <w:r>
        <w:rPr>
          <w:rFonts w:ascii="Times New Roman" w:hAnsi="Times New Roman" w:cs="B Titr" w:eastAsia="Times New Roman"/>
          <w:b/>
          <w:bCs/>
          <w:sz w:val="30"/>
          <w:szCs w:val="30"/>
          <w:lang w:bidi="fa-IR"/>
          <w:color w:val="000000"/>
          <w:rtl/>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14:paraId="143F23F6"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55" w:name="_Toc238572043"/>
      <w:r>
        <w:rPr>
          <w:rFonts w:ascii="Times New Roman" w:hAnsi="Times New Roman" w:cs="B Titr" w:eastAsia="Times New Roman"/>
          <w:b/>
          <w:bCs/>
          <w:sz w:val="30"/>
          <w:szCs w:val="30"/>
          <w:lang w:bidi="fa-IR"/>
          <w:color w:val="000000"/>
          <w:rtl/>
        </w:rPr>
        <w:lastRenderedPageBreak/>
        <w:t>۲-۳- گستره سوم: هوش معنوی</w:t>
      </w:r>
      <w:bookmarkEnd w:id="55"/>
    </w:p>
    <w:p w14:paraId="555348F7"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7" w:name="_Toc238572044"/>
      <w:r>
        <w:rPr>
          <w:rFonts w:ascii="Times New Roman" w:hAnsi="Times New Roman" w:cs="B Titr" w:eastAsia="Times New Roman"/>
          <w:b/>
          <w:bCs/>
          <w:sz w:val="30"/>
          <w:szCs w:val="30"/>
          <w:lang w:bidi="fa-IR"/>
          <w:color w:val="000000"/>
          <w:rtl/>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lang w:bidi="fa-IR"/>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lang w:bidi="fa-IR"/>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lang w:bidi="fa-IR"/>
        </w:rPr>
        <w:footnoteReference w:id="40"/>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pPr>
      <w:bookmarkStart w:id="58" w:name="_Toc113114059"/>
      <w:bookmarkStart w:id="59" w:name="_Toc238572045"/>
      <w:r>
        <w:rPr>
          <w:rFonts w:ascii="Times New Roman" w:hAnsi="Times New Roman" w:cs="B Titr" w:eastAsia="Times New Roman"/>
          <w:b/>
          <w:bCs/>
          <w:kern w:val="32"/>
          <w:sz w:val="30"/>
          <w:szCs w:val="30"/>
          <w:lang w:bidi="fa-IR"/>
          <w:color w:val="000000"/>
          <w:rtl/>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lang w:bidi="fa-IR"/>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pPr>
      <w:bookmarkStart w:id="60" w:name="_Toc238572046"/>
      <w:r>
        <w:rPr>
          <w:rFonts w:ascii="Times New Roman" w:hAnsi="Times New Roman" w:cs="B Titr" w:eastAsia="Times New Roman"/>
          <w:b/>
          <w:bCs/>
          <w:kern w:val="32"/>
          <w:sz w:val="30"/>
          <w:szCs w:val="30"/>
          <w:lang w:bidi="fa-IR"/>
          <w:color w:val="000000"/>
          <w:rtl/>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lang w:bidi="fa-IR"/>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lang w:bidi="fa-IR"/>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14:paraId="7381D426"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61" w:name="_Toc238572047"/>
      <w:r>
        <w:rPr>
          <w:rFonts w:ascii="Times New Roman" w:hAnsi="Times New Roman" w:cs="B Titr" w:eastAsia="Times New Roman"/>
          <w:b/>
          <w:bCs/>
          <w:sz w:val="30"/>
          <w:szCs w:val="30"/>
          <w:lang w:bidi="fa-IR"/>
          <w:color w:val="000000"/>
          <w:rtl/>
        </w:rPr>
        <w:t>۲-۴- گستره چهارم: اضطراب سلامتی</w:t>
      </w:r>
      <w:bookmarkEnd w:id="61"/>
    </w:p>
    <w:p w14:paraId="56B4B688"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62" w:name="_Toc238572048"/>
      <w:r>
        <w:rPr>
          <w:rFonts w:ascii="Times New Roman" w:hAnsi="Times New Roman" w:cs="B Titr" w:eastAsia="Times New Roman"/>
          <w:b/>
          <w:bCs/>
          <w:sz w:val="30"/>
          <w:szCs w:val="30"/>
          <w:lang w:bidi="fa-IR"/>
          <w:color w:val="000000"/>
          <w:rtl/>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lang w:bidi="fa-IR"/>
        </w:rPr>
        <w:footnoteReference w:id="44"/>
      </w:r>
      <w:r>
        <w:rPr>
          <w:rStyle w:val="FootnoteReference"/>
          <w:rFonts w:ascii="Times New Roman" w:hAnsi="Times New Roman" w:hint="cs"/>
          <w:lang w:bidi="fa-IR"/>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lang w:bidi="fa-IR"/>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65" w:name="_Toc238572049"/>
      <w:r>
        <w:rPr>
          <w:rFonts w:ascii="Times New Roman" w:hAnsi="Times New Roman" w:cs="B Titr" w:eastAsia="Times New Roman"/>
          <w:b/>
          <w:bCs/>
          <w:sz w:val="30"/>
          <w:szCs w:val="30"/>
          <w:lang w:bidi="fa-IR"/>
          <w:color w:val="000000"/>
          <w:rtl/>
        </w:rPr>
        <w:lastRenderedPageBreak/>
        <w:t xml:space="preserve">۲-۴-۲- </w:t>
      </w:r>
      <w:r>
        <w:rPr>
          <w:rFonts w:ascii="Times New Roman" w:hAnsi="Times New Roman" w:cs="B Titr" w:eastAsia="Times New Roman"/>
          <w:b/>
          <w:bCs/>
          <w:sz w:val="30"/>
          <w:szCs w:val="30"/>
          <w:lang w:bidi="fa-IR"/>
          <w:color w:val="000000"/>
          <w:rtl/>
        </w:rPr>
        <w:t>مدل‌های</w:t>
      </w:r>
      <w:r>
        <w:rPr>
          <w:rFonts w:ascii="Times New Roman" w:hAnsi="Times New Roman" w:cs="B Titr" w:eastAsia="Times New Roman"/>
          <w:b/>
          <w:bCs/>
          <w:sz w:val="30"/>
          <w:szCs w:val="30"/>
          <w:lang w:bidi="fa-IR"/>
          <w:color w:val="000000"/>
          <w:rtl/>
        </w:rPr>
        <w:t xml:space="preserve"> نظری اضطراب سلامتی</w:t>
      </w:r>
      <w:bookmarkEnd w:id="65"/>
    </w:p>
    <w:p w14:paraId="1EC6A315"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67" w:name="_Toc238572050"/>
      <w:r>
        <w:rPr>
          <w:rFonts w:ascii="Times New Roman" w:hAnsi="Times New Roman" w:cs="B Titr" w:eastAsia="Times New Roman"/>
          <w:b/>
          <w:bCs/>
          <w:sz w:val="30"/>
          <w:szCs w:val="30"/>
          <w:lang w:bidi="fa-IR"/>
          <w:color w:val="000000"/>
          <w:rtl/>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37E846E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69" w:name="_Toc238572051"/>
      <w:r>
        <w:rPr>
          <w:rFonts w:ascii="Times New Roman" w:hAnsi="Times New Roman" w:cs="B Titr" w:eastAsia="Times New Roman"/>
          <w:b/>
          <w:bCs/>
          <w:sz w:val="30"/>
          <w:szCs w:val="30"/>
          <w:lang w:bidi="fa-IR"/>
          <w:color w:val="000000"/>
          <w:rtl/>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70" w:name="_Toc238572052"/>
      <w:r>
        <w:rPr>
          <w:rFonts w:ascii="Times New Roman" w:hAnsi="Times New Roman" w:cs="B Titr" w:eastAsia="Times New Roman"/>
          <w:b/>
          <w:bCs/>
          <w:sz w:val="30"/>
          <w:szCs w:val="30"/>
          <w:lang w:bidi="fa-IR"/>
          <w:color w:val="000000"/>
          <w:rtl/>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B Titr" w:hint="cs"/>
          <w:b/>
          <w:bCs/>
          <w:sz w:val="30"/>
          <w:szCs w:val="30"/>
          <w:lang w:bidi="fa-IR"/>
        </w:rPr>
        <w:footnoteReference w:id="48"/>
      </w:r>
    </w:p>
    <w:p w14:paraId="7B07063A" w14:textId="77777777">
      <w:pPr>
        <w:pStyle w:val="Heading3"/>
        <w:bidi/>
        <w:spacing w:before="240" w:after="100" w:line="276" w:lineRule="auto"/>
        <w:rPr>
          <w:rFonts w:cs="B Titr" w:ascii="Times New Roman" w:hAnsi="Times New Roman" w:eastAsia="Times New Roman"/>
          <w:color w:val="000000"/>
          <w:lang w:bidi="fa-IR"/>
          <w:sz w:val="30"/>
          <w:szCs w:val="30"/>
          <w:b/>
          <w:bCs/>
        </w:rPr>
      </w:pPr>
      <w:bookmarkStart w:id="71" w:name="_Toc238572053"/>
      <w:r>
        <w:rPr>
          <w:rFonts w:ascii="Times New Roman" w:hAnsi="Times New Roman" w:cs="B Titr" w:eastAsia="Times New Roman"/>
          <w:b/>
          <w:bCs/>
          <w:sz w:val="30"/>
          <w:szCs w:val="30"/>
          <w:lang w:bidi="fa-IR"/>
          <w:color w:val="000000"/>
          <w:rtl/>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lang w:bidi="fa-IR"/>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lang w:bidi="fa-IR"/>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B Titr" w:hint="cs"/>
          <w:b/>
          <w:bCs/>
          <w:sz w:val="30"/>
          <w:szCs w:val="30"/>
          <w:lang w:bidi="fa-IR"/>
        </w:rPr>
        <w:footnoteReference w:id="50"/>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3" w:name="_Toc238572054"/>
      <w:r>
        <w:rPr>
          <w:rFonts w:ascii="Times New Roman" w:hAnsi="Times New Roman" w:cs="B Titr" w:eastAsia="Times New Roman"/>
          <w:b/>
          <w:bCs/>
          <w:sz w:val="30"/>
          <w:szCs w:val="30"/>
          <w:lang w:bidi="fa-IR"/>
          <w:color w:val="000000"/>
          <w:rtl/>
        </w:rPr>
        <w:t xml:space="preserve">۲-۴-۴- عوامل </w:t>
      </w:r>
      <w:r>
        <w:rPr>
          <w:rFonts w:ascii="Times New Roman" w:hAnsi="Times New Roman" w:cs="B Titr" w:eastAsia="Times New Roman"/>
          <w:b/>
          <w:bCs/>
          <w:sz w:val="30"/>
          <w:szCs w:val="30"/>
          <w:lang w:bidi="fa-IR"/>
          <w:color w:val="000000"/>
          <w:rtl/>
        </w:rPr>
        <w:t>زمینه‌ساز</w:t>
      </w:r>
      <w:r>
        <w:rPr>
          <w:rFonts w:ascii="Times New Roman" w:hAnsi="Times New Roman" w:cs="B Titr" w:eastAsia="Times New Roman"/>
          <w:b/>
          <w:bCs/>
          <w:sz w:val="30"/>
          <w:szCs w:val="30"/>
          <w:lang w:bidi="fa-IR"/>
          <w:color w:val="000000"/>
          <w:rtl/>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lang w:bidi="fa-IR"/>
        </w:rPr>
        <w:footnoteReference w:id="53"/>
      </w:r>
      <w:r>
        <w:rPr>
          <w:rFonts w:hint="cs"/>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lang w:bidi="fa-IR"/>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B Titr" w:hint="cs"/>
          <w:b/>
          <w:bCs/>
          <w:sz w:val="30"/>
          <w:szCs w:val="30"/>
          <w:lang w:bidi="fa-IR"/>
        </w:rPr>
        <w:footnoteReference w:id="49"/>
      </w:r>
      <w:r>
        <w:rPr>
          <w:rFonts w:ascii="Times New Roman" w:hAnsi="Times New Roman" w:hint="cs"/>
          <w:lang w:bidi="fa-IR"/>
          <w:rtl/>
        </w:rPr>
        <w:t>، ۲۰۲۱؛ سازمان جهانی بهداشت، ۲۰۲۴).</w:t>
      </w:r>
    </w:p>
    <w:p w14:paraId="3DAA8676"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4" w:name="_Toc238572055"/>
      <w:r>
        <w:rPr>
          <w:rFonts w:ascii="Times New Roman" w:hAnsi="Times New Roman" w:cs="B Titr" w:eastAsia="Times New Roman"/>
          <w:b/>
          <w:bCs/>
          <w:sz w:val="30"/>
          <w:szCs w:val="30"/>
          <w:lang w:bidi="fa-IR"/>
          <w:color w:val="000000"/>
          <w:rtl/>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lang w:bidi="fa-IR"/>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lang w:bidi="fa-IR"/>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lang w:bidi="fa-IR"/>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lang w:bidi="fa-IR"/>
        </w:rPr>
        <w:footnoteReference w:id="58"/>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lang w:bidi="fa-IR"/>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lang w:bidi="fa-IR"/>
        </w:rPr>
        <w:footnoteReference w:id="60"/>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lang w:bidi="fa-IR"/>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lang w:bidi="fa-IR"/>
        </w:rPr>
        <w:footnoteReference w:id="62"/>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lang w:bidi="fa-IR"/>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lang w:bidi="fa-IR"/>
        </w:rPr>
        <w:footnoteReference w:id="64"/>
      </w:r>
      <w:r>
        <w:rPr>
          <w:rFonts w:ascii="Times New Roman" w:hAnsi="Times New Roman" w:hint="cs"/>
          <w:lang w:bidi="fa-IR"/>
          <w:rtl/>
        </w:rPr>
        <w:t xml:space="preserve"> و همکاران، ۲۰۲۲).</w:t>
      </w:r>
    </w:p>
    <w:p w14:paraId="4A84AF1A" w14:textId="77777777">
      <w:pPr>
        <w:pStyle w:val="Heading2"/>
        <w:bidi/>
        <w:spacing w:before="240" w:after="100" w:line="276" w:lineRule="auto"/>
        <w:rPr>
          <w:rFonts w:ascii="Times New Roman" w:hAnsi="Times New Roman" w:cs="B Titr" w:eastAsia="Times New Roman"/>
          <w:b/>
          <w:bCs/>
          <w:color w:val="000000"/>
          <w:lang w:bidi="fa-IR"/>
          <w:sz w:val="30"/>
          <w:szCs w:val="30"/>
        </w:rPr>
      </w:pPr>
      <w:bookmarkStart w:id="75" w:name="_Toc238572056"/>
      <w:r>
        <w:rPr>
          <w:rFonts w:ascii="Times New Roman" w:hAnsi="Times New Roman" w:cs="B Titr" w:eastAsia="Times New Roman"/>
          <w:b/>
          <w:bCs/>
          <w:sz w:val="30"/>
          <w:szCs w:val="30"/>
          <w:lang w:bidi="fa-IR"/>
          <w:color w:val="000000"/>
          <w:rtl/>
        </w:rPr>
        <w:t>۲-۵- پیشینه پژوهش</w:t>
      </w:r>
      <w:bookmarkEnd w:id="75"/>
    </w:p>
    <w:p w14:paraId="5F3E619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6" w:name="_Toc238572057"/>
      <w:r>
        <w:rPr>
          <w:rFonts w:ascii="Times New Roman" w:hAnsi="Times New Roman" w:cs="B Titr" w:eastAsia="Times New Roman"/>
          <w:b/>
          <w:bCs/>
          <w:sz w:val="30"/>
          <w:szCs w:val="30"/>
          <w:lang w:bidi="fa-IR"/>
          <w:color w:val="000000"/>
          <w:rtl/>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7" w:name="_Toc238572058"/>
      <w:r>
        <w:rPr>
          <w:rFonts w:ascii="Times New Roman" w:hAnsi="Times New Roman" w:cs="B Titr" w:eastAsia="Times New Roman"/>
          <w:b/>
          <w:bCs/>
          <w:sz w:val="30"/>
          <w:szCs w:val="30"/>
          <w:lang w:bidi="fa-IR"/>
          <w:color w:val="000000"/>
          <w:rtl/>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Fonts w:ascii="Times New Roman" w:eastAsia="Times New Roman" w:hAnsi="Times New Roman" w:hint="cs"/>
          <w:vertAlign w:val="superscript"/>
          <w:lang w:bidi="fa-IR"/>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Fonts w:ascii="Times New Roman" w:eastAsia="Times New Roman" w:hAnsi="Times New Roman" w:hint="cs"/>
          <w:vertAlign w:val="superscript"/>
          <w:lang w:bidi="fa-IR"/>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Fonts w:ascii="Times New Roman" w:eastAsia="Times New Roman" w:hAnsi="Times New Roman" w:hint="cs"/>
          <w:vertAlign w:val="superscript"/>
          <w:lang w:bidi="fa-IR"/>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Fonts w:ascii="Times New Roman" w:eastAsia="Times New Roman" w:hAnsi="Times New Roman" w:hint="cs"/>
          <w:vertAlign w:val="superscript"/>
          <w:lang w:bidi="fa-IR"/>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Fonts w:ascii="Times New Roman" w:eastAsia="Times New Roman" w:hAnsi="Times New Roman" w:hint="cs"/>
          <w:vertAlign w:val="superscript"/>
          <w:lang w:bidi="fa-IR"/>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Fonts w:ascii="Times New Roman" w:eastAsia="Times New Roman" w:hAnsi="Times New Roman" w:hint="cs"/>
          <w:vertAlign w:val="superscript"/>
          <w:lang w:bidi="fa-IR"/>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Fonts w:ascii="Times New Roman" w:eastAsia="Times New Roman" w:hAnsi="Times New Roman" w:hint="cs"/>
          <w:vertAlign w:val="superscript"/>
          <w:lang w:bidi="fa-IR"/>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Fonts w:ascii="Times New Roman" w:eastAsia="Times New Roman" w:hAnsi="Times New Roman" w:hint="cs"/>
          <w:vertAlign w:val="superscript"/>
          <w:lang w:bidi="fa-IR"/>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Fonts w:ascii="Times New Roman" w:eastAsia="Times New Roman" w:hAnsi="Times New Roman" w:hint="cs"/>
          <w:vertAlign w:val="superscript"/>
          <w:lang w:bidi="fa-IR"/>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Fonts w:ascii="Times New Roman" w:eastAsia="Times New Roman" w:hAnsi="Times New Roman" w:hint="cs"/>
          <w:vertAlign w:val="superscript"/>
          <w:lang w:bidi="fa-IR"/>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Fonts w:ascii="Times New Roman" w:eastAsia="Times New Roman" w:hAnsi="Times New Roman" w:hint="cs"/>
          <w:vertAlign w:val="superscript"/>
          <w:lang w:bidi="fa-IR"/>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Fonts w:ascii="Times New Roman" w:eastAsia="Times New Roman" w:hAnsi="Times New Roman" w:hint="cs"/>
          <w:vertAlign w:val="superscript"/>
          <w:lang w:bidi="fa-IR"/>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Fonts w:ascii="Times New Roman" w:eastAsia="Times New Roman" w:hAnsi="Times New Roman" w:hint="cs"/>
          <w:vertAlign w:val="superscript"/>
          <w:lang w:bidi="fa-IR"/>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Fonts w:ascii="Times New Roman" w:eastAsia="Times New Roman" w:hAnsi="Times New Roman" w:hint="cs"/>
          <w:vertAlign w:val="superscript"/>
          <w:lang w:bidi="fa-IR"/>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Fonts w:ascii="Times New Roman" w:eastAsia="Times New Roman" w:hAnsi="Times New Roman" w:hint="cs"/>
          <w:vertAlign w:val="superscript"/>
          <w:lang w:bidi="fa-IR"/>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Fonts w:ascii="Times New Roman" w:eastAsia="Times New Roman" w:hAnsi="Times New Roman" w:hint="cs"/>
          <w:vertAlign w:val="superscript"/>
          <w:lang w:bidi="fa-IR"/>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14:paraId="0DFF80FF"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pPr>
      <w:bookmarkStart w:id="78" w:name="_Toc238572059"/>
      <w:r>
        <w:rPr>
          <w:rFonts w:ascii="Times New Roman" w:hAnsi="Times New Roman" w:cs="B Titr" w:eastAsia="Times New Roman"/>
          <w:sz w:val="56"/>
          <w:szCs w:val="56"/>
          <w:b/>
          <w:bCs/>
          <w:color w:val="000000"/>
          <w:rtl/>
          <w:lang w:bidi="fa-IR"/>
        </w:rPr>
        <w:lastRenderedPageBreak/>
        <w:t>فصل سوم: روش پژوهش</w:t>
      </w:r>
      <w:bookmarkEnd w:id="78"/>
    </w:p>
    <w:p w14:paraId="1E04641F"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79" w:name="_Toc238572060"/>
      <w:r>
        <w:rPr>
          <w:rFonts w:ascii="Times New Roman" w:hAnsi="Times New Roman" w:cs="B Titr" w:eastAsia="Times New Roman"/>
          <w:b/>
          <w:bCs/>
          <w:sz w:val="30"/>
          <w:szCs w:val="30"/>
          <w:lang w:bidi="fa-IR"/>
          <w:color w:val="000000"/>
          <w:rtl/>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80" w:name="_Toc238572061"/>
      <w:r>
        <w:rPr>
          <w:rFonts w:ascii="Times New Roman" w:hAnsi="Times New Roman" w:cs="B Titr" w:eastAsia="Times New Roman"/>
          <w:b/>
          <w:bCs/>
          <w:sz w:val="30"/>
          <w:szCs w:val="30"/>
          <w:lang w:bidi="fa-IR"/>
          <w:color w:val="000000"/>
          <w:rtl/>
        </w:rPr>
        <w:t>۳-۲- جامعه، نمونه و روش نمونه گیری</w:t>
      </w:r>
      <w:bookmarkEnd w:id="80"/>
    </w:p>
    <w:p w14:paraId="2937E5F2" w14:textId="4CE88DDD">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eastAsia="Times New Roman" w:hAnsi="Times New Roman" w:hint="cs"/>
          <w:vertAlign w:val="superscript"/>
          <w:lang w:bidi="fa-IR"/>
        </w:rPr>
        <w:footnoteReference w:id="81"/>
      </w:r>
      <w:r>
        <w:rPr>
          <w:rFonts w:ascii="Times New Roman" w:eastAsia="Times New Roman" w:hAnsi="Times New Roman" w:hint="cs"/>
          <w:lang w:bidi="fa-IR"/>
          <w:rtl/>
        </w:rPr>
        <w:t xml:space="preserve"> و مورگان ۱۹۷۰ استفاده شد. بر اساس این جدول و با توجه به حجم جامعه آماری ۱۰۰ نفر، حجم نمونه ۸۰ نفر به روش نمونه گیری در دسترس در نظر گرفته شد.</w:t>
      </w:r>
    </w:p>
    <w:p w14:paraId="607D4DDA"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81" w:name="_Toc238572062"/>
      <w:r>
        <w:rPr>
          <w:rFonts w:ascii="Times New Roman" w:hAnsi="Times New Roman" w:cs="B Titr" w:eastAsia="Times New Roman"/>
          <w:b/>
          <w:bCs/>
          <w:sz w:val="30"/>
          <w:szCs w:val="30"/>
          <w:lang w:bidi="fa-IR"/>
          <w:color w:val="000000"/>
          <w:rtl/>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2" w:name="_Toc238572063"/>
      <w:r>
        <w:rPr>
          <w:rFonts w:ascii="Times New Roman" w:hAnsi="Times New Roman" w:cs="B Titr" w:eastAsia="Times New Roman"/>
          <w:b/>
          <w:bCs/>
          <w:sz w:val="30"/>
          <w:szCs w:val="30"/>
          <w:lang w:bidi="fa-IR"/>
          <w:color w:val="000000"/>
          <w:rtl/>
        </w:rPr>
        <w:t>۳-۳-۱- پرسشنامه هوش معنوی کینگ:</w:t>
      </w:r>
      <w:bookmarkEnd w:id="82"/>
    </w:p>
    <w:p w14:paraId="6BA5CAEF"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همچنین 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lastRenderedPageBreak/>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3" w:name="_Toc238572064"/>
      <w:r>
        <w:rPr>
          <w:rFonts w:ascii="Times New Roman" w:hAnsi="Times New Roman" w:cs="B Titr" w:eastAsia="Times New Roman"/>
          <w:b/>
          <w:bCs/>
          <w:sz w:val="30"/>
          <w:szCs w:val="30"/>
          <w:lang w:bidi="fa-IR"/>
          <w:color w:val="000000"/>
          <w:rtl/>
        </w:rPr>
        <w:t xml:space="preserve">۳-۳-۲- پرسشنامه اضطراب مرگ(</w:t>
      </w:r>
      <w:r>
        <w:rPr>
          <w:rFonts w:ascii="Times New Roman" w:hAnsi="Times New Roman" w:cs="B Titr" w:eastAsia="Times New Roman"/>
          <w:b/>
          <w:bCs/>
          <w:sz w:val="30"/>
          <w:szCs w:val="30"/>
          <w:lang w:bidi="fa-IR" w:val="en-US"/>
          <w:color w:val="000000"/>
          <w:rtl w:val="0"/>
        </w:rPr>
        <w:t xml:space="preserve">DAS)</w:t>
      </w:r>
      <w:bookmarkEnd w:id="83"/>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4" w:name="_Toc238572065"/>
      <w:r>
        <w:rPr>
          <w:rFonts w:ascii="Times New Roman" w:hAnsi="Times New Roman" w:cs="B Titr" w:eastAsia="Times New Roman"/>
          <w:b/>
          <w:bCs/>
          <w:sz w:val="30"/>
          <w:szCs w:val="30"/>
          <w:lang w:bidi="fa-IR"/>
          <w:color w:val="000000"/>
          <w:rtl/>
        </w:rPr>
        <w:t>۳-۳-۳- پرسشنامه اضطراب سلامتی(</w:t>
      </w:r>
      <w:r>
        <w:rPr>
          <w:rFonts w:ascii="Times New Roman" w:hAnsi="Times New Roman" w:cs="B Titr" w:eastAsia="Times New Roman"/>
          <w:b/>
          <w:bCs/>
          <w:sz w:val="30"/>
          <w:szCs w:val="30"/>
          <w:lang w:bidi="fa-IR" w:val="en-US"/>
          <w:color w:val="000000"/>
          <w:rtl w:val="0"/>
        </w:rPr>
        <w:t>HAI)</w:t>
      </w:r>
      <w:bookmarkEnd w:id="84"/>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spacing w:before="240" w:after="100" w:line="276" w:lineRule="auto"/>
        <w:rPr>
          <w:rFonts w:cs="B Titr" w:ascii="Times New Roman" w:hAnsi="Times New Roman" w:eastAsia="Times New Roman"/>
          <w:bCs/>
          <w:color w:val="000000"/>
          <w:sz w:val="30"/>
          <w:szCs w:val="30"/>
          <w:lang w:bidi="fa-IR"/>
          <w:b/>
        </w:rPr>
      </w:pPr>
      <w:bookmarkStart w:id="85" w:name="_Toc107794912"/>
      <w:bookmarkStart w:id="86" w:name="_Toc238572066"/>
      <w:r>
        <w:rPr>
          <w:rFonts w:ascii="Times New Roman" w:hAnsi="Times New Roman" w:cs="B Titr" w:eastAsia="Times New Roman"/>
          <w:b/>
          <w:bCs/>
          <w:sz w:val="30"/>
          <w:szCs w:val="30"/>
          <w:lang w:bidi="fa-IR"/>
          <w:color w:val="000000"/>
          <w:rtl/>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spacing w:before="240" w:after="100" w:line="276" w:lineRule="auto"/>
        <w:rPr>
          <w:rFonts w:cs="B Titr" w:ascii="Times New Roman" w:hAnsi="Times New Roman" w:eastAsia="Times New Roman"/>
          <w:bCs/>
          <w:color w:val="000000"/>
          <w:lang w:bidi="fa-IR"/>
          <w:sz w:val="30"/>
          <w:szCs w:val="30"/>
          <w:b/>
        </w:rPr>
      </w:pPr>
      <w:bookmarkStart w:id="88" w:name="_Toc238572067"/>
      <w:r>
        <w:rPr>
          <w:rFonts w:ascii="Times New Roman" w:hAnsi="Times New Roman" w:cs="B Titr" w:eastAsia="Times New Roman"/>
          <w:b/>
          <w:bCs/>
          <w:sz w:val="30"/>
          <w:szCs w:val="30"/>
          <w:lang w:bidi="fa-IR"/>
          <w:color w:val="000000"/>
          <w:rtl/>
        </w:rPr>
        <w:t xml:space="preserve">۳-۵- روش تجزیه و تحلیل داده‌ها</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pPr>
      <w:bookmarkStart w:id="89" w:name="_Toc238572068"/>
      <w:r>
        <w:rPr>
          <w:rFonts w:ascii="Times New Roman" w:hAnsi="Times New Roman" w:cs="B Titr" w:eastAsia="Times New Roman"/>
          <w:sz w:val="56"/>
          <w:szCs w:val="56"/>
          <w:b/>
          <w:bCs/>
          <w:color w:val="000000"/>
          <w:rtl/>
          <w:lang w:bidi="fa-IR"/>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90" w:name="_Toc238572069"/>
      <w:r>
        <w:rPr>
          <w:rFonts w:ascii="Times New Roman" w:hAnsi="Times New Roman" w:cs="B Titr" w:eastAsia="Times New Roman"/>
          <w:b/>
          <w:bCs/>
          <w:sz w:val="30"/>
          <w:szCs w:val="30"/>
          <w:lang w:bidi="fa-IR"/>
          <w:color w:val="000000"/>
          <w:rtl/>
        </w:rPr>
        <w:t>۴-۱- یافته های توصیفی</w:t>
      </w:r>
      <w:bookmarkEnd w:id="90"/>
    </w:p>
    <w:p w14:paraId="03618880" w14:textId="77777777">
      <w:pPr>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autoSpaceDE/>
        <w:autoSpaceDN/>
        <w:adjustRightInd/>
        <w:spacing w:line="276" w:lineRule="auto"/>
        <w:ind w:firstLine="397"/>
        <w:jc w:val="both"/>
        <w:rPr>
          <w:rFonts w:ascii="Times New Roman" w:hAnsi="Times New Roman" w:cs="B Lotus" w:eastAsia="Times New Roman"/>
          <w:color w:val="000000"/>
          <w:sz w:val="24"/>
          <w:szCs w:val="24"/>
          <w:lang w:bidi="fa-IR"/>
          <w:b/>
          <w:bCs/>
        </w:rPr>
      </w:pPr>
      <w:bookmarkStart w:id="91" w:name="_Toc106471882"/>
      <w:bookmarkStart w:id="92" w:name="_Toc238572104"/>
      <w:bookmarkEnd w:id="91"/>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tl/>
          <w:lang w:bidi="fa-IR"/>
        </w:rPr>
        <w:t>۱</w:t>
      </w:r>
      <w:r>
        <w:rPr>
          <w:rFonts w:cs="B Lotus" w:ascii="Times New Roman" w:hAnsi="Times New Roman" w:eastAsia="Times New Roman"/>
          <w:sz w:val="24"/>
          <w:szCs w:val="24"/>
          <w:b/>
          <w:bCs/>
          <w:color w:val="000000"/>
          <w:rtl/>
          <w:lang w:bidi="fa-IR"/>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جنسیت</w:t>
      </w:r>
      <w:bookmarkEnd w:id="92"/>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2998"/>
        <w:gridCol w:w="2675"/>
      </w:tblGrid>
      <w:tr w14:paraId="5DCE24E9" w14:textId="77777777">
        <w:trPr>
          <w:cantSplit/>
          <w:trHeight w:val="20"/>
          <w:tblHeader/>
          <w:jc w:val="center"/>
        </w:trPr>
        <w:tc>
          <w:tcPr>
            <w:tcW w:w="1772" w:type="pct"/>
            <w:tcBorders>
              <w:top w:val="single" w:sz="8" w:space="0" w:color="9BBB59"/>
              <w:left w:val="nil"/>
              <w:bottom w:val="single" w:sz="8" w:space="0" w:color="9BBB59"/>
              <w:right w:val="nil"/>
            </w:tcBorders>
            <w:vAlign w:val="center"/>
            <w:hideMark/>
          </w:tcPr>
          <w:p w14:paraId="513FF7F8"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tcBorders>
              <w:top w:val="single" w:sz="8" w:space="0" w:color="9BBB59"/>
              <w:left w:val="nil"/>
              <w:bottom w:val="single" w:sz="8" w:space="0" w:color="9BBB59"/>
              <w:right w:val="nil"/>
            </w:tcBorders>
            <w:vAlign w:val="center"/>
            <w:hideMark/>
          </w:tcPr>
          <w:p w14:paraId="1E18B306"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tcBorders>
              <w:top w:val="single" w:sz="8" w:space="0" w:color="9BBB59"/>
              <w:left w:val="nil"/>
              <w:bottom w:val="single" w:sz="8" w:space="0" w:color="9BBB59"/>
              <w:right w:val="nil"/>
            </w:tcBorders>
            <w:vAlign w:val="center"/>
            <w:hideMark/>
          </w:tcPr>
          <w:p w14:paraId="34989D0F"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trHeight w:val="20"/>
          <w:jc w:val="center"/>
        </w:trPr>
        <w:tc>
          <w:tcPr>
            <w:tcW w:w="1772" w:type="pct"/>
            <w:tcBorders>
              <w:left w:val="nil"/>
              <w:right w:val="nil"/>
            </w:tcBorders>
            <w:shd w:val="clear" w:color="auto" w:fill="E6EED5"/>
            <w:vAlign w:val="center"/>
            <w:hideMark/>
          </w:tcPr>
          <w:p w14:paraId="486ADE07"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tl/>
              </w:rPr>
              <w:t>زن</w:t>
            </w:r>
          </w:p>
        </w:tc>
        <w:tc>
          <w:tcPr>
            <w:tcW w:w="1706" w:type="pct"/>
            <w:tcBorders>
              <w:left w:val="nil"/>
              <w:right w:val="nil"/>
            </w:tcBorders>
            <w:shd w:val="clear" w:color="auto" w:fill="E6EED5"/>
            <w:vAlign w:val="center"/>
            <w:hideMark/>
          </w:tcPr>
          <w:p w14:paraId="46D49526"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tcBorders>
              <w:left w:val="nil"/>
              <w:right w:val="nil"/>
            </w:tcBorders>
            <w:shd w:val="clear" w:color="auto" w:fill="E6EED5"/>
            <w:vAlign w:val="center"/>
            <w:hideMark/>
          </w:tcPr>
          <w:p w14:paraId="646AAE2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trHeight w:val="20"/>
          <w:jc w:val="center"/>
        </w:trPr>
        <w:tc>
          <w:tcPr>
            <w:tcW w:w="1772" w:type="pct"/>
            <w:vAlign w:val="center"/>
            <w:hideMark/>
          </w:tcPr>
          <w:p w14:paraId="14A7313E"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trHeight w:val="20"/>
          <w:jc w:val="center"/>
        </w:trPr>
        <w:tc>
          <w:tcPr>
            <w:tcW w:w="1772" w:type="pct"/>
            <w:tcBorders>
              <w:left w:val="nil"/>
              <w:right w:val="nil"/>
            </w:tcBorders>
            <w:shd w:val="clear" w:color="auto" w:fill="E6EED5"/>
            <w:vAlign w:val="center"/>
            <w:hideMark/>
          </w:tcPr>
          <w:p w14:paraId="752847A6"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tl/>
              </w:rPr>
              <w:t>کل</w:t>
            </w:r>
          </w:p>
        </w:tc>
        <w:tc>
          <w:tcPr>
            <w:tcW w:w="1706" w:type="pct"/>
            <w:tcBorders>
              <w:left w:val="nil"/>
              <w:right w:val="nil"/>
            </w:tcBorders>
            <w:shd w:val="clear" w:color="auto" w:fill="E6EED5"/>
            <w:vAlign w:val="center"/>
            <w:hideMark/>
          </w:tcPr>
          <w:p w14:paraId="25519BED"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tcBorders>
              <w:left w:val="nil"/>
              <w:right w:val="nil"/>
            </w:tcBorders>
            <w:shd w:val="clear" w:color="auto" w:fill="E6EED5"/>
            <w:vAlign w:val="center"/>
            <w:hideMark/>
          </w:tcPr>
          <w:p w14:paraId="46D786D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autoSpaceDE/>
        <w:autoSpaceDN/>
        <w:adjustRightInd/>
        <w:spacing w:line="276" w:lineRule="auto"/>
        <w:ind w:firstLine="397"/>
        <w:jc w:val="both"/>
        <w:rPr>
          <w:rFonts w:ascii="Times New Roman" w:hAnsi="Times New Roman" w:cs="B Lotus" w:eastAsia="Times New Roman"/>
          <w:color w:val="000000"/>
          <w:sz w:val="24"/>
          <w:szCs w:val="24"/>
          <w:lang w:bidi="fa-IR"/>
          <w:b/>
          <w:bCs/>
        </w:rPr>
      </w:pPr>
      <w:bookmarkStart w:id="93" w:name="_Toc106471883"/>
      <w:bookmarkStart w:id="94" w:name="_Toc238572105"/>
      <w:bookmarkEnd w:id="93"/>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۲</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وضعیت تأهل</w:t>
      </w:r>
      <w:bookmarkEnd w:id="94"/>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747"/>
        <w:gridCol w:w="2882"/>
      </w:tblGrid>
      <w:tr w14:paraId="1B2AB20D" w14:textId="77777777">
        <w:trPr>
          <w:cantSplit/>
          <w:trHeight w:hRule="exact" w:val="433"/>
          <w:tblHeader/>
          <w:jc w:val="center"/>
        </w:trPr>
        <w:tc>
          <w:tcPr>
            <w:tcW w:w="1797" w:type="pct"/>
            <w:tcBorders>
              <w:top w:val="single" w:sz="8" w:space="0" w:color="9BBB59"/>
              <w:left w:val="nil"/>
              <w:bottom w:val="single" w:sz="8" w:space="0" w:color="9BBB59"/>
              <w:right w:val="nil"/>
            </w:tcBorders>
            <w:vAlign w:val="center"/>
            <w:hideMark/>
          </w:tcPr>
          <w:p w14:paraId="2BD1AF3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tcBorders>
              <w:top w:val="single" w:sz="8" w:space="0" w:color="9BBB59"/>
              <w:left w:val="nil"/>
              <w:bottom w:val="single" w:sz="8" w:space="0" w:color="9BBB59"/>
              <w:right w:val="nil"/>
            </w:tcBorders>
            <w:vAlign w:val="center"/>
            <w:hideMark/>
          </w:tcPr>
          <w:p w14:paraId="263A8ACC"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tcBorders>
              <w:top w:val="single" w:sz="8" w:space="0" w:color="9BBB59"/>
              <w:left w:val="nil"/>
              <w:bottom w:val="single" w:sz="8" w:space="0" w:color="9BBB59"/>
              <w:right w:val="nil"/>
            </w:tcBorders>
            <w:vAlign w:val="center"/>
            <w:hideMark/>
          </w:tcPr>
          <w:p w14:paraId="2EEB7D17"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tcBorders>
              <w:left w:val="nil"/>
              <w:right w:val="nil"/>
            </w:tcBorders>
            <w:shd w:val="clear" w:color="auto" w:fill="E6EED5"/>
            <w:vAlign w:val="center"/>
            <w:hideMark/>
          </w:tcPr>
          <w:p w14:paraId="4FFD564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مجرد</w:t>
            </w:r>
          </w:p>
        </w:tc>
        <w:tc>
          <w:tcPr>
            <w:tcW w:w="1563" w:type="pct"/>
            <w:tcBorders>
              <w:left w:val="nil"/>
              <w:right w:val="nil"/>
            </w:tcBorders>
            <w:shd w:val="clear" w:color="auto" w:fill="E6EED5"/>
            <w:vAlign w:val="center"/>
            <w:hideMark/>
          </w:tcPr>
          <w:p w14:paraId="44E35BB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tcBorders>
              <w:left w:val="nil"/>
              <w:right w:val="nil"/>
            </w:tcBorders>
            <w:shd w:val="clear" w:color="auto" w:fill="E6EED5"/>
            <w:vAlign w:val="center"/>
            <w:hideMark/>
          </w:tcPr>
          <w:p w14:paraId="6142AD0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trHeight w:hRule="exact" w:val="675"/>
          <w:jc w:val="center"/>
        </w:trPr>
        <w:tc>
          <w:tcPr>
            <w:tcW w:w="1797" w:type="pct"/>
            <w:tcBorders>
              <w:left w:val="nil"/>
              <w:right w:val="nil"/>
            </w:tcBorders>
            <w:shd w:val="clear" w:color="auto" w:fill="E6EED5"/>
            <w:vAlign w:val="center"/>
            <w:hideMark/>
          </w:tcPr>
          <w:p w14:paraId="3C24F22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جدا شده</w:t>
            </w:r>
          </w:p>
        </w:tc>
        <w:tc>
          <w:tcPr>
            <w:tcW w:w="1563" w:type="pct"/>
            <w:tcBorders>
              <w:left w:val="nil"/>
              <w:right w:val="nil"/>
            </w:tcBorders>
            <w:shd w:val="clear" w:color="auto" w:fill="E6EED5"/>
            <w:vAlign w:val="center"/>
            <w:hideMark/>
          </w:tcPr>
          <w:p w14:paraId="70697815"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tcBorders>
              <w:left w:val="nil"/>
              <w:right w:val="nil"/>
            </w:tcBorders>
            <w:shd w:val="clear" w:color="auto" w:fill="E6EED5"/>
            <w:vAlign w:val="center"/>
            <w:hideMark/>
          </w:tcPr>
          <w:p w14:paraId="1930C241"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trHeight w:hRule="exact" w:val="550"/>
          <w:jc w:val="center"/>
        </w:trPr>
        <w:tc>
          <w:tcPr>
            <w:tcW w:w="1797" w:type="pct"/>
            <w:vAlign w:val="center"/>
          </w:tcPr>
          <w:p w14:paraId="4E6B0167"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autoSpaceDE/>
        <w:autoSpaceDN/>
        <w:adjustRightInd/>
        <w:spacing w:line="276" w:lineRule="auto"/>
        <w:ind w:firstLine="397"/>
        <w:jc w:val="both"/>
        <w:rPr>
          <w:rFonts w:ascii="Times New Roman" w:hAnsi="Times New Roman" w:cs="B Lotus" w:eastAsia="Times New Roman"/>
          <w:color w:val="000000"/>
          <w:lang w:bidi="fa-IR"/>
          <w:sz w:val="24"/>
          <w:szCs w:val="24"/>
          <w:b/>
          <w:bCs/>
        </w:rPr>
      </w:pPr>
      <w:bookmarkStart w:id="95" w:name="_Toc238572106"/>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۳</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فراوانی و درصد شرکت </w:t>
      </w:r>
      <w:r>
        <w:rPr>
          <w:rFonts w:cs="B Lotus" w:ascii="Times New Roman" w:hAnsi="Times New Roman" w:eastAsia="Times New Roman"/>
          <w:sz w:val="24"/>
          <w:szCs w:val="24"/>
          <w:lang w:bidi="fa-IR"/>
          <w:b/>
          <w:bCs/>
          <w:color w:val="000000"/>
          <w:rtl/>
        </w:rPr>
        <w:t>کنندگان</w:t>
      </w:r>
      <w:r>
        <w:rPr>
          <w:rFonts w:cs="B Lotus" w:ascii="Times New Roman" w:hAnsi="Times New Roman" w:eastAsia="Times New Roman"/>
          <w:sz w:val="24"/>
          <w:szCs w:val="24"/>
          <w:lang w:bidi="fa-IR"/>
          <w:b/>
          <w:bCs/>
          <w:color w:val="000000"/>
          <w:rtl/>
        </w:rPr>
        <w:t xml:space="preserve"> براساس میزان تحصیلات</w:t>
      </w:r>
      <w:bookmarkEnd w:id="9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2"/>
        <w:gridCol w:w="2739"/>
        <w:gridCol w:w="2967"/>
      </w:tblGrid>
      <w:tr w14:paraId="6D64298A" w14:textId="77777777">
        <w:trPr>
          <w:cantSplit/>
          <w:trHeight w:hRule="exact" w:val="480"/>
          <w:tblHeader/>
          <w:jc w:val="center"/>
        </w:trPr>
        <w:tc>
          <w:tcPr>
            <w:tcW w:w="2430" w:type="dxa"/>
            <w:tcBorders>
              <w:top w:val="single" w:sz="8" w:space="0" w:color="9BBB59"/>
              <w:left w:val="nil"/>
              <w:bottom w:val="single" w:sz="8" w:space="0" w:color="9BBB59"/>
              <w:right w:val="nil"/>
            </w:tcBorders>
            <w:vAlign w:val="center"/>
            <w:hideMark/>
          </w:tcPr>
          <w:p w14:paraId="299C380B"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tcBorders>
              <w:top w:val="single" w:sz="8" w:space="0" w:color="9BBB59"/>
              <w:left w:val="nil"/>
              <w:bottom w:val="single" w:sz="8" w:space="0" w:color="9BBB59"/>
              <w:right w:val="nil"/>
            </w:tcBorders>
            <w:vAlign w:val="center"/>
            <w:hideMark/>
          </w:tcPr>
          <w:p w14:paraId="691EBF68"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tcBorders>
              <w:top w:val="single" w:sz="8" w:space="0" w:color="9BBB59"/>
              <w:left w:val="nil"/>
              <w:bottom w:val="single" w:sz="8" w:space="0" w:color="9BBB59"/>
              <w:right w:val="nil"/>
            </w:tcBorders>
            <w:vAlign w:val="center"/>
            <w:hideMark/>
          </w:tcPr>
          <w:p w14:paraId="5BA1E89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69A80A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tcBorders>
              <w:top w:val="single" w:sz="8" w:space="0" w:color="9BBB59"/>
              <w:left w:val="nil"/>
              <w:bottom w:val="single" w:sz="8" w:space="0" w:color="9BBB59"/>
              <w:right w:val="nil"/>
            </w:tcBorders>
            <w:vAlign w:val="center"/>
            <w:hideMark/>
          </w:tcPr>
          <w:p w14:paraId="60475C4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tcBorders>
              <w:top w:val="single" w:sz="8" w:space="0" w:color="9BBB59"/>
              <w:left w:val="nil"/>
              <w:bottom w:val="single" w:sz="8" w:space="0" w:color="9BBB59"/>
              <w:right w:val="nil"/>
            </w:tcBorders>
            <w:vAlign w:val="center"/>
            <w:hideMark/>
          </w:tcPr>
          <w:p w14:paraId="2CAB7A5D"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1FB5577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دیپلم</w:t>
            </w:r>
          </w:p>
        </w:tc>
        <w:tc>
          <w:tcPr>
            <w:tcW w:w="2160" w:type="dxa"/>
            <w:tcBorders>
              <w:top w:val="single" w:sz="8" w:space="0" w:color="9BBB59"/>
              <w:left w:val="nil"/>
              <w:bottom w:val="single" w:sz="8" w:space="0" w:color="9BBB59"/>
              <w:right w:val="nil"/>
            </w:tcBorders>
            <w:vAlign w:val="center"/>
            <w:hideMark/>
          </w:tcPr>
          <w:p w14:paraId="0AE81EA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tcBorders>
              <w:top w:val="single" w:sz="8" w:space="0" w:color="9BBB59"/>
              <w:left w:val="nil"/>
              <w:bottom w:val="single" w:sz="8" w:space="0" w:color="9BBB59"/>
              <w:right w:val="nil"/>
            </w:tcBorders>
            <w:vAlign w:val="center"/>
            <w:hideMark/>
          </w:tcPr>
          <w:p w14:paraId="05ECEB0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83BD3B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کاردانی</w:t>
            </w:r>
          </w:p>
        </w:tc>
        <w:tc>
          <w:tcPr>
            <w:tcW w:w="2160" w:type="dxa"/>
            <w:tcBorders>
              <w:top w:val="single" w:sz="8" w:space="0" w:color="9BBB59"/>
              <w:left w:val="nil"/>
              <w:bottom w:val="single" w:sz="8" w:space="0" w:color="9BBB59"/>
              <w:right w:val="nil"/>
            </w:tcBorders>
            <w:vAlign w:val="center"/>
            <w:hideMark/>
          </w:tcPr>
          <w:p w14:paraId="6A353EE2"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tcBorders>
              <w:top w:val="single" w:sz="8" w:space="0" w:color="9BBB59"/>
              <w:left w:val="nil"/>
              <w:bottom w:val="single" w:sz="8" w:space="0" w:color="9BBB59"/>
              <w:right w:val="nil"/>
            </w:tcBorders>
            <w:vAlign w:val="center"/>
            <w:hideMark/>
          </w:tcPr>
          <w:p w14:paraId="17BA618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7F3F9628"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tcBorders>
              <w:top w:val="single" w:sz="8" w:space="0" w:color="9BBB59"/>
              <w:left w:val="nil"/>
              <w:bottom w:val="single" w:sz="8" w:space="0" w:color="9BBB59"/>
              <w:right w:val="nil"/>
            </w:tcBorders>
            <w:vAlign w:val="center"/>
            <w:hideMark/>
          </w:tcPr>
          <w:p w14:paraId="4570899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tcBorders>
              <w:top w:val="single" w:sz="8" w:space="0" w:color="9BBB59"/>
              <w:left w:val="nil"/>
              <w:bottom w:val="single" w:sz="8" w:space="0" w:color="9BBB59"/>
              <w:right w:val="nil"/>
            </w:tcBorders>
            <w:vAlign w:val="center"/>
            <w:hideMark/>
          </w:tcPr>
          <w:p w14:paraId="095C73C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5752D80A"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کل</w:t>
            </w:r>
          </w:p>
        </w:tc>
        <w:tc>
          <w:tcPr>
            <w:tcW w:w="2160" w:type="dxa"/>
            <w:tcBorders>
              <w:top w:val="single" w:sz="8" w:space="0" w:color="9BBB59"/>
              <w:left w:val="nil"/>
              <w:bottom w:val="single" w:sz="8" w:space="0" w:color="9BBB59"/>
              <w:right w:val="nil"/>
            </w:tcBorders>
            <w:vAlign w:val="center"/>
            <w:hideMark/>
          </w:tcPr>
          <w:p w14:paraId="2036CBDB"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tcBorders>
              <w:top w:val="single" w:sz="8" w:space="0" w:color="9BBB59"/>
              <w:left w:val="nil"/>
              <w:bottom w:val="single" w:sz="8" w:space="0" w:color="9BBB59"/>
              <w:right w:val="nil"/>
            </w:tcBorders>
            <w:vAlign w:val="center"/>
            <w:hideMark/>
          </w:tcPr>
          <w:p w14:paraId="71374A5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autoSpaceDE/>
        <w:autoSpaceDN/>
        <w:adjustRightInd/>
        <w:spacing w:line="276" w:lineRule="auto"/>
        <w:ind w:firstLine="397"/>
        <w:jc w:val="both"/>
        <w:rPr>
          <w:rFonts w:ascii="Times New Roman" w:hAnsi="Times New Roman" w:cs="B Lotus" w:eastAsia="Times New Roman"/>
          <w:color w:val="000000"/>
          <w:lang w:bidi="fa-IR"/>
          <w:sz w:val="24"/>
          <w:szCs w:val="24"/>
          <w:b/>
          <w:bCs/>
        </w:rPr>
      </w:pPr>
      <w:bookmarkStart w:id="97" w:name="_Toc238572107"/>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۴</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سن شرکت </w:t>
      </w:r>
      <w:r>
        <w:rPr>
          <w:rFonts w:cs="B Lotus" w:ascii="Times New Roman" w:hAnsi="Times New Roman" w:eastAsia="Times New Roman"/>
          <w:sz w:val="24"/>
          <w:szCs w:val="24"/>
          <w:lang w:bidi="fa-IR"/>
          <w:b/>
          <w:bCs/>
          <w:color w:val="000000"/>
          <w:rtl/>
        </w:rPr>
        <w:t>کنندگان</w:t>
      </w:r>
      <w:r>
        <w:rPr>
          <w:rFonts w:cs="B Lotus" w:ascii="Times New Roman" w:hAnsi="Times New Roman" w:eastAsia="Times New Roman"/>
          <w:sz w:val="24"/>
          <w:szCs w:val="24"/>
          <w:lang w:bidi="fa-IR"/>
          <w:b/>
          <w:bCs/>
          <w:color w:val="000000"/>
          <w:rtl/>
        </w:rPr>
        <w:t xml:space="preserve"> پژوهش</w:t>
      </w:r>
      <w:bookmarkEnd w:id="97"/>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204"/>
        <w:gridCol w:w="2204"/>
        <w:gridCol w:w="1921"/>
        <w:gridCol w:w="1362"/>
      </w:tblGrid>
      <w:tr w14:paraId="11AF531F" w14:textId="77777777">
        <w:trPr>
          <w:cantSplit/>
          <w:trHeight w:val="413"/>
          <w:tblHeader/>
          <w:jc w:val="center"/>
        </w:trPr>
        <w:tc>
          <w:tcPr>
            <w:tcW w:w="919" w:type="dxa"/>
            <w:tcBorders>
              <w:top w:val="single" w:sz="8" w:space="0" w:color="9BBB59"/>
              <w:left w:val="nil"/>
              <w:bottom w:val="single" w:sz="8" w:space="0" w:color="9BBB59"/>
              <w:right w:val="nil"/>
            </w:tcBorders>
            <w:vAlign w:val="center"/>
          </w:tcPr>
          <w:p w14:paraId="31C8D7B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tcBorders>
              <w:top w:val="single" w:sz="8" w:space="0" w:color="9BBB59"/>
              <w:left w:val="nil"/>
              <w:bottom w:val="single" w:sz="8" w:space="0" w:color="9BBB59"/>
              <w:right w:val="nil"/>
            </w:tcBorders>
            <w:vAlign w:val="center"/>
          </w:tcPr>
          <w:p w14:paraId="01078BC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tcBorders>
              <w:top w:val="single" w:sz="8" w:space="0" w:color="9BBB59"/>
              <w:left w:val="nil"/>
              <w:bottom w:val="single" w:sz="8" w:space="0" w:color="9BBB59"/>
              <w:right w:val="nil"/>
            </w:tcBorders>
            <w:vAlign w:val="center"/>
          </w:tcPr>
          <w:p w14:paraId="198A090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tcBorders>
              <w:top w:val="single" w:sz="8" w:space="0" w:color="9BBB59"/>
              <w:left w:val="nil"/>
              <w:bottom w:val="single" w:sz="8" w:space="0" w:color="9BBB59"/>
              <w:right w:val="nil"/>
            </w:tcBorders>
            <w:vAlign w:val="center"/>
          </w:tcPr>
          <w:p w14:paraId="5F89A3D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tcBorders>
              <w:top w:val="single" w:sz="8" w:space="0" w:color="9BBB59"/>
              <w:left w:val="nil"/>
              <w:bottom w:val="single" w:sz="8" w:space="0" w:color="9BBB59"/>
              <w:right w:val="nil"/>
            </w:tcBorders>
            <w:vAlign w:val="center"/>
          </w:tcPr>
          <w:p w14:paraId="3E605BD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trHeight w:hRule="exact" w:val="613"/>
          <w:jc w:val="center"/>
        </w:trPr>
        <w:tc>
          <w:tcPr>
            <w:tcW w:w="919" w:type="dxa"/>
            <w:tcBorders>
              <w:left w:val="nil"/>
              <w:right w:val="nil"/>
            </w:tcBorders>
            <w:shd w:val="clear" w:color="auto" w:fill="E6EED5"/>
            <w:vAlign w:val="center"/>
          </w:tcPr>
          <w:p w14:paraId="0E1478D9"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tcBorders>
              <w:left w:val="nil"/>
              <w:right w:val="nil"/>
            </w:tcBorders>
            <w:shd w:val="clear" w:color="auto" w:fill="E6EED5"/>
            <w:vAlign w:val="center"/>
          </w:tcPr>
          <w:p w14:paraId="426CD33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tcBorders>
              <w:left w:val="nil"/>
              <w:right w:val="nil"/>
            </w:tcBorders>
            <w:shd w:val="clear" w:color="auto" w:fill="E6EED5"/>
            <w:vAlign w:val="center"/>
          </w:tcPr>
          <w:p w14:paraId="63F05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tcBorders>
              <w:left w:val="nil"/>
              <w:right w:val="nil"/>
            </w:tcBorders>
            <w:shd w:val="clear" w:color="auto" w:fill="E6EED5"/>
            <w:vAlign w:val="center"/>
          </w:tcPr>
          <w:p w14:paraId="15B98FA4"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tcBorders>
              <w:left w:val="nil"/>
              <w:right w:val="nil"/>
            </w:tcBorders>
            <w:shd w:val="clear" w:color="auto" w:fill="E6EED5"/>
            <w:vAlign w:val="center"/>
          </w:tcPr>
          <w:p w14:paraId="0AC83D0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spacing w:line="276" w:lineRule="auto"/>
        <w:ind w:firstLine="397"/>
        <w:jc w:val="both"/>
        <w:rPr>
          <w:rFonts w:cs="B Lotus" w:ascii="Times New Roman" w:hAnsi="Times New Roman" w:eastAsia="Times New Roman"/>
          <w:color w:val="000000"/>
          <w:lang w:bidi="fa-IR"/>
          <w:sz w:val="24"/>
          <w:szCs w:val="24"/>
          <w:b/>
          <w:bCs/>
        </w:rPr>
      </w:pPr>
      <w:bookmarkStart w:id="113" w:name="_Toc238572108"/>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۵</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شاخص‌های توصیفی متغیرهای پژوهش</w:t>
      </w:r>
      <w:bookmarkEnd w:id="113"/>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1C70A7D8" w14:textId="77777777">
        <w:trPr>
          <w:cantSplit/>
          <w:tblHeader/>
          <w:jc w:val="center"/>
        </w:trPr>
        <w:tc>
          <w:tcPr>
            <w:tcW w:w="1733" w:type="dxa"/>
            <w:tcBorders>
              <w:top w:val="single" w:sz="8" w:space="0" w:color="9BBB59"/>
              <w:left w:val="nil"/>
              <w:bottom w:val="single" w:sz="8" w:space="0" w:color="9BBB59"/>
              <w:right w:val="nil"/>
            </w:tcBorders>
            <w:vAlign w:val="center"/>
          </w:tcPr>
          <w:p w14:paraId="1F08FCE4" w14:textId="77777777">
            <w:pPr>
              <w:spacing w:after="0" w:line="240" w:lineRule="auto"/>
              <w:jc w:val="center"/>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tcBorders>
              <w:top w:val="single" w:sz="8" w:space="0" w:color="9BBB59"/>
              <w:left w:val="nil"/>
              <w:bottom w:val="single" w:sz="8" w:space="0" w:color="9BBB59"/>
              <w:right w:val="nil"/>
            </w:tcBorders>
            <w:vAlign w:val="center"/>
          </w:tcPr>
          <w:p w14:paraId="36DA704D" w14:textId="77777777">
            <w:pPr>
              <w:spacing w:after="0" w:line="240" w:lineRule="auto"/>
              <w:jc w:val="center"/>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tcBorders>
              <w:top w:val="single" w:sz="8" w:space="0" w:color="9BBB59"/>
              <w:left w:val="nil"/>
              <w:bottom w:val="single" w:sz="8" w:space="0" w:color="9BBB59"/>
              <w:right w:val="nil"/>
            </w:tcBorders>
            <w:vAlign w:val="center"/>
          </w:tcPr>
          <w:p w14:paraId="7512F9A9" w14:textId="77777777">
            <w:pPr>
              <w:spacing w:after="0" w:line="240" w:lineRule="auto"/>
              <w:jc w:val="center"/>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tcBorders>
              <w:top w:val="single" w:sz="8" w:space="0" w:color="9BBB59"/>
              <w:left w:val="nil"/>
              <w:bottom w:val="single" w:sz="8" w:space="0" w:color="9BBB59"/>
              <w:right w:val="nil"/>
            </w:tcBorders>
            <w:vAlign w:val="center"/>
          </w:tcPr>
          <w:p w14:paraId="7400B15E" w14:textId="77777777">
            <w:pPr>
              <w:spacing w:after="0" w:line="240" w:lineRule="auto"/>
              <w:jc w:val="center"/>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tcBorders>
              <w:top w:val="single" w:sz="8" w:space="0" w:color="9BBB59"/>
              <w:left w:val="nil"/>
              <w:bottom w:val="single" w:sz="8" w:space="0" w:color="9BBB59"/>
              <w:right w:val="nil"/>
            </w:tcBorders>
            <w:vAlign w:val="center"/>
          </w:tcPr>
          <w:p w14:paraId="59A14F6B" w14:textId="77777777">
            <w:pPr>
              <w:spacing w:after="0" w:line="240" w:lineRule="auto"/>
              <w:jc w:val="center"/>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tcBorders>
              <w:left w:val="nil"/>
              <w:right w:val="nil"/>
            </w:tcBorders>
            <w:shd w:val="clear" w:color="auto" w:fill="E6EED5"/>
            <w:vAlign w:val="center"/>
          </w:tcPr>
          <w:p w14:paraId="28E3D97E" w14:textId="77777777">
            <w:pPr>
              <w:spacing w:after="0" w:line="240" w:lineRule="auto"/>
              <w:jc w:val="center"/>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tcBorders>
              <w:left w:val="nil"/>
              <w:right w:val="nil"/>
            </w:tcBorders>
            <w:shd w:val="clear" w:color="auto" w:fill="E6EED5"/>
            <w:vAlign w:val="center"/>
          </w:tcPr>
          <w:p w14:paraId="481B9050" w14:textId="77777777">
            <w:pPr>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tcBorders>
              <w:left w:val="nil"/>
              <w:right w:val="nil"/>
            </w:tcBorders>
            <w:shd w:val="clear" w:color="auto" w:fill="E6EED5"/>
            <w:vAlign w:val="center"/>
          </w:tcPr>
          <w:p w14:paraId="647C2939" w14:textId="77777777">
            <w:pPr>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tcBorders>
              <w:left w:val="nil"/>
              <w:right w:val="nil"/>
            </w:tcBorders>
            <w:shd w:val="clear" w:color="auto" w:fill="E6EED5"/>
            <w:vAlign w:val="center"/>
          </w:tcPr>
          <w:p w14:paraId="0A465996" w14:textId="77777777">
            <w:pPr>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tcBorders>
              <w:left w:val="nil"/>
              <w:right w:val="nil"/>
            </w:tcBorders>
            <w:shd w:val="clear" w:color="auto" w:fill="E6EED5"/>
            <w:vAlign w:val="center"/>
          </w:tcPr>
          <w:p w14:paraId="47E775DB" w14:textId="77777777">
            <w:pPr>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spacing w:after="0" w:line="240" w:lineRule="auto"/>
              <w:jc w:val="center"/>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tcBorders>
              <w:left w:val="nil"/>
              <w:right w:val="nil"/>
            </w:tcBorders>
            <w:shd w:val="clear" w:color="auto" w:fill="E6EED5"/>
            <w:vAlign w:val="center"/>
          </w:tcPr>
          <w:p w14:paraId="65E20B83" w14:textId="77777777">
            <w:pPr>
              <w:spacing w:after="0" w:line="240" w:lineRule="auto"/>
              <w:jc w:val="center"/>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tcBorders>
              <w:left w:val="nil"/>
              <w:right w:val="nil"/>
            </w:tcBorders>
            <w:shd w:val="clear" w:color="auto" w:fill="E6EED5"/>
            <w:vAlign w:val="center"/>
          </w:tcPr>
          <w:p w14:paraId="2BE0945B" w14:textId="77777777">
            <w:pPr>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tcBorders>
              <w:left w:val="nil"/>
              <w:right w:val="nil"/>
            </w:tcBorders>
            <w:shd w:val="clear" w:color="auto" w:fill="E6EED5"/>
            <w:vAlign w:val="center"/>
          </w:tcPr>
          <w:p w14:paraId="61A832E2" w14:textId="77777777">
            <w:pPr>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tcBorders>
              <w:left w:val="nil"/>
              <w:right w:val="nil"/>
            </w:tcBorders>
            <w:shd w:val="clear" w:color="auto" w:fill="E6EED5"/>
            <w:vAlign w:val="center"/>
          </w:tcPr>
          <w:p w14:paraId="0CB5016A" w14:textId="77777777">
            <w:pPr>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tcBorders>
              <w:left w:val="nil"/>
              <w:right w:val="nil"/>
            </w:tcBorders>
            <w:shd w:val="clear" w:color="auto" w:fill="E6EED5"/>
            <w:vAlign w:val="center"/>
          </w:tcPr>
          <w:p w14:paraId="1703F5E9" w14:textId="77777777">
            <w:pPr>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spacing w:before="240" w:after="100" w:line="276" w:lineRule="auto"/>
        <w:ind w:firstLine="397"/>
        <w:rPr>
          <w:rFonts w:cs="B Titr" w:ascii="Times New Roman" w:hAnsi="Times New Roman" w:eastAsia="Times New Roman"/>
          <w:b/>
          <w:bCs/>
          <w:color w:val="000000"/>
          <w:lang w:bidi="fa-IR"/>
          <w:sz w:val="30"/>
          <w:szCs w:val="30"/>
        </w:rPr>
      </w:pPr>
      <w:bookmarkStart w:id="135" w:name="_Toc238572091"/>
      <w:r>
        <w:rPr>
          <w:rFonts w:ascii="Times New Roman" w:hAnsi="Times New Roman" w:cs="B Titr" w:eastAsia="Times New Roman"/>
          <w:b/>
          <w:bCs/>
          <w:sz w:val="30"/>
          <w:szCs w:val="30"/>
          <w:lang w:bidi="fa-IR"/>
          <w:color w:val="000000"/>
          <w:rtl/>
        </w:rPr>
        <w:t xml:space="preserve">۴-۲- یافته های </w:t>
      </w:r>
      <w:r>
        <w:rPr>
          <w:rFonts w:ascii="Times New Roman" w:hAnsi="Times New Roman" w:cs="B Titr" w:eastAsia="Times New Roman"/>
          <w:b/>
          <w:bCs/>
          <w:sz w:val="30"/>
          <w:szCs w:val="30"/>
          <w:lang w:bidi="fa-IR"/>
          <w:color w:val="000000"/>
          <w:rtl/>
        </w:rPr>
        <w:t>استنباطی</w:t>
      </w:r>
      <w:bookmarkEnd w:id="135"/>
    </w:p>
    <w:p w14:paraId="0151E1D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138" w:name="_Toc238572092"/>
      <w:r>
        <w:rPr>
          <w:rFonts w:ascii="Times New Roman" w:hAnsi="Times New Roman" w:cs="B Titr" w:eastAsia="Times New Roman"/>
          <w:b/>
          <w:bCs/>
          <w:sz w:val="30"/>
          <w:szCs w:val="30"/>
          <w:lang w:bidi="fa-IR"/>
          <w:color w:val="000000"/>
          <w:rtl/>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spacing w:line="276" w:lineRule="auto"/>
        <w:ind w:firstLine="397"/>
        <w:jc w:val="both"/>
        <w:rPr>
          <w:rFonts w:cs="B Lotus" w:ascii="Times New Roman" w:hAnsi="Times New Roman" w:eastAsia="Times New Roman"/>
          <w:color w:val="000000"/>
          <w:lang w:bidi="fa-IR"/>
          <w:sz w:val="24"/>
          <w:szCs w:val="24"/>
          <w:b/>
          <w:bCs/>
        </w:rPr>
      </w:pPr>
      <w:bookmarkStart w:id="139" w:name="_Toc238572109"/>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۶</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ضرایب</w:t>
      </w:r>
      <w:r>
        <w:rPr>
          <w:rFonts w:cs="B Lotus" w:ascii="Times New Roman" w:hAnsi="Times New Roman" w:eastAsia="Times New Roman"/>
          <w:sz w:val="24"/>
          <w:szCs w:val="24"/>
          <w:lang w:bidi="fa-IR"/>
          <w:b/>
          <w:bCs/>
          <w:color w:val="000000"/>
          <w:rtl/>
        </w:rPr>
        <w:t xml:space="preserve"> همبستگی </w:t>
      </w:r>
      <w:r>
        <w:rPr>
          <w:rFonts w:cs="B Lotus" w:ascii="Times New Roman" w:hAnsi="Times New Roman" w:eastAsia="Times New Roman"/>
          <w:sz w:val="24"/>
          <w:szCs w:val="24"/>
          <w:lang w:bidi="fa-IR"/>
          <w:b/>
          <w:bCs/>
          <w:color w:val="000000"/>
          <w:rtl/>
        </w:rPr>
        <w:t>پیرسون</w:t>
      </w:r>
      <w:r>
        <w:rPr>
          <w:rFonts w:cs="B Lotus" w:ascii="Times New Roman" w:hAnsi="Times New Roman" w:eastAsia="Times New Roman"/>
          <w:sz w:val="24"/>
          <w:szCs w:val="24"/>
          <w:lang w:bidi="fa-IR"/>
          <w:b/>
          <w:bCs/>
          <w:color w:val="000000"/>
          <w:rtl/>
        </w:rPr>
        <w:t xml:space="preserve"> بین هوش معنوی و اضطراب مرگ سالمندان</w:t>
      </w:r>
      <w:bookmarkEnd w:id="13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1165"/>
        <w:gridCol w:w="1165"/>
        <w:gridCol w:w="1165"/>
        <w:gridCol w:w="1165"/>
        <w:gridCol w:w="1165"/>
        <w:gridCol w:w="719"/>
      </w:tblGrid>
      <w:tr w14:paraId="58978185" w14:textId="77777777">
        <w:trPr>
          <w:cantSplit/>
          <w:trHeight w:val="90"/>
          <w:tblHeader/>
          <w:jc w:val="center"/>
        </w:trPr>
        <w:tc>
          <w:tcPr>
            <w:tcW w:w="1276" w:type="pct"/>
            <w:tcBorders>
              <w:top w:val="single" w:sz="8" w:space="0" w:color="9BBB59"/>
              <w:left w:val="nil"/>
              <w:bottom w:val="single" w:sz="8" w:space="0" w:color="9BBB59"/>
              <w:right w:val="nil"/>
            </w:tcBorders>
            <w:vAlign w:val="center"/>
          </w:tcPr>
          <w:p w14:paraId="1B2F1754" w14:textId="77777777">
            <w:pPr>
              <w:spacing w:after="0" w:line="240" w:lineRule="auto"/>
              <w:jc w:val="center"/>
              <w:rPr>
                <w:color w:val="auto"/>
                <w:lang w:bidi="fa-IR"/>
              </w:rPr>
            </w:pPr>
            <w:r>
              <w:rPr>
                <w:rFonts w:ascii="Times New Roman" w:hAnsi="Times New Roman" w:hint="cs"/>
                <w:b/>
                <w:bCs/>
                <w:sz w:val="24"/>
                <w:szCs w:val="24"/>
                <w:lang w:bidi="fa-IR"/>
                <w:rtl/>
              </w:rPr>
              <w:t>متغیر</w:t>
            </w:r>
          </w:p>
        </w:tc>
        <w:tc>
          <w:tcPr>
            <w:tcW w:w="663" w:type="pct"/>
            <w:tcBorders>
              <w:top w:val="single" w:sz="8" w:space="0" w:color="9BBB59"/>
              <w:left w:val="nil"/>
              <w:bottom w:val="single" w:sz="8" w:space="0" w:color="9BBB59"/>
              <w:right w:val="nil"/>
            </w:tcBorders>
            <w:vAlign w:val="center"/>
          </w:tcPr>
          <w:p w14:paraId="789EA3CA" w14:textId="77777777">
            <w:pPr>
              <w:spacing w:after="0" w:line="240" w:lineRule="auto"/>
              <w:jc w:val="center"/>
              <w:rPr>
                <w:color w:val="auto"/>
                <w:lang w:bidi="fa-IR"/>
              </w:rPr>
            </w:pPr>
            <w:r>
              <w:rPr>
                <w:rFonts w:ascii="Times New Roman" w:hAnsi="Times New Roman" w:hint="cs"/>
                <w:b/>
                <w:bCs/>
                <w:sz w:val="24"/>
                <w:szCs w:val="24"/>
                <w:lang w:bidi="fa-IR"/>
                <w:rtl/>
              </w:rPr>
              <w:t>۱</w:t>
            </w:r>
          </w:p>
        </w:tc>
        <w:tc>
          <w:tcPr>
            <w:tcW w:w="663" w:type="pct"/>
            <w:tcBorders>
              <w:top w:val="single" w:sz="8" w:space="0" w:color="9BBB59"/>
              <w:left w:val="nil"/>
              <w:bottom w:val="single" w:sz="8" w:space="0" w:color="9BBB59"/>
              <w:right w:val="nil"/>
            </w:tcBorders>
            <w:vAlign w:val="center"/>
          </w:tcPr>
          <w:p w14:paraId="78FE7803" w14:textId="77777777">
            <w:pPr>
              <w:spacing w:after="0" w:line="240" w:lineRule="auto"/>
              <w:jc w:val="center"/>
              <w:rPr>
                <w:color w:val="auto"/>
                <w:lang w:bidi="fa-IR"/>
              </w:rPr>
            </w:pPr>
            <w:r>
              <w:rPr>
                <w:rFonts w:ascii="Times New Roman" w:hAnsi="Times New Roman" w:hint="cs"/>
                <w:b/>
                <w:bCs/>
                <w:sz w:val="24"/>
                <w:szCs w:val="24"/>
                <w:lang w:bidi="fa-IR"/>
                <w:rtl/>
              </w:rPr>
              <w:t>۲</w:t>
            </w:r>
          </w:p>
        </w:tc>
        <w:tc>
          <w:tcPr>
            <w:tcW w:w="663" w:type="pct"/>
            <w:tcBorders>
              <w:top w:val="single" w:sz="8" w:space="0" w:color="9BBB59"/>
              <w:left w:val="nil"/>
              <w:bottom w:val="single" w:sz="8" w:space="0" w:color="9BBB59"/>
              <w:right w:val="nil"/>
            </w:tcBorders>
            <w:vAlign w:val="center"/>
          </w:tcPr>
          <w:p w14:paraId="554F0034" w14:textId="77777777">
            <w:pPr>
              <w:spacing w:after="0" w:line="240" w:lineRule="auto"/>
              <w:jc w:val="center"/>
              <w:rPr>
                <w:color w:val="auto"/>
                <w:lang w:bidi="fa-IR"/>
              </w:rPr>
            </w:pPr>
            <w:r>
              <w:rPr>
                <w:rFonts w:ascii="Times New Roman" w:hAnsi="Times New Roman" w:hint="cs"/>
                <w:b/>
                <w:bCs/>
                <w:sz w:val="24"/>
                <w:szCs w:val="24"/>
                <w:lang w:bidi="fa-IR"/>
                <w:rtl/>
              </w:rPr>
              <w:t>۳</w:t>
            </w:r>
          </w:p>
        </w:tc>
        <w:tc>
          <w:tcPr>
            <w:tcW w:w="663" w:type="pct"/>
            <w:tcBorders>
              <w:top w:val="single" w:sz="8" w:space="0" w:color="9BBB59"/>
              <w:left w:val="nil"/>
              <w:bottom w:val="single" w:sz="8" w:space="0" w:color="9BBB59"/>
              <w:right w:val="nil"/>
            </w:tcBorders>
            <w:vAlign w:val="center"/>
          </w:tcPr>
          <w:p w14:paraId="52C7A122" w14:textId="77777777">
            <w:pPr>
              <w:spacing w:after="0" w:line="240" w:lineRule="auto"/>
              <w:jc w:val="center"/>
              <w:rPr>
                <w:color w:val="auto"/>
                <w:lang w:bidi="fa-IR"/>
              </w:rPr>
            </w:pPr>
            <w:r>
              <w:rPr>
                <w:rFonts w:ascii="Times New Roman" w:hAnsi="Times New Roman" w:hint="cs"/>
                <w:b/>
                <w:bCs/>
                <w:sz w:val="24"/>
                <w:szCs w:val="24"/>
                <w:lang w:bidi="fa-IR"/>
                <w:rtl/>
              </w:rPr>
              <w:t>۴</w:t>
            </w:r>
          </w:p>
        </w:tc>
        <w:tc>
          <w:tcPr>
            <w:tcW w:w="663" w:type="pct"/>
            <w:tcBorders>
              <w:top w:val="single" w:sz="8" w:space="0" w:color="9BBB59"/>
              <w:left w:val="nil"/>
              <w:bottom w:val="single" w:sz="8" w:space="0" w:color="9BBB59"/>
              <w:right w:val="nil"/>
            </w:tcBorders>
            <w:vAlign w:val="center"/>
          </w:tcPr>
          <w:p w14:paraId="4F7D71D0" w14:textId="77777777">
            <w:pPr>
              <w:spacing w:after="0" w:line="240" w:lineRule="auto"/>
              <w:jc w:val="center"/>
              <w:rPr>
                <w:color w:val="auto"/>
                <w:lang w:bidi="fa-IR"/>
              </w:rPr>
            </w:pPr>
            <w:r>
              <w:rPr>
                <w:rFonts w:ascii="Times New Roman" w:hAnsi="Times New Roman" w:hint="cs"/>
                <w:b/>
                <w:bCs/>
                <w:sz w:val="24"/>
                <w:szCs w:val="24"/>
                <w:lang w:bidi="fa-IR"/>
                <w:rtl/>
              </w:rPr>
              <w:t>۵</w:t>
            </w:r>
          </w:p>
        </w:tc>
        <w:tc>
          <w:tcPr>
            <w:tcW w:w="410" w:type="pct"/>
            <w:tcBorders>
              <w:top w:val="single" w:sz="8" w:space="0" w:color="9BBB59"/>
              <w:left w:val="nil"/>
              <w:bottom w:val="single" w:sz="8" w:space="0" w:color="9BBB59"/>
              <w:right w:val="nil"/>
            </w:tcBorders>
            <w:vAlign w:val="center"/>
          </w:tcPr>
          <w:p w14:paraId="1A8417F3" w14:textId="77777777">
            <w:pPr>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trHeight w:val="435"/>
          <w:jc w:val="center"/>
        </w:trPr>
        <w:tc>
          <w:tcPr>
            <w:tcW w:w="1276" w:type="pct"/>
            <w:tcBorders>
              <w:left w:val="nil"/>
              <w:right w:val="nil"/>
            </w:tcBorders>
            <w:shd w:val="clear" w:color="auto" w:fill="E6EED5"/>
            <w:vAlign w:val="center"/>
          </w:tcPr>
          <w:p w14:paraId="4750A6A7" w14:textId="77777777">
            <w:pPr>
              <w:spacing w:after="0" w:line="240" w:lineRule="auto"/>
              <w:jc w:val="center"/>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tcBorders>
              <w:left w:val="nil"/>
              <w:right w:val="nil"/>
            </w:tcBorders>
            <w:shd w:val="clear" w:color="auto" w:fill="E6EED5"/>
            <w:vAlign w:val="center"/>
          </w:tcPr>
          <w:p w14:paraId="7C163E9D" w14:textId="77777777">
            <w:pPr>
              <w:spacing w:after="0" w:line="240" w:lineRule="auto"/>
              <w:jc w:val="center"/>
              <w:rPr>
                <w:color w:val="auto"/>
                <w:lang w:bidi="fa-IR"/>
              </w:rPr>
            </w:pPr>
            <w:r>
              <w:rPr>
                <w:rFonts w:ascii="Times New Roman" w:hAnsi="Times New Roman" w:hint="cs"/>
                <w:sz w:val="24"/>
                <w:szCs w:val="24"/>
                <w:lang w:bidi="fa-IR"/>
                <w:rtl/>
              </w:rPr>
              <w:t>۱</w:t>
            </w:r>
          </w:p>
        </w:tc>
        <w:tc>
          <w:tcPr>
            <w:tcW w:w="663" w:type="pct"/>
            <w:tcBorders>
              <w:left w:val="nil"/>
              <w:right w:val="nil"/>
            </w:tcBorders>
            <w:shd w:val="clear" w:color="auto" w:fill="E6EED5"/>
            <w:vAlign w:val="center"/>
          </w:tcPr>
          <w:p w14:paraId="7C6D0717"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7DB5F982"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4931EFAE"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1BC4BF01"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65E04634" w14:textId="77777777">
            <w:pPr>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spacing w:after="0" w:line="240" w:lineRule="auto"/>
              <w:jc w:val="center"/>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spacing w:after="0" w:line="240" w:lineRule="auto"/>
              <w:jc w:val="center"/>
              <w:rPr>
                <w:color w:val="auto"/>
                <w:lang w:bidi="fa-IR"/>
              </w:rPr>
            </w:pPr>
          </w:p>
        </w:tc>
        <w:tc>
          <w:tcPr>
            <w:tcW w:w="663" w:type="pct"/>
            <w:vAlign w:val="center"/>
          </w:tcPr>
          <w:p w14:paraId="58FC7C9F" w14:textId="77777777">
            <w:pPr>
              <w:spacing w:after="0" w:line="240" w:lineRule="auto"/>
              <w:jc w:val="center"/>
              <w:rPr>
                <w:color w:val="auto"/>
                <w:lang w:bidi="fa-IR"/>
              </w:rPr>
            </w:pPr>
          </w:p>
        </w:tc>
        <w:tc>
          <w:tcPr>
            <w:tcW w:w="663" w:type="pct"/>
            <w:vAlign w:val="center"/>
          </w:tcPr>
          <w:p w14:paraId="6945D34D" w14:textId="77777777">
            <w:pPr>
              <w:spacing w:after="0" w:line="240" w:lineRule="auto"/>
              <w:jc w:val="center"/>
              <w:rPr>
                <w:color w:val="auto"/>
                <w:lang w:bidi="fa-IR"/>
              </w:rPr>
            </w:pPr>
          </w:p>
        </w:tc>
        <w:tc>
          <w:tcPr>
            <w:tcW w:w="410" w:type="pct"/>
            <w:vAlign w:val="center"/>
          </w:tcPr>
          <w:p w14:paraId="36C80E42" w14:textId="77777777">
            <w:pPr>
              <w:spacing w:after="0" w:line="240" w:lineRule="auto"/>
              <w:jc w:val="center"/>
              <w:rPr>
                <w:color w:val="auto"/>
                <w:lang w:bidi="fa-IR"/>
              </w:rPr>
            </w:pPr>
          </w:p>
        </w:tc>
      </w:tr>
      <w:tr w14:paraId="2013374B" w14:textId="77777777">
        <w:trPr>
          <w:cantSplit/>
          <w:jc w:val="center"/>
        </w:trPr>
        <w:tc>
          <w:tcPr>
            <w:tcW w:w="1276" w:type="pct"/>
            <w:tcBorders>
              <w:left w:val="nil"/>
              <w:right w:val="nil"/>
            </w:tcBorders>
            <w:shd w:val="clear" w:color="auto" w:fill="E6EED5"/>
            <w:vAlign w:val="center"/>
          </w:tcPr>
          <w:p w14:paraId="7AB7A127" w14:textId="77777777">
            <w:pPr>
              <w:spacing w:after="0" w:line="240" w:lineRule="auto"/>
              <w:jc w:val="center"/>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tcBorders>
              <w:left w:val="nil"/>
              <w:right w:val="nil"/>
            </w:tcBorders>
            <w:shd w:val="clear" w:color="auto" w:fill="E6EED5"/>
            <w:vAlign w:val="center"/>
          </w:tcPr>
          <w:p w14:paraId="71AE5AFD"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tcBorders>
              <w:left w:val="nil"/>
              <w:right w:val="nil"/>
            </w:tcBorders>
            <w:shd w:val="clear" w:color="auto" w:fill="E6EED5"/>
            <w:vAlign w:val="center"/>
          </w:tcPr>
          <w:p w14:paraId="48E585A2"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tcBorders>
              <w:left w:val="nil"/>
              <w:right w:val="nil"/>
            </w:tcBorders>
            <w:shd w:val="clear" w:color="auto" w:fill="E6EED5"/>
            <w:vAlign w:val="center"/>
          </w:tcPr>
          <w:p w14:paraId="28447D15" w14:textId="77777777">
            <w:pPr>
              <w:spacing w:after="0" w:line="240" w:lineRule="auto"/>
              <w:jc w:val="center"/>
              <w:rPr>
                <w:color w:val="auto"/>
                <w:lang w:bidi="fa-IR"/>
              </w:rPr>
            </w:pPr>
            <w:r>
              <w:rPr>
                <w:rFonts w:ascii="Times New Roman" w:hAnsi="Times New Roman" w:hint="cs"/>
                <w:sz w:val="24"/>
                <w:szCs w:val="24"/>
                <w:lang w:bidi="fa-IR"/>
                <w:rtl/>
              </w:rPr>
              <w:t>۱</w:t>
            </w:r>
          </w:p>
        </w:tc>
        <w:tc>
          <w:tcPr>
            <w:tcW w:w="663" w:type="pct"/>
            <w:tcBorders>
              <w:left w:val="nil"/>
              <w:right w:val="nil"/>
            </w:tcBorders>
            <w:shd w:val="clear" w:color="auto" w:fill="E6EED5"/>
            <w:vAlign w:val="center"/>
          </w:tcPr>
          <w:p w14:paraId="667F5150"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3D5F5D3A"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0E885AE2" w14:textId="77777777">
            <w:pPr>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spacing w:after="0" w:line="240" w:lineRule="auto"/>
              <w:jc w:val="center"/>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spacing w:after="0" w:line="240" w:lineRule="auto"/>
              <w:jc w:val="center"/>
              <w:rPr>
                <w:color w:val="auto"/>
                <w:lang w:bidi="fa-IR"/>
              </w:rPr>
            </w:pPr>
          </w:p>
        </w:tc>
        <w:tc>
          <w:tcPr>
            <w:tcW w:w="410" w:type="pct"/>
            <w:vAlign w:val="center"/>
          </w:tcPr>
          <w:p w14:paraId="555A5CE6" w14:textId="77777777">
            <w:pPr>
              <w:spacing w:after="0" w:line="240" w:lineRule="auto"/>
              <w:jc w:val="center"/>
              <w:rPr>
                <w:color w:val="auto"/>
                <w:lang w:bidi="fa-IR"/>
              </w:rPr>
            </w:pPr>
          </w:p>
        </w:tc>
      </w:tr>
      <w:tr w14:paraId="67A7CE23" w14:textId="77777777">
        <w:trPr>
          <w:cantSplit/>
          <w:jc w:val="center"/>
        </w:trPr>
        <w:tc>
          <w:tcPr>
            <w:tcW w:w="1276" w:type="pct"/>
            <w:tcBorders>
              <w:left w:val="nil"/>
              <w:right w:val="nil"/>
            </w:tcBorders>
            <w:shd w:val="clear" w:color="auto" w:fill="E6EED5"/>
            <w:vAlign w:val="center"/>
          </w:tcPr>
          <w:p w14:paraId="5FCBD661" w14:textId="77777777">
            <w:pPr>
              <w:spacing w:after="0" w:line="240" w:lineRule="auto"/>
              <w:jc w:val="center"/>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tcBorders>
              <w:left w:val="nil"/>
              <w:right w:val="nil"/>
            </w:tcBorders>
            <w:shd w:val="clear" w:color="auto" w:fill="E6EED5"/>
            <w:vAlign w:val="center"/>
          </w:tcPr>
          <w:p w14:paraId="29EC2846"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tcBorders>
              <w:left w:val="nil"/>
              <w:right w:val="nil"/>
            </w:tcBorders>
            <w:shd w:val="clear" w:color="auto" w:fill="E6EED5"/>
            <w:vAlign w:val="center"/>
          </w:tcPr>
          <w:p w14:paraId="63D1C185"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tcBorders>
              <w:left w:val="nil"/>
              <w:right w:val="nil"/>
            </w:tcBorders>
            <w:shd w:val="clear" w:color="auto" w:fill="E6EED5"/>
            <w:vAlign w:val="center"/>
          </w:tcPr>
          <w:p w14:paraId="00F9FF16"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tcBorders>
              <w:left w:val="nil"/>
              <w:right w:val="nil"/>
            </w:tcBorders>
            <w:shd w:val="clear" w:color="auto" w:fill="E6EED5"/>
            <w:vAlign w:val="center"/>
          </w:tcPr>
          <w:p w14:paraId="11BB9476"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tcBorders>
              <w:left w:val="nil"/>
              <w:right w:val="nil"/>
            </w:tcBorders>
            <w:shd w:val="clear" w:color="auto" w:fill="E6EED5"/>
            <w:vAlign w:val="center"/>
          </w:tcPr>
          <w:p w14:paraId="643B1F73" w14:textId="77777777">
            <w:pPr>
              <w:spacing w:after="0" w:line="240" w:lineRule="auto"/>
              <w:jc w:val="center"/>
              <w:rPr>
                <w:color w:val="auto"/>
                <w:lang w:bidi="fa-IR"/>
              </w:rPr>
            </w:pPr>
            <w:r>
              <w:rPr>
                <w:rFonts w:ascii="Times New Roman" w:hAnsi="Times New Roman" w:hint="cs"/>
                <w:sz w:val="24"/>
                <w:szCs w:val="24"/>
                <w:lang w:bidi="fa-IR"/>
                <w:rtl/>
              </w:rPr>
              <w:t>۱</w:t>
            </w:r>
          </w:p>
        </w:tc>
        <w:tc>
          <w:tcPr>
            <w:tcW w:w="410" w:type="pct"/>
            <w:tcBorders>
              <w:left w:val="nil"/>
              <w:right w:val="nil"/>
            </w:tcBorders>
            <w:shd w:val="clear" w:color="auto" w:fill="E6EED5"/>
            <w:vAlign w:val="center"/>
          </w:tcPr>
          <w:p w14:paraId="4B32670A" w14:textId="77777777">
            <w:pPr>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spacing w:after="0" w:line="240" w:lineRule="auto"/>
              <w:jc w:val="center"/>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07A99543" w14:textId="77777777">
      <w:pPr>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 xml:space="preserve">r)</w:t>
      </w:r>
      <w:r>
        <w:rPr>
          <w:rFonts w:ascii="Times New Roman" w:hAnsi="Times New Roman" w:hint="cs"/>
          <w:lang w:bidi="fa-IR"/>
          <w:rtl/>
        </w:rPr>
        <w:t xml:space="preserve">، ایجاد معنای شخصی (۴۵/۰-=</w:t>
      </w:r>
      <w:r>
        <w:rPr>
          <w:rFonts w:ascii="Times New Roman" w:hAnsi="Times New Roman" w:hint="cs"/>
          <w:lang w:bidi="fa-IR" w:val="en-US"/>
          <w:rtl w:val="0"/>
        </w:rPr>
        <w:t xml:space="preserve">r)</w:t>
      </w:r>
      <w:r>
        <w:rPr>
          <w:rFonts w:ascii="Times New Roman" w:hAnsi="Times New Roman" w:hint="cs"/>
          <w:lang w:bidi="fa-IR"/>
          <w:rtl/>
        </w:rPr>
        <w:t xml:space="preserve">، آگاهی متعالی (۳۱/۰-=</w:t>
      </w:r>
      <w:r>
        <w:rPr>
          <w:rFonts w:ascii="Times New Roman" w:hAnsi="Times New Roman" w:hint="cs"/>
          <w:lang w:bidi="fa-IR" w:val="en-US"/>
          <w:rtl w:val="0"/>
        </w:rPr>
        <w:t xml:space="preserve">r)</w:t>
      </w:r>
      <w:r>
        <w:rPr>
          <w:rFonts w:ascii="Times New Roman" w:hAnsi="Times New Roman" w:hint="cs"/>
          <w:lang w:bidi="fa-IR"/>
          <w:rtl/>
        </w:rPr>
        <w:t xml:space="preserve">، و گسترش حالت هوشیاری (۲۹/۰-=</w:t>
      </w:r>
      <w:r>
        <w:rPr>
          <w:rFonts w:ascii="Times New Roman" w:hAnsi="Times New Roman" w:hint="cs"/>
          <w:lang w:bidi="fa-IR" w:val="en-US"/>
          <w:rtl w:val="0"/>
        </w:rPr>
        <w:t xml:space="preserve">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همچنین 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 xml:space="preserve">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140" w:name="_Toc238572093"/>
      <w:r>
        <w:rPr>
          <w:rFonts w:ascii="Times New Roman" w:hAnsi="Times New Roman" w:cs="B Titr" w:eastAsia="Times New Roman"/>
          <w:b/>
          <w:bCs/>
          <w:sz w:val="30"/>
          <w:szCs w:val="30"/>
          <w:lang w:bidi="fa-IR"/>
          <w:color w:val="000000"/>
          <w:rtl/>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shd w:val="clear" w:color="auto" w:fill="FFFFFF"/>
        <w:spacing w:line="276" w:lineRule="auto"/>
        <w:ind w:firstLine="397"/>
        <w:jc w:val="both"/>
        <w:rPr>
          <w:rFonts w:cs="B Lotus" w:ascii="Times New Roman" w:hAnsi="Times New Roman" w:eastAsia="Times New Roman"/>
          <w:color w:val="000000"/>
          <w:lang w:bidi="fa-IR"/>
          <w:sz w:val="24"/>
          <w:szCs w:val="24"/>
          <w:b/>
          <w:bCs/>
        </w:rPr>
      </w:pPr>
      <w:bookmarkStart w:id="145" w:name="_Toc238572110"/>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۷</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ضرایب همبستگی پیرسون بین اضطراب سلامتی و اضطراب مرگ سالمندان</w:t>
      </w:r>
      <w:bookmarkEnd w:id="14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28DEDAF2" w14:textId="77777777">
        <w:trPr>
          <w:cantSplit/>
          <w:tblHeader/>
          <w:jc w:val="center"/>
        </w:trPr>
        <w:tc>
          <w:tcPr>
            <w:tcW w:w="1733" w:type="dxa"/>
            <w:tcBorders>
              <w:top w:val="single" w:sz="8" w:space="0" w:color="9BBB59"/>
              <w:left w:val="nil"/>
              <w:bottom w:val="single" w:sz="8" w:space="0" w:color="9BBB59"/>
              <w:right w:val="nil"/>
            </w:tcBorders>
            <w:vAlign w:val="center"/>
          </w:tcPr>
          <w:p w14:paraId="4F667AD8"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tcBorders>
              <w:top w:val="single" w:sz="8" w:space="0" w:color="9BBB59"/>
              <w:left w:val="nil"/>
              <w:bottom w:val="single" w:sz="8" w:space="0" w:color="9BBB59"/>
              <w:right w:val="nil"/>
            </w:tcBorders>
            <w:vAlign w:val="center"/>
          </w:tcPr>
          <w:p w14:paraId="2983872A"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tcBorders>
              <w:top w:val="single" w:sz="8" w:space="0" w:color="9BBB59"/>
              <w:left w:val="nil"/>
              <w:bottom w:val="single" w:sz="8" w:space="0" w:color="9BBB59"/>
              <w:right w:val="nil"/>
            </w:tcBorders>
            <w:vAlign w:val="center"/>
          </w:tcPr>
          <w:p w14:paraId="35E526C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tcBorders>
              <w:top w:val="single" w:sz="8" w:space="0" w:color="9BBB59"/>
              <w:left w:val="nil"/>
              <w:bottom w:val="single" w:sz="8" w:space="0" w:color="9BBB59"/>
              <w:right w:val="nil"/>
            </w:tcBorders>
            <w:vAlign w:val="center"/>
          </w:tcPr>
          <w:p w14:paraId="330E90C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tcBorders>
              <w:top w:val="single" w:sz="8" w:space="0" w:color="9BBB59"/>
              <w:left w:val="nil"/>
              <w:bottom w:val="single" w:sz="8" w:space="0" w:color="9BBB59"/>
              <w:right w:val="nil"/>
            </w:tcBorders>
            <w:vAlign w:val="center"/>
          </w:tcPr>
          <w:p w14:paraId="50D57B0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tcBorders>
              <w:left w:val="nil"/>
              <w:right w:val="nil"/>
            </w:tcBorders>
            <w:shd w:val="clear" w:color="auto" w:fill="E6EED5"/>
            <w:vAlign w:val="center"/>
          </w:tcPr>
          <w:p w14:paraId="08825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tcBorders>
              <w:left w:val="nil"/>
              <w:right w:val="nil"/>
            </w:tcBorders>
            <w:shd w:val="clear" w:color="auto" w:fill="E6EED5"/>
            <w:vAlign w:val="center"/>
          </w:tcPr>
          <w:p w14:paraId="0A516FC1"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tcBorders>
              <w:left w:val="nil"/>
              <w:right w:val="nil"/>
            </w:tcBorders>
            <w:shd w:val="clear" w:color="auto" w:fill="E6EED5"/>
            <w:vAlign w:val="center"/>
          </w:tcPr>
          <w:p w14:paraId="7138F788" w14:textId="77777777">
            <w:pPr>
              <w:spacing w:after="0" w:line="240" w:lineRule="auto"/>
              <w:jc w:val="center"/>
              <w:rPr>
                <w:rFonts w:ascii="Times New Roman" w:eastAsia="Times New Roman" w:hAnsi="Times New Roman"/>
                <w:color w:val="auto"/>
                <w:lang w:bidi="fa-IR"/>
              </w:rPr>
            </w:pPr>
          </w:p>
        </w:tc>
        <w:tc>
          <w:tcPr>
            <w:tcW w:w="1733" w:type="dxa"/>
            <w:tcBorders>
              <w:left w:val="nil"/>
              <w:right w:val="nil"/>
            </w:tcBorders>
            <w:shd w:val="clear" w:color="auto" w:fill="E6EED5"/>
            <w:vAlign w:val="center"/>
          </w:tcPr>
          <w:p w14:paraId="317D13FE" w14:textId="77777777">
            <w:pPr>
              <w:spacing w:after="0" w:line="240" w:lineRule="auto"/>
              <w:jc w:val="center"/>
              <w:rPr>
                <w:rFonts w:ascii="Times New Roman" w:eastAsia="Times New Roman" w:hAnsi="Times New Roman"/>
                <w:color w:val="auto"/>
                <w:lang w:bidi="fa-IR"/>
              </w:rPr>
            </w:pPr>
          </w:p>
        </w:tc>
        <w:tc>
          <w:tcPr>
            <w:tcW w:w="1734" w:type="dxa"/>
            <w:tcBorders>
              <w:left w:val="nil"/>
              <w:right w:val="nil"/>
            </w:tcBorders>
            <w:shd w:val="clear" w:color="auto" w:fill="E6EED5"/>
            <w:vAlign w:val="center"/>
          </w:tcPr>
          <w:p w14:paraId="2674CD38" w14:textId="77777777">
            <w:pPr>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tcBorders>
              <w:left w:val="nil"/>
              <w:right w:val="nil"/>
            </w:tcBorders>
            <w:shd w:val="clear" w:color="auto" w:fill="E6EED5"/>
            <w:vAlign w:val="center"/>
          </w:tcPr>
          <w:p w14:paraId="7129122C"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tcBorders>
              <w:left w:val="nil"/>
              <w:right w:val="nil"/>
            </w:tcBorders>
            <w:shd w:val="clear" w:color="auto" w:fill="E6EED5"/>
            <w:vAlign w:val="center"/>
          </w:tcPr>
          <w:p w14:paraId="4FAB1F1E"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tcBorders>
              <w:left w:val="nil"/>
              <w:right w:val="nil"/>
            </w:tcBorders>
            <w:shd w:val="clear" w:color="auto" w:fill="E6EED5"/>
            <w:vAlign w:val="center"/>
          </w:tcPr>
          <w:p w14:paraId="72D5997D"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tcBorders>
              <w:left w:val="nil"/>
              <w:right w:val="nil"/>
            </w:tcBorders>
            <w:shd w:val="clear" w:color="auto" w:fill="E6EED5"/>
            <w:vAlign w:val="center"/>
          </w:tcPr>
          <w:p w14:paraId="076E373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tcBorders>
              <w:left w:val="nil"/>
              <w:right w:val="nil"/>
            </w:tcBorders>
            <w:shd w:val="clear" w:color="auto" w:fill="E6EED5"/>
            <w:vAlign w:val="center"/>
          </w:tcPr>
          <w:p w14:paraId="2A48F48D" w14:textId="77777777">
            <w:pPr>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4EA08539" w14:textId="77777777">
      <w:pPr>
        <w:spacing w:after="0" w:line="276" w:lineRule="auto"/>
        <w:ind w:firstLine="397"/>
        <w:jc w:val="both"/>
        <w:rPr>
          <w:color w:val="auto"/>
          <w:sz w:val="26"/>
          <w:szCs w:val="26"/>
          <w:lang w:bidi="fa-IR"/>
        </w:rPr>
      </w:pPr>
      <w:r>
        <w:rPr>
          <w:rFonts w:ascii="Times New Roman" w:hAnsi="Times New Roman" w:hint="cs"/>
          <w:lang w:bidi="fa-IR"/>
          <w:rtl/>
        </w:rPr>
        <w:lastRenderedPageBreak/>
        <w:t xml:space="preserve">بر اساس نتایج جدول ۴-۷ بین اضطراب مرگ سالمندان با احتمال ابتلا به بیماری (۴۹/۰=</w:t>
      </w:r>
      <w:r>
        <w:rPr>
          <w:rFonts w:ascii="Times New Roman" w:hAnsi="Times New Roman" w:hint="cs"/>
          <w:lang w:bidi="fa-IR" w:val="en-US"/>
          <w:rtl w:val="0"/>
        </w:rPr>
        <w:lastRenderedPageBreak/>
        <w:t xml:space="preserve">r)</w:t>
      </w:r>
      <w:r>
        <w:rPr>
          <w:rFonts w:ascii="Times New Roman" w:hAnsi="Times New Roman" w:hint="cs"/>
          <w:lang w:bidi="fa-IR"/>
          <w:rtl/>
        </w:rPr>
        <w:lastRenderedPageBreak/>
        <w:t xml:space="preserve">، پیامدهای منفی بیماری (۵۵/۰=</w:t>
      </w:r>
      <w:r>
        <w:rPr>
          <w:rFonts w:ascii="Times New Roman" w:hAnsi="Times New Roman" w:hint="cs"/>
          <w:lang w:bidi="fa-IR" w:val="en-US"/>
          <w:rtl w:val="0"/>
        </w:rPr>
        <w:lastRenderedPageBreak/>
        <w:t xml:space="preserve">r) </w:t>
      </w:r>
      <w:r>
        <w:rPr>
          <w:rFonts w:ascii="Times New Roman" w:hAnsi="Times New Roman" w:hint="cs"/>
          <w:lang w:bidi="fa-IR"/>
          <w:rtl/>
        </w:rPr>
        <w:lastRenderedPageBreak/>
        <w:t xml:space="preserve">و اضطراب سلامتی کل(۵۸/۰=</w:t>
      </w:r>
      <w:r>
        <w:rPr>
          <w:rFonts w:ascii="Times New Roman" w:hAnsi="Times New Roman" w:hint="cs"/>
          <w:lang w:bidi="fa-IR" w:val="en-US"/>
          <w:rtl w:val="0"/>
        </w:rPr>
        <w:lastRenderedPageBreak/>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146" w:name="_Toc238572094"/>
      <w:r>
        <w:rPr>
          <w:rFonts w:ascii="Times New Roman" w:hAnsi="Times New Roman" w:cs="B Titr" w:eastAsia="Times New Roman"/>
          <w:b/>
          <w:bCs/>
          <w:sz w:val="30"/>
          <w:szCs w:val="30"/>
          <w:lang w:bidi="fa-IR"/>
          <w:color w:val="000000"/>
          <w:rtl/>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spacing w:line="276" w:lineRule="auto"/>
        <w:ind w:firstLine="397"/>
        <w:jc w:val="both"/>
        <w:rPr>
          <w:rFonts w:cs="B Lotus" w:ascii="Times New Roman" w:hAnsi="Times New Roman" w:eastAsia="Times New Roman"/>
          <w:color w:val="000000"/>
          <w:lang w:bidi="fa-IR"/>
          <w:sz w:val="24"/>
          <w:szCs w:val="24"/>
          <w:b/>
          <w:bCs/>
        </w:rPr>
      </w:pPr>
      <w:bookmarkStart w:id="149" w:name="_Toc238572111"/>
      <w:r>
        <w:rPr>
          <w:rFonts w:cs="B Lotus" w:ascii="Times New Roman" w:hAnsi="Times New Roman" w:eastAsia="Times New Roman"/>
          <w:sz w:val="24"/>
          <w:szCs w:val="24"/>
          <w:b/>
          <w:bCs/>
          <w:color w:val="000000"/>
          <w:rtl/>
          <w:lang w:bidi="fa-IR"/>
        </w:rPr>
        <w:lastRenderedPageBreak/>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۸</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خلاصه مدل رگرسیون و مشخصه های رگرسیون اضطراب مرگ بر متغیرهای پیش بین</w:t>
      </w:r>
      <w:bookmarkEnd w:id="14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1293"/>
        <w:gridCol w:w="1434"/>
        <w:gridCol w:w="807"/>
        <w:gridCol w:w="1255"/>
        <w:gridCol w:w="986"/>
        <w:gridCol w:w="807"/>
        <w:gridCol w:w="897"/>
        <w:gridCol w:w="807"/>
      </w:tblGrid>
      <w:tr w14:paraId="5011E94B" w14:textId="77777777">
        <w:trPr>
          <w:cantSplit/>
          <w:trHeight w:hRule="exact" w:val="559"/>
          <w:tblHeader/>
          <w:jc w:val="center"/>
        </w:trPr>
        <w:tc>
          <w:tcPr>
            <w:tcW w:w="502" w:type="dxa"/>
            <w:tcBorders>
              <w:top w:val="single" w:sz="8" w:space="0" w:color="9BBB59"/>
              <w:left w:val="nil"/>
              <w:bottom w:val="single" w:sz="8" w:space="0" w:color="9BBB59"/>
              <w:right w:val="nil"/>
            </w:tcBorders>
            <w:vAlign w:val="center"/>
          </w:tcPr>
          <w:p w14:paraId="1E1599E1" w14:textId="77777777">
            <w:pPr>
              <w:spacing w:after="0" w:line="240" w:lineRule="auto"/>
              <w:jc w:val="center"/>
              <w:rPr>
                <w:color w:val="auto"/>
                <w:lang w:bidi="fa-IR"/>
              </w:rPr>
            </w:pPr>
            <w:r>
              <w:rPr>
                <w:rFonts w:ascii="Times New Roman" w:hAnsi="Times New Roman" w:hint="cs"/>
                <w:b/>
                <w:bCs/>
                <w:sz w:val="24"/>
                <w:szCs w:val="24"/>
                <w:lang w:bidi="fa-IR"/>
                <w:rtl/>
              </w:rPr>
              <w:t>گام</w:t>
            </w:r>
          </w:p>
        </w:tc>
        <w:tc>
          <w:tcPr>
            <w:tcW w:w="1298" w:type="dxa"/>
            <w:tcBorders>
              <w:top w:val="single" w:sz="8" w:space="0" w:color="9BBB59"/>
              <w:left w:val="nil"/>
              <w:bottom w:val="single" w:sz="8" w:space="0" w:color="9BBB59"/>
              <w:right w:val="nil"/>
            </w:tcBorders>
            <w:vAlign w:val="center"/>
          </w:tcPr>
          <w:p w14:paraId="3DBD1FFC" w14:textId="77777777">
            <w:pPr>
              <w:spacing w:after="0" w:line="240" w:lineRule="auto"/>
              <w:jc w:val="center"/>
              <w:rPr>
                <w:color w:val="auto"/>
                <w:lang w:bidi="fa-IR"/>
              </w:rPr>
            </w:pPr>
            <w:r>
              <w:rPr>
                <w:rFonts w:ascii="Times New Roman" w:hAnsi="Times New Roman" w:hint="cs"/>
                <w:b/>
                <w:bCs/>
                <w:sz w:val="24"/>
                <w:szCs w:val="24"/>
                <w:lang w:bidi="fa-IR"/>
                <w:rtl/>
              </w:rPr>
              <w:t>مدل</w:t>
            </w:r>
          </w:p>
        </w:tc>
        <w:tc>
          <w:tcPr>
            <w:tcW w:w="1440" w:type="dxa"/>
            <w:tcBorders>
              <w:top w:val="single" w:sz="8" w:space="0" w:color="9BBB59"/>
              <w:left w:val="nil"/>
              <w:bottom w:val="single" w:sz="8" w:space="0" w:color="9BBB59"/>
              <w:right w:val="nil"/>
            </w:tcBorders>
            <w:vAlign w:val="center"/>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tcBorders>
              <w:top w:val="single" w:sz="8" w:space="0" w:color="9BBB59"/>
              <w:left w:val="nil"/>
              <w:bottom w:val="single" w:sz="8" w:space="0" w:color="9BBB59"/>
              <w:right w:val="nil"/>
            </w:tcBorders>
            <w:vAlign w:val="center"/>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tcBorders>
              <w:top w:val="single" w:sz="8" w:space="0" w:color="9BBB59"/>
              <w:left w:val="nil"/>
              <w:bottom w:val="single" w:sz="8" w:space="0" w:color="9BBB59"/>
              <w:right w:val="nil"/>
            </w:tcBorders>
            <w:vAlign w:val="center"/>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tcBorders>
              <w:top w:val="single" w:sz="8" w:space="0" w:color="9BBB59"/>
              <w:left w:val="nil"/>
              <w:bottom w:val="single" w:sz="8" w:space="0" w:color="9BBB59"/>
              <w:right w:val="nil"/>
            </w:tcBorders>
            <w:vAlign w:val="center"/>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tcBorders>
              <w:top w:val="single" w:sz="8" w:space="0" w:color="9BBB59"/>
              <w:left w:val="nil"/>
              <w:bottom w:val="single" w:sz="8" w:space="0" w:color="9BBB59"/>
              <w:right w:val="nil"/>
            </w:tcBorders>
            <w:vAlign w:val="center"/>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tcBorders>
              <w:top w:val="single" w:sz="8" w:space="0" w:color="9BBB59"/>
              <w:left w:val="nil"/>
              <w:bottom w:val="single" w:sz="8" w:space="0" w:color="9BBB59"/>
              <w:right w:val="nil"/>
            </w:tcBorders>
            <w:vAlign w:val="center"/>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tcBorders>
              <w:top w:val="single" w:sz="8" w:space="0" w:color="9BBB59"/>
              <w:left w:val="nil"/>
              <w:bottom w:val="single" w:sz="8" w:space="0" w:color="9BBB59"/>
              <w:right w:val="nil"/>
            </w:tcBorders>
            <w:vAlign w:val="center"/>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A2FC12E" w14:textId="77777777">
            <w:pPr>
              <w:spacing w:after="0" w:line="240" w:lineRule="auto"/>
              <w:jc w:val="center"/>
              <w:rPr>
                <w:color w:val="auto"/>
                <w:lang w:bidi="fa-IR"/>
              </w:rPr>
            </w:pPr>
            <w:r>
              <w:rPr>
                <w:rFonts w:ascii="Times New Roman" w:hAnsi="Times New Roman" w:hint="cs"/>
                <w:sz w:val="24"/>
                <w:szCs w:val="24"/>
                <w:lang w:bidi="fa-IR"/>
                <w:rtl/>
              </w:rPr>
              <w:t>۱</w:t>
            </w:r>
          </w:p>
        </w:tc>
        <w:tc>
          <w:tcPr>
            <w:tcW w:w="1298" w:type="dxa"/>
            <w:tcBorders>
              <w:top w:val="single" w:sz="8" w:space="0" w:color="9BBB59"/>
              <w:left w:val="nil"/>
              <w:bottom w:val="single" w:sz="8" w:space="0" w:color="9BBB59"/>
              <w:right w:val="nil"/>
            </w:tcBorders>
            <w:vAlign w:val="center"/>
          </w:tcPr>
          <w:p w14:paraId="7512E0DE" w14:textId="77777777">
            <w:pPr>
              <w:spacing w:after="0" w:line="240" w:lineRule="auto"/>
              <w:jc w:val="center"/>
              <w:rPr>
                <w:color w:val="auto"/>
                <w:lang w:bidi="fa-IR"/>
              </w:rPr>
            </w:pPr>
            <w:r>
              <w:rPr>
                <w:rFonts w:ascii="Times New Roman" w:hAnsi="Times New Roman" w:hint="cs"/>
                <w:sz w:val="24"/>
                <w:szCs w:val="24"/>
                <w:lang w:bidi="fa-IR"/>
                <w:rtl/>
              </w:rPr>
              <w:t>رگرسیون</w:t>
            </w:r>
          </w:p>
        </w:tc>
        <w:tc>
          <w:tcPr>
            <w:tcW w:w="1440" w:type="dxa"/>
            <w:tcBorders>
              <w:top w:val="single" w:sz="8" w:space="0" w:color="9BBB59"/>
              <w:left w:val="nil"/>
              <w:bottom w:val="single" w:sz="8" w:space="0" w:color="9BBB59"/>
              <w:right w:val="nil"/>
            </w:tcBorders>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tcBorders>
              <w:top w:val="single" w:sz="8" w:space="0" w:color="9BBB59"/>
              <w:left w:val="nil"/>
              <w:bottom w:val="single" w:sz="8" w:space="0" w:color="9BBB59"/>
              <w:right w:val="nil"/>
            </w:tcBorders>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tcBorders>
              <w:top w:val="single" w:sz="8" w:space="0" w:color="9BBB59"/>
              <w:left w:val="nil"/>
              <w:bottom w:val="single" w:sz="8" w:space="0" w:color="9BBB59"/>
              <w:right w:val="nil"/>
            </w:tcBorders>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tcBorders>
              <w:top w:val="single" w:sz="8" w:space="0" w:color="9BBB59"/>
              <w:left w:val="nil"/>
              <w:bottom w:val="single" w:sz="8" w:space="0" w:color="9BBB59"/>
              <w:right w:val="nil"/>
            </w:tcBorders>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tcBorders>
              <w:top w:val="single" w:sz="8" w:space="0" w:color="9BBB59"/>
              <w:left w:val="nil"/>
              <w:bottom w:val="single" w:sz="8" w:space="0" w:color="9BBB59"/>
              <w:right w:val="nil"/>
            </w:tcBorders>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tcBorders>
              <w:top w:val="single" w:sz="8" w:space="0" w:color="9BBB59"/>
              <w:left w:val="nil"/>
              <w:bottom w:val="single" w:sz="8" w:space="0" w:color="9BBB59"/>
              <w:right w:val="nil"/>
            </w:tcBorders>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tcBorders>
              <w:top w:val="single" w:sz="8" w:space="0" w:color="9BBB59"/>
              <w:left w:val="nil"/>
              <w:bottom w:val="single" w:sz="8" w:space="0" w:color="9BBB59"/>
              <w:right w:val="nil"/>
            </w:tcBorders>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26A7AB75"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96975BC" w14:textId="77777777">
            <w:pPr>
              <w:spacing w:after="0" w:line="240" w:lineRule="auto"/>
              <w:jc w:val="center"/>
              <w:rPr>
                <w:color w:val="auto"/>
                <w:lang w:bidi="fa-IR"/>
              </w:rPr>
            </w:pPr>
            <w:r>
              <w:rPr>
                <w:rFonts w:ascii="Times New Roman" w:hAnsi="Times New Roman" w:hint="cs"/>
                <w:sz w:val="24"/>
                <w:szCs w:val="24"/>
                <w:lang w:bidi="fa-IR"/>
                <w:rtl/>
              </w:rPr>
              <w:t>باقیمانده</w:t>
            </w:r>
          </w:p>
        </w:tc>
        <w:tc>
          <w:tcPr>
            <w:tcW w:w="1440" w:type="dxa"/>
            <w:tcBorders>
              <w:top w:val="single" w:sz="8" w:space="0" w:color="9BBB59"/>
              <w:left w:val="nil"/>
              <w:bottom w:val="single" w:sz="8" w:space="0" w:color="9BBB59"/>
              <w:right w:val="nil"/>
            </w:tcBorders>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tcBorders>
              <w:top w:val="single" w:sz="8" w:space="0" w:color="9BBB59"/>
              <w:left w:val="nil"/>
              <w:bottom w:val="single" w:sz="8" w:space="0" w:color="9BBB59"/>
              <w:right w:val="nil"/>
            </w:tcBorders>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tcBorders>
              <w:top w:val="single" w:sz="8" w:space="0" w:color="9BBB59"/>
              <w:left w:val="nil"/>
              <w:bottom w:val="single" w:sz="8" w:space="0" w:color="9BBB59"/>
              <w:right w:val="nil"/>
            </w:tcBorders>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tcBorders>
              <w:top w:val="single" w:sz="8" w:space="0" w:color="9BBB59"/>
              <w:left w:val="nil"/>
              <w:bottom w:val="single" w:sz="8" w:space="0" w:color="9BBB59"/>
              <w:right w:val="nil"/>
            </w:tcBorders>
            <w:vAlign w:val="center"/>
          </w:tcPr>
          <w:p w14:paraId="561EE959"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AEAD0F9"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D5FD1E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AAEC2BD" w14:textId="77777777">
            <w:pPr>
              <w:spacing w:after="0" w:line="240" w:lineRule="auto"/>
              <w:jc w:val="center"/>
              <w:rPr>
                <w:color w:val="auto"/>
                <w:lang w:bidi="fa-IR"/>
              </w:rPr>
            </w:pPr>
            <w:r>
              <w:rPr>
                <w:rFonts w:ascii="Times New Roman" w:hAnsi="Times New Roman" w:hint="cs"/>
                <w:sz w:val="24"/>
                <w:szCs w:val="24"/>
                <w:lang w:bidi="fa-IR"/>
                <w:rtl/>
              </w:rPr>
              <w:t>۲</w:t>
            </w:r>
          </w:p>
        </w:tc>
        <w:tc>
          <w:tcPr>
            <w:tcW w:w="1298" w:type="dxa"/>
            <w:tcBorders>
              <w:top w:val="single" w:sz="8" w:space="0" w:color="9BBB59"/>
              <w:left w:val="nil"/>
              <w:bottom w:val="single" w:sz="8" w:space="0" w:color="9BBB59"/>
              <w:right w:val="nil"/>
            </w:tcBorders>
            <w:vAlign w:val="center"/>
          </w:tcPr>
          <w:p w14:paraId="5D71AA3E" w14:textId="77777777">
            <w:pPr>
              <w:spacing w:after="0" w:line="240" w:lineRule="auto"/>
              <w:jc w:val="center"/>
              <w:rPr>
                <w:color w:val="auto"/>
                <w:lang w:bidi="fa-IR"/>
              </w:rPr>
            </w:pPr>
            <w:r>
              <w:rPr>
                <w:rFonts w:ascii="Times New Roman" w:hAnsi="Times New Roman" w:hint="cs"/>
                <w:sz w:val="24"/>
                <w:szCs w:val="24"/>
                <w:lang w:bidi="fa-IR"/>
                <w:rtl/>
              </w:rPr>
              <w:t>رگرسیون</w:t>
            </w:r>
          </w:p>
        </w:tc>
        <w:tc>
          <w:tcPr>
            <w:tcW w:w="1440" w:type="dxa"/>
            <w:tcBorders>
              <w:top w:val="single" w:sz="8" w:space="0" w:color="9BBB59"/>
              <w:left w:val="nil"/>
              <w:bottom w:val="single" w:sz="8" w:space="0" w:color="9BBB59"/>
              <w:right w:val="nil"/>
            </w:tcBorders>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tcBorders>
              <w:top w:val="single" w:sz="8" w:space="0" w:color="9BBB59"/>
              <w:left w:val="nil"/>
              <w:bottom w:val="single" w:sz="8" w:space="0" w:color="9BBB59"/>
              <w:right w:val="nil"/>
            </w:tcBorders>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tcBorders>
              <w:top w:val="single" w:sz="8" w:space="0" w:color="9BBB59"/>
              <w:left w:val="nil"/>
              <w:bottom w:val="single" w:sz="8" w:space="0" w:color="9BBB59"/>
              <w:right w:val="nil"/>
            </w:tcBorders>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tcBorders>
              <w:top w:val="single" w:sz="8" w:space="0" w:color="9BBB59"/>
              <w:left w:val="nil"/>
              <w:bottom w:val="single" w:sz="8" w:space="0" w:color="9BBB59"/>
              <w:right w:val="nil"/>
            </w:tcBorders>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tcBorders>
              <w:top w:val="single" w:sz="8" w:space="0" w:color="9BBB59"/>
              <w:left w:val="nil"/>
              <w:bottom w:val="single" w:sz="8" w:space="0" w:color="9BBB59"/>
              <w:right w:val="nil"/>
            </w:tcBorders>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tcBorders>
              <w:top w:val="single" w:sz="8" w:space="0" w:color="9BBB59"/>
              <w:left w:val="nil"/>
              <w:bottom w:val="single" w:sz="8" w:space="0" w:color="9BBB59"/>
              <w:right w:val="nil"/>
            </w:tcBorders>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tcBorders>
              <w:top w:val="single" w:sz="8" w:space="0" w:color="9BBB59"/>
              <w:left w:val="nil"/>
              <w:bottom w:val="single" w:sz="8" w:space="0" w:color="9BBB59"/>
              <w:right w:val="nil"/>
            </w:tcBorders>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047A14E"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6703FC15" w14:textId="77777777">
            <w:pPr>
              <w:spacing w:after="0" w:line="240" w:lineRule="auto"/>
              <w:jc w:val="center"/>
              <w:rPr>
                <w:color w:val="auto"/>
                <w:lang w:bidi="fa-IR"/>
              </w:rPr>
            </w:pPr>
            <w:r>
              <w:rPr>
                <w:rFonts w:ascii="Times New Roman" w:hAnsi="Times New Roman" w:hint="cs"/>
                <w:sz w:val="24"/>
                <w:szCs w:val="24"/>
                <w:lang w:bidi="fa-IR"/>
                <w:rtl/>
              </w:rPr>
              <w:t>باقیمانده</w:t>
            </w:r>
          </w:p>
        </w:tc>
        <w:tc>
          <w:tcPr>
            <w:tcW w:w="1440" w:type="dxa"/>
            <w:tcBorders>
              <w:top w:val="single" w:sz="8" w:space="0" w:color="9BBB59"/>
              <w:left w:val="nil"/>
              <w:bottom w:val="single" w:sz="8" w:space="0" w:color="9BBB59"/>
              <w:right w:val="nil"/>
            </w:tcBorders>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tcBorders>
              <w:top w:val="single" w:sz="8" w:space="0" w:color="9BBB59"/>
              <w:left w:val="nil"/>
              <w:bottom w:val="single" w:sz="8" w:space="0" w:color="9BBB59"/>
              <w:right w:val="nil"/>
            </w:tcBorders>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tcBorders>
              <w:top w:val="single" w:sz="8" w:space="0" w:color="9BBB59"/>
              <w:left w:val="nil"/>
              <w:bottom w:val="single" w:sz="8" w:space="0" w:color="9BBB59"/>
              <w:right w:val="nil"/>
            </w:tcBorders>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tcBorders>
              <w:top w:val="single" w:sz="8" w:space="0" w:color="9BBB59"/>
              <w:left w:val="nil"/>
              <w:bottom w:val="single" w:sz="8" w:space="0" w:color="9BBB59"/>
              <w:right w:val="nil"/>
            </w:tcBorders>
            <w:vAlign w:val="center"/>
          </w:tcPr>
          <w:p w14:paraId="38A4C2D3"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23D2F783"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6F6E34C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9F5575D" w14:textId="77777777">
            <w:pPr>
              <w:spacing w:after="0" w:line="240" w:lineRule="auto"/>
              <w:jc w:val="center"/>
              <w:rPr>
                <w:color w:val="auto"/>
                <w:lang w:bidi="fa-IR"/>
              </w:rPr>
            </w:pPr>
            <w:r>
              <w:rPr>
                <w:rFonts w:ascii="Times New Roman" w:hAnsi="Times New Roman" w:hint="cs"/>
                <w:sz w:val="24"/>
                <w:szCs w:val="24"/>
                <w:lang w:bidi="fa-IR"/>
                <w:rtl/>
              </w:rPr>
              <w:t>۳</w:t>
            </w:r>
          </w:p>
        </w:tc>
        <w:tc>
          <w:tcPr>
            <w:tcW w:w="1298" w:type="dxa"/>
            <w:tcBorders>
              <w:top w:val="single" w:sz="8" w:space="0" w:color="9BBB59"/>
              <w:left w:val="nil"/>
              <w:bottom w:val="single" w:sz="8" w:space="0" w:color="9BBB59"/>
              <w:right w:val="nil"/>
            </w:tcBorders>
            <w:vAlign w:val="center"/>
          </w:tcPr>
          <w:p w14:paraId="34255E55" w14:textId="77777777">
            <w:pPr>
              <w:spacing w:after="0" w:line="240" w:lineRule="auto"/>
              <w:jc w:val="center"/>
              <w:rPr>
                <w:color w:val="auto"/>
                <w:lang w:bidi="fa-IR"/>
              </w:rPr>
            </w:pPr>
            <w:r>
              <w:rPr>
                <w:rFonts w:ascii="Times New Roman" w:hAnsi="Times New Roman" w:hint="cs"/>
                <w:sz w:val="24"/>
                <w:szCs w:val="24"/>
                <w:lang w:bidi="fa-IR"/>
                <w:rtl/>
              </w:rPr>
              <w:t>رگرسیون</w:t>
            </w:r>
          </w:p>
        </w:tc>
        <w:tc>
          <w:tcPr>
            <w:tcW w:w="1440" w:type="dxa"/>
            <w:tcBorders>
              <w:top w:val="single" w:sz="8" w:space="0" w:color="9BBB59"/>
              <w:left w:val="nil"/>
              <w:bottom w:val="single" w:sz="8" w:space="0" w:color="9BBB59"/>
              <w:right w:val="nil"/>
            </w:tcBorders>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tcBorders>
              <w:top w:val="single" w:sz="8" w:space="0" w:color="9BBB59"/>
              <w:left w:val="nil"/>
              <w:bottom w:val="single" w:sz="8" w:space="0" w:color="9BBB59"/>
              <w:right w:val="nil"/>
            </w:tcBorders>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tcBorders>
              <w:top w:val="single" w:sz="8" w:space="0" w:color="9BBB59"/>
              <w:left w:val="nil"/>
              <w:bottom w:val="single" w:sz="8" w:space="0" w:color="9BBB59"/>
              <w:right w:val="nil"/>
            </w:tcBorders>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tcBorders>
              <w:top w:val="single" w:sz="8" w:space="0" w:color="9BBB59"/>
              <w:left w:val="nil"/>
              <w:bottom w:val="single" w:sz="8" w:space="0" w:color="9BBB59"/>
              <w:right w:val="nil"/>
            </w:tcBorders>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tcBorders>
              <w:top w:val="single" w:sz="8" w:space="0" w:color="9BBB59"/>
              <w:left w:val="nil"/>
              <w:bottom w:val="single" w:sz="8" w:space="0" w:color="9BBB59"/>
              <w:right w:val="nil"/>
            </w:tcBorders>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tcBorders>
              <w:top w:val="single" w:sz="8" w:space="0" w:color="9BBB59"/>
              <w:left w:val="nil"/>
              <w:bottom w:val="single" w:sz="8" w:space="0" w:color="9BBB59"/>
              <w:right w:val="nil"/>
            </w:tcBorders>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tcBorders>
              <w:top w:val="single" w:sz="8" w:space="0" w:color="9BBB59"/>
              <w:left w:val="nil"/>
              <w:bottom w:val="single" w:sz="8" w:space="0" w:color="9BBB59"/>
              <w:right w:val="nil"/>
            </w:tcBorders>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8CD8671"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4FAB5638" w14:textId="77777777">
            <w:pPr>
              <w:spacing w:after="0" w:line="240" w:lineRule="auto"/>
              <w:jc w:val="center"/>
              <w:rPr>
                <w:color w:val="auto"/>
                <w:lang w:bidi="fa-IR"/>
              </w:rPr>
            </w:pPr>
            <w:r>
              <w:rPr>
                <w:rFonts w:ascii="Times New Roman" w:hAnsi="Times New Roman" w:hint="cs"/>
                <w:sz w:val="24"/>
                <w:szCs w:val="24"/>
                <w:lang w:bidi="fa-IR"/>
                <w:rtl/>
              </w:rPr>
              <w:t>باقیمانده</w:t>
            </w:r>
          </w:p>
        </w:tc>
        <w:tc>
          <w:tcPr>
            <w:tcW w:w="1440" w:type="dxa"/>
            <w:tcBorders>
              <w:top w:val="single" w:sz="8" w:space="0" w:color="9BBB59"/>
              <w:left w:val="nil"/>
              <w:bottom w:val="single" w:sz="8" w:space="0" w:color="9BBB59"/>
              <w:right w:val="nil"/>
            </w:tcBorders>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tcBorders>
              <w:top w:val="single" w:sz="8" w:space="0" w:color="9BBB59"/>
              <w:left w:val="nil"/>
              <w:bottom w:val="single" w:sz="8" w:space="0" w:color="9BBB59"/>
              <w:right w:val="nil"/>
            </w:tcBorders>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tcBorders>
              <w:top w:val="single" w:sz="8" w:space="0" w:color="9BBB59"/>
              <w:left w:val="nil"/>
              <w:bottom w:val="single" w:sz="8" w:space="0" w:color="9BBB59"/>
              <w:right w:val="nil"/>
            </w:tcBorders>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tcBorders>
              <w:top w:val="single" w:sz="8" w:space="0" w:color="9BBB59"/>
              <w:left w:val="nil"/>
              <w:bottom w:val="single" w:sz="8" w:space="0" w:color="9BBB59"/>
              <w:right w:val="nil"/>
            </w:tcBorders>
            <w:vAlign w:val="center"/>
          </w:tcPr>
          <w:p w14:paraId="0CBA2DD5"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5D7CECC4"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C93F160"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6F742E1" w14:textId="77777777">
            <w:pPr>
              <w:spacing w:after="0" w:line="240" w:lineRule="auto"/>
              <w:jc w:val="center"/>
              <w:rPr>
                <w:color w:val="auto"/>
                <w:lang w:bidi="fa-IR"/>
              </w:rPr>
            </w:pPr>
            <w:r>
              <w:rPr>
                <w:rFonts w:ascii="Times New Roman" w:hAnsi="Times New Roman" w:hint="cs"/>
                <w:sz w:val="24"/>
                <w:szCs w:val="24"/>
                <w:lang w:bidi="fa-IR"/>
                <w:rtl/>
              </w:rPr>
              <w:t>۴</w:t>
            </w:r>
          </w:p>
        </w:tc>
        <w:tc>
          <w:tcPr>
            <w:tcW w:w="1298" w:type="dxa"/>
            <w:tcBorders>
              <w:top w:val="single" w:sz="8" w:space="0" w:color="9BBB59"/>
              <w:left w:val="nil"/>
              <w:bottom w:val="single" w:sz="8" w:space="0" w:color="9BBB59"/>
              <w:right w:val="nil"/>
            </w:tcBorders>
            <w:vAlign w:val="center"/>
          </w:tcPr>
          <w:p w14:paraId="66CD90AC" w14:textId="77777777">
            <w:pPr>
              <w:spacing w:after="0" w:line="240" w:lineRule="auto"/>
              <w:jc w:val="center"/>
              <w:rPr>
                <w:color w:val="auto"/>
                <w:lang w:bidi="fa-IR"/>
              </w:rPr>
            </w:pPr>
            <w:r>
              <w:rPr>
                <w:rFonts w:ascii="Times New Roman" w:hAnsi="Times New Roman" w:hint="cs"/>
                <w:sz w:val="24"/>
                <w:szCs w:val="24"/>
                <w:lang w:bidi="fa-IR"/>
                <w:rtl/>
              </w:rPr>
              <w:t>رگرسیون</w:t>
            </w:r>
          </w:p>
        </w:tc>
        <w:tc>
          <w:tcPr>
            <w:tcW w:w="1440" w:type="dxa"/>
            <w:tcBorders>
              <w:top w:val="single" w:sz="8" w:space="0" w:color="9BBB59"/>
              <w:left w:val="nil"/>
              <w:bottom w:val="single" w:sz="8" w:space="0" w:color="9BBB59"/>
              <w:right w:val="nil"/>
            </w:tcBorders>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tcBorders>
              <w:top w:val="single" w:sz="8" w:space="0" w:color="9BBB59"/>
              <w:left w:val="nil"/>
              <w:bottom w:val="single" w:sz="8" w:space="0" w:color="9BBB59"/>
              <w:right w:val="nil"/>
            </w:tcBorders>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tcBorders>
              <w:top w:val="single" w:sz="8" w:space="0" w:color="9BBB59"/>
              <w:left w:val="nil"/>
              <w:bottom w:val="single" w:sz="8" w:space="0" w:color="9BBB59"/>
              <w:right w:val="nil"/>
            </w:tcBorders>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tcBorders>
              <w:top w:val="single" w:sz="8" w:space="0" w:color="9BBB59"/>
              <w:left w:val="nil"/>
              <w:bottom w:val="single" w:sz="8" w:space="0" w:color="9BBB59"/>
              <w:right w:val="nil"/>
            </w:tcBorders>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tcBorders>
              <w:top w:val="single" w:sz="8" w:space="0" w:color="9BBB59"/>
              <w:left w:val="nil"/>
              <w:bottom w:val="single" w:sz="8" w:space="0" w:color="9BBB59"/>
              <w:right w:val="nil"/>
            </w:tcBorders>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tcBorders>
              <w:top w:val="single" w:sz="8" w:space="0" w:color="9BBB59"/>
              <w:left w:val="nil"/>
              <w:bottom w:val="single" w:sz="8" w:space="0" w:color="9BBB59"/>
              <w:right w:val="nil"/>
            </w:tcBorders>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tcBorders>
              <w:top w:val="single" w:sz="8" w:space="0" w:color="9BBB59"/>
              <w:left w:val="nil"/>
              <w:bottom w:val="single" w:sz="8" w:space="0" w:color="9BBB59"/>
              <w:right w:val="nil"/>
            </w:tcBorders>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F2E6C6D"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30257E2" w14:textId="77777777">
            <w:pPr>
              <w:spacing w:after="0" w:line="240" w:lineRule="auto"/>
              <w:jc w:val="center"/>
              <w:rPr>
                <w:color w:val="auto"/>
                <w:lang w:bidi="fa-IR"/>
              </w:rPr>
            </w:pPr>
            <w:r>
              <w:rPr>
                <w:rFonts w:ascii="Times New Roman" w:hAnsi="Times New Roman" w:hint="cs"/>
                <w:sz w:val="24"/>
                <w:szCs w:val="24"/>
                <w:lang w:bidi="fa-IR"/>
                <w:rtl/>
              </w:rPr>
              <w:t>باقیمانده</w:t>
            </w:r>
          </w:p>
        </w:tc>
        <w:tc>
          <w:tcPr>
            <w:tcW w:w="1440" w:type="dxa"/>
            <w:tcBorders>
              <w:top w:val="single" w:sz="8" w:space="0" w:color="9BBB59"/>
              <w:left w:val="nil"/>
              <w:bottom w:val="single" w:sz="8" w:space="0" w:color="9BBB59"/>
              <w:right w:val="nil"/>
            </w:tcBorders>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tcBorders>
              <w:top w:val="single" w:sz="8" w:space="0" w:color="9BBB59"/>
              <w:left w:val="nil"/>
              <w:bottom w:val="single" w:sz="8" w:space="0" w:color="9BBB59"/>
              <w:right w:val="nil"/>
            </w:tcBorders>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tcBorders>
              <w:top w:val="single" w:sz="8" w:space="0" w:color="9BBB59"/>
              <w:left w:val="nil"/>
              <w:bottom w:val="single" w:sz="8" w:space="0" w:color="9BBB59"/>
              <w:right w:val="nil"/>
            </w:tcBorders>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tcBorders>
              <w:top w:val="single" w:sz="8" w:space="0" w:color="9BBB59"/>
              <w:left w:val="nil"/>
              <w:bottom w:val="single" w:sz="8" w:space="0" w:color="9BBB59"/>
              <w:right w:val="nil"/>
            </w:tcBorders>
            <w:vAlign w:val="center"/>
          </w:tcPr>
          <w:p w14:paraId="75FE9E1C"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4404905B"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7E22DA62"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autoSpaceDE/>
        <w:autoSpaceDN/>
        <w:adjustRightInd/>
        <w:spacing w:line="276" w:lineRule="auto"/>
        <w:ind w:firstLine="397"/>
        <w:jc w:val="both"/>
        <w:rPr>
          <w:rFonts w:cs="B Lotus" w:ascii="Times New Roman" w:hAnsi="Times New Roman" w:eastAsia="Times New Roman"/>
          <w:color w:val="000000"/>
          <w:lang w:bidi="fa-IR"/>
          <w:sz w:val="24"/>
          <w:szCs w:val="24"/>
          <w:b/>
          <w:bCs/>
        </w:rPr>
      </w:pPr>
      <w:bookmarkStart w:id="150" w:name="_Toc238572112"/>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۹</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ضرایب رگرسیون گام به گام اضطراب مرگ بر روی متغیرهای پیش بین</w:t>
      </w:r>
      <w:bookmarkEnd w:id="150"/>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016"/>
        <w:gridCol w:w="1691"/>
        <w:gridCol w:w="1096"/>
        <w:gridCol w:w="1111"/>
        <w:gridCol w:w="1156"/>
      </w:tblGrid>
      <w:tr w14:paraId="5190637F" w14:textId="77777777">
        <w:trPr>
          <w:cantSplit/>
          <w:tblHeader/>
          <w:jc w:val="center"/>
        </w:trPr>
        <w:tc>
          <w:tcPr>
            <w:tcW w:w="2692" w:type="dxa"/>
            <w:tcBorders>
              <w:top w:val="single" w:sz="8" w:space="0" w:color="9BBB59"/>
              <w:left w:val="nil"/>
              <w:bottom w:val="single" w:sz="8" w:space="0" w:color="9BBB59"/>
              <w:right w:val="nil"/>
              <w:tr2bl w:val="single" w:sz="4" w:space="0" w:color="auto"/>
            </w:tcBorders>
            <w:vAlign w:val="center"/>
          </w:tcPr>
          <w:p w14:paraId="03424D75" w14:textId="77777777">
            <w:pPr>
              <w:pStyle w:val="Normal"/>
              <w:bidi/>
              <w:spacing w:before="0" w:after="0"/>
              <w:jc w:val="center"/>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tcBorders>
              <w:top w:val="single" w:sz="8" w:space="0" w:color="9BBB59"/>
              <w:left w:val="nil"/>
              <w:bottom w:val="single" w:sz="8" w:space="0" w:color="9BBB59"/>
              <w:right w:val="nil"/>
            </w:tcBorders>
            <w:vAlign w:val="center"/>
          </w:tcPr>
          <w:p w14:paraId="21A234FB" w14:textId="77777777">
            <w:pPr>
              <w:pStyle w:val="Normal"/>
              <w:bidi/>
              <w:spacing w:before="0" w:after="0"/>
              <w:jc w:val="center"/>
              <w:rPr>
                <w:rFonts w:cs="B Lotus"/>
                <w:color w:val="auto"/>
                <w:sz w:val="28"/>
                <w:szCs w:val="28"/>
                <w:lang w:bidi="fa-IR"/>
              </w:rPr>
            </w:pPr>
            <w:r>
              <w:rPr>
                <w:b/>
                <w:bCs/>
                <w:rtl w:val="0"/>
                <w:lang w:val="en-US"/>
              </w:rPr>
              <w:t>B</w:t>
            </w:r>
          </w:p>
        </w:tc>
        <w:tc>
          <w:tcPr>
            <w:tcW w:w="1674" w:type="dxa"/>
            <w:tcBorders>
              <w:top w:val="single" w:sz="8" w:space="0" w:color="9BBB59"/>
              <w:left w:val="nil"/>
              <w:bottom w:val="single" w:sz="8" w:space="0" w:color="9BBB59"/>
              <w:right w:val="nil"/>
            </w:tcBorders>
            <w:vAlign w:val="center"/>
          </w:tcPr>
          <w:p w14:paraId="66D752DB" w14:textId="77777777">
            <w:pPr>
              <w:pStyle w:val="Normal"/>
              <w:bidi/>
              <w:spacing w:before="0" w:after="0"/>
              <w:jc w:val="center"/>
              <w:rPr>
                <w:rFonts w:ascii="Times New Roman" w:hAnsi="Times New Roman" w:cs="B Lotus"/>
                <w:color w:val="auto"/>
                <w:sz w:val="28"/>
                <w:szCs w:val="28"/>
                <w:lang w:bidi="fa-IR"/>
              </w:rPr>
            </w:pPr>
            <w:r>
              <w:rPr>
                <w:rFonts w:cs="B Lotus" w:hint="cs"/>
                <w:b/>
                <w:bCs/>
                <w:lang w:bidi="fa-IR"/>
                <w:rtl/>
              </w:rPr>
              <w:t>خطای استاندارد</w:t>
            </w:r>
          </w:p>
        </w:tc>
        <w:tc>
          <w:tcPr>
            <w:tcW w:w="1085" w:type="dxa"/>
            <w:tcBorders>
              <w:top w:val="single" w:sz="8" w:space="0" w:color="9BBB59"/>
              <w:left w:val="nil"/>
              <w:bottom w:val="single" w:sz="8" w:space="0" w:color="9BBB59"/>
              <w:right w:val="nil"/>
            </w:tcBorders>
            <w:vAlign w:val="center"/>
          </w:tcPr>
          <w:p w14:paraId="6D928BF3" w14:textId="77777777">
            <w:pPr>
              <w:pStyle w:val="Normal"/>
              <w:bidi/>
              <w:spacing w:before="0" w:after="0"/>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tcBorders>
              <w:top w:val="single" w:sz="8" w:space="0" w:color="9BBB59"/>
              <w:left w:val="nil"/>
              <w:bottom w:val="single" w:sz="8" w:space="0" w:color="9BBB59"/>
              <w:right w:val="nil"/>
            </w:tcBorders>
            <w:vAlign w:val="center"/>
          </w:tcPr>
          <w:p w14:paraId="2A0FD4CD" w14:textId="77777777">
            <w:pPr>
              <w:pStyle w:val="Normal"/>
              <w:bidi/>
              <w:spacing w:before="0" w:after="0"/>
              <w:jc w:val="center"/>
              <w:rPr>
                <w:rFonts w:cs="B Lotus"/>
                <w:color w:val="auto"/>
                <w:sz w:val="28"/>
                <w:szCs w:val="28"/>
                <w:lang w:bidi="fa-IR"/>
              </w:rPr>
            </w:pPr>
            <w:r>
              <w:rPr>
                <w:b/>
                <w:bCs/>
                <w:rtl w:val="0"/>
                <w:lang w:val="en-US"/>
              </w:rPr>
              <w:t>t</w:t>
            </w:r>
          </w:p>
        </w:tc>
        <w:tc>
          <w:tcPr>
            <w:tcW w:w="1145" w:type="dxa"/>
            <w:tcBorders>
              <w:top w:val="single" w:sz="8" w:space="0" w:color="9BBB59"/>
              <w:left w:val="nil"/>
              <w:bottom w:val="single" w:sz="8" w:space="0" w:color="9BBB59"/>
              <w:right w:val="nil"/>
            </w:tcBorders>
            <w:vAlign w:val="center"/>
          </w:tcPr>
          <w:p w14:paraId="3C638920" w14:textId="77777777">
            <w:pPr>
              <w:pStyle w:val="Normal"/>
              <w:bidi/>
              <w:spacing w:before="0" w:after="0"/>
              <w:jc w:val="center"/>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B45D4EE"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ثابت</w:t>
            </w:r>
          </w:p>
        </w:tc>
        <w:tc>
          <w:tcPr>
            <w:tcW w:w="1006" w:type="dxa"/>
            <w:tcBorders>
              <w:top w:val="single" w:sz="8" w:space="0" w:color="9BBB59"/>
              <w:left w:val="nil"/>
              <w:bottom w:val="single" w:sz="8" w:space="0" w:color="9BBB59"/>
              <w:right w:val="nil"/>
            </w:tcBorders>
            <w:vAlign w:val="center"/>
          </w:tcPr>
          <w:p w14:paraId="3106877A" w14:textId="77777777">
            <w:pPr>
              <w:pStyle w:val="Normal"/>
              <w:bidi/>
              <w:spacing w:before="0" w:after="0"/>
              <w:jc w:val="center"/>
              <w:rPr>
                <w:rFonts w:cs="B Lotus"/>
                <w:color w:val="auto"/>
                <w:sz w:val="28"/>
                <w:szCs w:val="28"/>
                <w:lang w:bidi="fa-IR"/>
              </w:rPr>
            </w:pPr>
            <w:r>
              <w:rPr>
                <w:rFonts w:cs="B Lotus"/>
                <w:rtl/>
                <w:lang w:bidi="fa-IR"/>
              </w:rPr>
              <w:t>۸۲/۵۷</w:t>
            </w:r>
          </w:p>
        </w:tc>
        <w:tc>
          <w:tcPr>
            <w:tcW w:w="1674" w:type="dxa"/>
            <w:tcBorders>
              <w:top w:val="single" w:sz="8" w:space="0" w:color="9BBB59"/>
              <w:left w:val="nil"/>
              <w:bottom w:val="single" w:sz="8" w:space="0" w:color="9BBB59"/>
              <w:right w:val="nil"/>
            </w:tcBorders>
            <w:vAlign w:val="center"/>
          </w:tcPr>
          <w:p w14:paraId="62882511"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۱۱/۴</w:t>
            </w:r>
          </w:p>
        </w:tc>
        <w:tc>
          <w:tcPr>
            <w:tcW w:w="1085" w:type="dxa"/>
            <w:tcBorders>
              <w:top w:val="single" w:sz="8" w:space="0" w:color="9BBB59"/>
              <w:left w:val="nil"/>
              <w:bottom w:val="single" w:sz="8" w:space="0" w:color="9BBB59"/>
              <w:right w:val="nil"/>
            </w:tcBorders>
            <w:vAlign w:val="center"/>
          </w:tcPr>
          <w:p w14:paraId="1C02DD89" w14:textId="77777777">
            <w:pPr>
              <w:pStyle w:val="Normal"/>
              <w:bidi/>
              <w:spacing w:before="0" w:after="0"/>
              <w:jc w:val="center"/>
              <w:rPr>
                <w:rFonts w:ascii="Times New Roman" w:hAnsi="Times New Roman" w:cs="B Lotus"/>
                <w:color w:val="auto"/>
                <w:sz w:val="28"/>
                <w:szCs w:val="28"/>
                <w:lang w:bidi="fa-IR"/>
              </w:rPr>
            </w:pPr>
            <w:r>
              <w:rPr>
                <w:rFonts w:eastAsia="Times New Roman" w:cs="B Lotus"/>
                <w:rtl/>
                <w:lang w:bidi="fa-IR"/>
              </w:rPr>
              <w:t>-</w:t>
            </w:r>
          </w:p>
        </w:tc>
        <w:tc>
          <w:tcPr>
            <w:tcW w:w="1100" w:type="dxa"/>
            <w:tcBorders>
              <w:top w:val="single" w:sz="8" w:space="0" w:color="9BBB59"/>
              <w:left w:val="nil"/>
              <w:bottom w:val="single" w:sz="8" w:space="0" w:color="9BBB59"/>
              <w:right w:val="nil"/>
            </w:tcBorders>
            <w:vAlign w:val="center"/>
          </w:tcPr>
          <w:p w14:paraId="34F99AE0" w14:textId="77777777">
            <w:pPr>
              <w:pStyle w:val="Normal"/>
              <w:bidi/>
              <w:spacing w:before="0" w:after="0"/>
              <w:jc w:val="center"/>
              <w:rPr>
                <w:rFonts w:cs="B Lotus"/>
                <w:color w:val="auto"/>
                <w:sz w:val="28"/>
                <w:szCs w:val="28"/>
                <w:lang w:bidi="fa-IR"/>
              </w:rPr>
            </w:pPr>
            <w:r>
              <w:rPr>
                <w:rFonts w:cs="B Lotus"/>
                <w:rtl/>
                <w:lang w:bidi="fa-IR"/>
              </w:rPr>
              <w:t>۰۷/۱۴</w:t>
            </w:r>
          </w:p>
        </w:tc>
        <w:tc>
          <w:tcPr>
            <w:tcW w:w="1145" w:type="dxa"/>
            <w:tcBorders>
              <w:top w:val="single" w:sz="8" w:space="0" w:color="9BBB59"/>
              <w:left w:val="nil"/>
              <w:bottom w:val="single" w:sz="8" w:space="0" w:color="9BBB59"/>
              <w:right w:val="nil"/>
            </w:tcBorders>
            <w:vAlign w:val="center"/>
          </w:tcPr>
          <w:p w14:paraId="66B74F80"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651A611"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اضطراب سلامتی</w:t>
            </w:r>
          </w:p>
        </w:tc>
        <w:tc>
          <w:tcPr>
            <w:tcW w:w="1006" w:type="dxa"/>
            <w:tcBorders>
              <w:top w:val="single" w:sz="8" w:space="0" w:color="9BBB59"/>
              <w:left w:val="nil"/>
              <w:bottom w:val="single" w:sz="8" w:space="0" w:color="9BBB59"/>
              <w:right w:val="nil"/>
            </w:tcBorders>
            <w:vAlign w:val="center"/>
          </w:tcPr>
          <w:p w14:paraId="255CB092" w14:textId="77777777">
            <w:pPr>
              <w:pStyle w:val="Normal"/>
              <w:bidi/>
              <w:spacing w:before="0" w:after="0"/>
              <w:jc w:val="center"/>
              <w:rPr>
                <w:rFonts w:cs="B Lotus"/>
                <w:color w:val="auto"/>
                <w:sz w:val="28"/>
                <w:szCs w:val="28"/>
                <w:lang w:bidi="fa-IR"/>
              </w:rPr>
            </w:pPr>
            <w:r>
              <w:rPr>
                <w:rFonts w:cs="B Lotus"/>
                <w:rtl/>
                <w:lang w:bidi="fa-IR"/>
              </w:rPr>
              <w:t>۴۸/۰</w:t>
            </w:r>
          </w:p>
        </w:tc>
        <w:tc>
          <w:tcPr>
            <w:tcW w:w="1674" w:type="dxa"/>
            <w:tcBorders>
              <w:top w:val="single" w:sz="8" w:space="0" w:color="9BBB59"/>
              <w:left w:val="nil"/>
              <w:bottom w:val="single" w:sz="8" w:space="0" w:color="9BBB59"/>
              <w:right w:val="nil"/>
            </w:tcBorders>
            <w:vAlign w:val="center"/>
          </w:tcPr>
          <w:p w14:paraId="6FEE9512"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۰۷/۰</w:t>
            </w:r>
          </w:p>
        </w:tc>
        <w:tc>
          <w:tcPr>
            <w:tcW w:w="1085" w:type="dxa"/>
            <w:tcBorders>
              <w:top w:val="single" w:sz="8" w:space="0" w:color="9BBB59"/>
              <w:left w:val="nil"/>
              <w:bottom w:val="single" w:sz="8" w:space="0" w:color="9BBB59"/>
              <w:right w:val="nil"/>
            </w:tcBorders>
            <w:vAlign w:val="center"/>
          </w:tcPr>
          <w:p w14:paraId="2ED9D10C" w14:textId="77777777">
            <w:pPr>
              <w:pStyle w:val="Normal"/>
              <w:bidi/>
              <w:spacing w:before="0" w:after="0"/>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tcBorders>
              <w:top w:val="single" w:sz="8" w:space="0" w:color="9BBB59"/>
              <w:left w:val="nil"/>
              <w:bottom w:val="single" w:sz="8" w:space="0" w:color="9BBB59"/>
              <w:right w:val="nil"/>
            </w:tcBorders>
            <w:vAlign w:val="center"/>
          </w:tcPr>
          <w:p w14:paraId="7535766C" w14:textId="77777777">
            <w:pPr>
              <w:pStyle w:val="Normal"/>
              <w:bidi/>
              <w:spacing w:before="0" w:after="0"/>
              <w:jc w:val="center"/>
              <w:rPr>
                <w:rFonts w:cs="B Lotus"/>
                <w:color w:val="auto"/>
                <w:sz w:val="28"/>
                <w:szCs w:val="28"/>
                <w:lang w:bidi="fa-IR"/>
              </w:rPr>
            </w:pPr>
            <w:r>
              <w:rPr>
                <w:rFonts w:cs="B Lotus"/>
                <w:rtl/>
                <w:lang w:bidi="fa-IR"/>
              </w:rPr>
              <w:t>۸۵/۶</w:t>
            </w:r>
          </w:p>
        </w:tc>
        <w:tc>
          <w:tcPr>
            <w:tcW w:w="1145" w:type="dxa"/>
            <w:tcBorders>
              <w:top w:val="single" w:sz="8" w:space="0" w:color="9BBB59"/>
              <w:left w:val="nil"/>
              <w:bottom w:val="single" w:sz="8" w:space="0" w:color="9BBB59"/>
              <w:right w:val="nil"/>
            </w:tcBorders>
            <w:vAlign w:val="center"/>
          </w:tcPr>
          <w:p w14:paraId="1F0D0EDD"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FCF657A"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هوش معنوی</w:t>
            </w:r>
          </w:p>
        </w:tc>
        <w:tc>
          <w:tcPr>
            <w:tcW w:w="1006" w:type="dxa"/>
            <w:tcBorders>
              <w:top w:val="single" w:sz="8" w:space="0" w:color="9BBB59"/>
              <w:left w:val="nil"/>
              <w:bottom w:val="single" w:sz="8" w:space="0" w:color="9BBB59"/>
              <w:right w:val="nil"/>
            </w:tcBorders>
            <w:vAlign w:val="center"/>
          </w:tcPr>
          <w:p w14:paraId="1274C66D" w14:textId="77777777">
            <w:pPr>
              <w:pStyle w:val="Normal"/>
              <w:bidi/>
              <w:spacing w:before="0" w:after="0"/>
              <w:jc w:val="center"/>
              <w:rPr>
                <w:rFonts w:cs="B Lotus"/>
                <w:color w:val="auto"/>
                <w:sz w:val="28"/>
                <w:szCs w:val="28"/>
                <w:lang w:bidi="fa-IR"/>
              </w:rPr>
            </w:pPr>
            <w:r>
              <w:rPr>
                <w:rFonts w:cs="B Lotus"/>
                <w:rtl/>
                <w:lang w:bidi="fa-IR"/>
              </w:rPr>
              <w:t>۳۱/۰-</w:t>
            </w:r>
          </w:p>
        </w:tc>
        <w:tc>
          <w:tcPr>
            <w:tcW w:w="1674" w:type="dxa"/>
            <w:tcBorders>
              <w:top w:val="single" w:sz="8" w:space="0" w:color="9BBB59"/>
              <w:left w:val="nil"/>
              <w:bottom w:val="single" w:sz="8" w:space="0" w:color="9BBB59"/>
              <w:right w:val="nil"/>
            </w:tcBorders>
            <w:vAlign w:val="center"/>
          </w:tcPr>
          <w:p w14:paraId="24ECF38E"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۰۸/۰</w:t>
            </w:r>
          </w:p>
        </w:tc>
        <w:tc>
          <w:tcPr>
            <w:tcW w:w="1085" w:type="dxa"/>
            <w:tcBorders>
              <w:top w:val="single" w:sz="8" w:space="0" w:color="9BBB59"/>
              <w:left w:val="nil"/>
              <w:bottom w:val="single" w:sz="8" w:space="0" w:color="9BBB59"/>
              <w:right w:val="nil"/>
            </w:tcBorders>
            <w:vAlign w:val="center"/>
          </w:tcPr>
          <w:p w14:paraId="31484BA7" w14:textId="77777777">
            <w:pPr>
              <w:pStyle w:val="Normal"/>
              <w:bidi/>
              <w:spacing w:before="0" w:after="0"/>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tcBorders>
              <w:top w:val="single" w:sz="8" w:space="0" w:color="9BBB59"/>
              <w:left w:val="nil"/>
              <w:bottom w:val="single" w:sz="8" w:space="0" w:color="9BBB59"/>
              <w:right w:val="nil"/>
            </w:tcBorders>
            <w:vAlign w:val="center"/>
          </w:tcPr>
          <w:p w14:paraId="3D8B20EE" w14:textId="77777777">
            <w:pPr>
              <w:pStyle w:val="Normal"/>
              <w:bidi/>
              <w:spacing w:before="0" w:after="0"/>
              <w:jc w:val="center"/>
              <w:rPr>
                <w:rFonts w:cs="B Lotus"/>
                <w:color w:val="auto"/>
                <w:sz w:val="28"/>
                <w:szCs w:val="28"/>
                <w:lang w:bidi="fa-IR"/>
              </w:rPr>
            </w:pPr>
            <w:r>
              <w:rPr>
                <w:rFonts w:cs="B Lotus"/>
                <w:rtl/>
                <w:lang w:bidi="fa-IR"/>
              </w:rPr>
              <w:t>۸۸/۳-</w:t>
            </w:r>
          </w:p>
        </w:tc>
        <w:tc>
          <w:tcPr>
            <w:tcW w:w="1145" w:type="dxa"/>
            <w:tcBorders>
              <w:top w:val="single" w:sz="8" w:space="0" w:color="9BBB59"/>
              <w:left w:val="nil"/>
              <w:bottom w:val="single" w:sz="8" w:space="0" w:color="9BBB59"/>
              <w:right w:val="nil"/>
            </w:tcBorders>
            <w:vAlign w:val="center"/>
          </w:tcPr>
          <w:p w14:paraId="1D7B2D72"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9525CFF"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ایجاد معنای شخصی</w:t>
            </w:r>
          </w:p>
        </w:tc>
        <w:tc>
          <w:tcPr>
            <w:tcW w:w="1006" w:type="dxa"/>
            <w:tcBorders>
              <w:top w:val="single" w:sz="8" w:space="0" w:color="9BBB59"/>
              <w:left w:val="nil"/>
              <w:bottom w:val="single" w:sz="8" w:space="0" w:color="9BBB59"/>
              <w:right w:val="nil"/>
            </w:tcBorders>
            <w:vAlign w:val="center"/>
          </w:tcPr>
          <w:p w14:paraId="37C651D8" w14:textId="77777777">
            <w:pPr>
              <w:pStyle w:val="Normal"/>
              <w:bidi/>
              <w:spacing w:before="0" w:after="0"/>
              <w:jc w:val="center"/>
              <w:rPr>
                <w:rFonts w:cs="B Lotus"/>
                <w:color w:val="auto"/>
                <w:sz w:val="28"/>
                <w:szCs w:val="28"/>
                <w:lang w:bidi="fa-IR"/>
              </w:rPr>
            </w:pPr>
            <w:r>
              <w:rPr>
                <w:rFonts w:cs="B Lotus"/>
                <w:rtl/>
                <w:lang w:bidi="fa-IR"/>
              </w:rPr>
              <w:t>۲۴/۰-</w:t>
            </w:r>
          </w:p>
        </w:tc>
        <w:tc>
          <w:tcPr>
            <w:tcW w:w="1674" w:type="dxa"/>
            <w:tcBorders>
              <w:top w:val="single" w:sz="8" w:space="0" w:color="9BBB59"/>
              <w:left w:val="nil"/>
              <w:bottom w:val="single" w:sz="8" w:space="0" w:color="9BBB59"/>
              <w:right w:val="nil"/>
            </w:tcBorders>
            <w:vAlign w:val="center"/>
          </w:tcPr>
          <w:p w14:paraId="4E3E8F94"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۰۹/۰</w:t>
            </w:r>
          </w:p>
        </w:tc>
        <w:tc>
          <w:tcPr>
            <w:tcW w:w="1085" w:type="dxa"/>
            <w:tcBorders>
              <w:top w:val="single" w:sz="8" w:space="0" w:color="9BBB59"/>
              <w:left w:val="nil"/>
              <w:bottom w:val="single" w:sz="8" w:space="0" w:color="9BBB59"/>
              <w:right w:val="nil"/>
            </w:tcBorders>
            <w:vAlign w:val="center"/>
          </w:tcPr>
          <w:p w14:paraId="5116FEE0" w14:textId="77777777">
            <w:pPr>
              <w:pStyle w:val="Normal"/>
              <w:bidi/>
              <w:spacing w:before="0" w:after="0"/>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tcBorders>
              <w:top w:val="single" w:sz="8" w:space="0" w:color="9BBB59"/>
              <w:left w:val="nil"/>
              <w:bottom w:val="single" w:sz="8" w:space="0" w:color="9BBB59"/>
              <w:right w:val="nil"/>
            </w:tcBorders>
            <w:vAlign w:val="center"/>
          </w:tcPr>
          <w:p w14:paraId="7A3CB69B" w14:textId="77777777">
            <w:pPr>
              <w:pStyle w:val="Normal"/>
              <w:bidi/>
              <w:spacing w:before="0" w:after="0"/>
              <w:jc w:val="center"/>
              <w:rPr>
                <w:rFonts w:cs="B Lotus"/>
                <w:color w:val="auto"/>
                <w:sz w:val="28"/>
                <w:szCs w:val="28"/>
                <w:lang w:bidi="fa-IR"/>
              </w:rPr>
            </w:pPr>
            <w:r>
              <w:rPr>
                <w:rFonts w:cs="B Lotus"/>
                <w:rtl/>
                <w:lang w:bidi="fa-IR"/>
              </w:rPr>
              <w:t>۶۷/۲-</w:t>
            </w:r>
          </w:p>
        </w:tc>
        <w:tc>
          <w:tcPr>
            <w:tcW w:w="1145" w:type="dxa"/>
            <w:tcBorders>
              <w:top w:val="single" w:sz="8" w:space="0" w:color="9BBB59"/>
              <w:left w:val="nil"/>
              <w:bottom w:val="single" w:sz="8" w:space="0" w:color="9BBB59"/>
              <w:right w:val="nil"/>
            </w:tcBorders>
            <w:vAlign w:val="center"/>
          </w:tcPr>
          <w:p w14:paraId="06365358"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5A0F804"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tcBorders>
              <w:top w:val="single" w:sz="8" w:space="0" w:color="9BBB59"/>
              <w:left w:val="nil"/>
              <w:bottom w:val="single" w:sz="8" w:space="0" w:color="9BBB59"/>
              <w:right w:val="nil"/>
            </w:tcBorders>
            <w:vAlign w:val="center"/>
          </w:tcPr>
          <w:p w14:paraId="7B578419" w14:textId="77777777">
            <w:pPr>
              <w:pStyle w:val="Normal"/>
              <w:bidi/>
              <w:spacing w:before="0" w:after="0"/>
              <w:jc w:val="center"/>
              <w:rPr>
                <w:rFonts w:cs="B Lotus"/>
                <w:color w:val="auto"/>
                <w:sz w:val="28"/>
                <w:szCs w:val="28"/>
                <w:lang w:bidi="fa-IR"/>
              </w:rPr>
            </w:pPr>
            <w:r>
              <w:rPr>
                <w:rFonts w:cs="B Lotus"/>
                <w:rtl/>
                <w:lang w:bidi="fa-IR"/>
              </w:rPr>
              <w:t>۱۹/۰-</w:t>
            </w:r>
          </w:p>
        </w:tc>
        <w:tc>
          <w:tcPr>
            <w:tcW w:w="1674" w:type="dxa"/>
            <w:tcBorders>
              <w:top w:val="single" w:sz="8" w:space="0" w:color="9BBB59"/>
              <w:left w:val="nil"/>
              <w:bottom w:val="single" w:sz="8" w:space="0" w:color="9BBB59"/>
              <w:right w:val="nil"/>
            </w:tcBorders>
            <w:vAlign w:val="center"/>
          </w:tcPr>
          <w:p w14:paraId="67739A55"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۰۸/۰</w:t>
            </w:r>
          </w:p>
        </w:tc>
        <w:tc>
          <w:tcPr>
            <w:tcW w:w="1085" w:type="dxa"/>
            <w:tcBorders>
              <w:top w:val="single" w:sz="8" w:space="0" w:color="9BBB59"/>
              <w:left w:val="nil"/>
              <w:bottom w:val="single" w:sz="8" w:space="0" w:color="9BBB59"/>
              <w:right w:val="nil"/>
            </w:tcBorders>
            <w:vAlign w:val="center"/>
          </w:tcPr>
          <w:p w14:paraId="58F49468" w14:textId="77777777">
            <w:pPr>
              <w:pStyle w:val="Normal"/>
              <w:bidi/>
              <w:spacing w:before="0" w:after="0"/>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tcBorders>
              <w:top w:val="single" w:sz="8" w:space="0" w:color="9BBB59"/>
              <w:left w:val="nil"/>
              <w:bottom w:val="single" w:sz="8" w:space="0" w:color="9BBB59"/>
              <w:right w:val="nil"/>
            </w:tcBorders>
            <w:vAlign w:val="center"/>
          </w:tcPr>
          <w:p w14:paraId="39EE3857" w14:textId="77777777">
            <w:pPr>
              <w:pStyle w:val="Normal"/>
              <w:bidi/>
              <w:spacing w:before="0" w:after="0"/>
              <w:jc w:val="center"/>
              <w:rPr>
                <w:rFonts w:cs="B Lotus"/>
                <w:color w:val="auto"/>
                <w:sz w:val="28"/>
                <w:szCs w:val="28"/>
                <w:lang w:bidi="fa-IR"/>
              </w:rPr>
            </w:pPr>
            <w:r>
              <w:rPr>
                <w:rFonts w:cs="B Lotus"/>
                <w:rtl/>
                <w:lang w:bidi="fa-IR"/>
              </w:rPr>
              <w:t>۳۷/۲-</w:t>
            </w:r>
          </w:p>
        </w:tc>
        <w:tc>
          <w:tcPr>
            <w:tcW w:w="1145" w:type="dxa"/>
            <w:tcBorders>
              <w:top w:val="single" w:sz="8" w:space="0" w:color="9BBB59"/>
              <w:left w:val="nil"/>
              <w:bottom w:val="single" w:sz="8" w:space="0" w:color="9BBB59"/>
              <w:right w:val="nil"/>
            </w:tcBorders>
            <w:vAlign w:val="center"/>
          </w:tcPr>
          <w:p w14:paraId="02F4444A" w14:textId="77777777">
            <w:pPr>
              <w:pStyle w:val="Normal"/>
              <w:bidi/>
              <w:spacing w:before="0" w:after="0"/>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14:paraId="0F8683C2" w14:textId="2350A9A9">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همچنین 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sz w:val="56"/>
          <w:szCs w:val="56"/>
          <w:b/>
          <w:bCs/>
          <w:color w:val="000000"/>
          <w:rtl/>
          <w:lang w:bidi="fa-IR"/>
        </w:rPr>
        <w:lastRenderedPageBreak/>
        <w:t>فصل پنجم: بحث و نتیجه‌گیری</w:t>
      </w:r>
      <w:bookmarkEnd w:id="154"/>
    </w:p>
    <w:p w14:paraId="6C2E88EF" w14:textId="77777777">
      <w:pPr>
        <w:pStyle w:val="Heading2"/>
        <w:bidi/>
        <w:spacing w:before="240" w:after="100" w:line="276" w:lineRule="auto"/>
        <w:rPr>
          <w:rFonts w:ascii="Times New Roman" w:hAnsi="Times New Roman" w:eastAsia="Times New Roman" w:cs="B Titr"/>
          <w:lang w:bidi="fa-IR"/>
          <w:sz w:val="30"/>
          <w:szCs w:val="30"/>
          <w:b/>
          <w:bCs/>
          <w:color w:val="000000"/>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sz w:val="30"/>
          <w:szCs w:val="30"/>
          <w:lang w:bidi="fa-IR"/>
          <w:color w:val="000000"/>
          <w:rtl/>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Fonts w:ascii="Times New Roman" w:eastAsia="Times New Roman" w:hAnsi="Times New Roman" w:hint="cs"/>
          <w:vertAlign w:val="superscript"/>
          <w:lang w:bidi="fa-IR"/>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Fonts w:ascii="Times New Roman" w:eastAsia="Times New Roman" w:hAnsi="Times New Roman" w:hint="cs"/>
          <w:vertAlign w:val="superscript"/>
          <w:lang w:bidi="fa-IR"/>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از جمله 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همچنین،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14:paraId="61E83F48" w14:textId="77777777">
      <w:pPr>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Fonts w:ascii="Times New Roman" w:hAnsi="Times New Roman" w:hint="cs"/>
          <w:vertAlign w:val="superscript"/>
          <w:lang w:bidi="fa-IR"/>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Fonts w:ascii="Times New Roman" w:hAnsi="Times New Roman" w:hint="cs"/>
          <w:vertAlign w:val="superscript"/>
          <w:lang w:bidi="fa-IR"/>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lastRenderedPageBreak/>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همچنین 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14:paraId="25D08EC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از جمله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spacing w:before="240" w:after="100" w:line="276" w:lineRule="auto"/>
        <w:rPr>
          <w:rFonts w:ascii="Times New Roman" w:hAnsi="Times New Roman" w:eastAsia="Times New Roman" w:cs="B Titr"/>
          <w:bCs/>
          <w:lang w:bidi="fa-IR"/>
          <w:sz w:val="30"/>
          <w:szCs w:val="30"/>
          <w:b/>
          <w:color w:val="000000"/>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sz w:val="30"/>
          <w:szCs w:val="30"/>
          <w:lang w:bidi="fa-IR"/>
          <w:color w:val="000000"/>
          <w:rtl/>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14:paraId="6C696159" w14:textId="63313AF5">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همچنین،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spacing w:before="240" w:after="100" w:line="276" w:lineRule="auto"/>
        <w:rPr>
          <w:rFonts w:ascii="Times New Roman" w:hAnsi="Times New Roman" w:eastAsia="Times New Roman" w:cs="B Titr"/>
          <w:bCs/>
          <w:lang w:bidi="fa-IR"/>
          <w:sz w:val="30"/>
          <w:szCs w:val="30"/>
          <w:b/>
          <w:color w:val="000000"/>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sz w:val="30"/>
          <w:szCs w:val="30"/>
          <w:lang w:bidi="fa-IR"/>
          <w:color w:val="000000"/>
          <w:rtl/>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spacing w:before="240" w:after="100" w:line="276" w:lineRule="auto"/>
        <w:rPr>
          <w:rFonts w:ascii="Times New Roman" w:hAnsi="Times New Roman" w:eastAsia="Times New Roman" w:cs="B Titr"/>
          <w:b/>
          <w:bCs/>
          <w:lang w:bidi="fa-IR"/>
          <w:sz w:val="30"/>
          <w:szCs w:val="30"/>
          <w:color w:val="000000"/>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sz w:val="30"/>
          <w:szCs w:val="30"/>
          <w:lang w:bidi="fa-IR"/>
          <w:color w:val="000000"/>
          <w:rtl/>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spacing w:before="240" w:after="100" w:line="276" w:lineRule="auto"/>
        <w:rPr>
          <w:rFonts w:ascii="Times New Roman" w:hAnsi="Times New Roman" w:eastAsia="Times New Roman" w:cs="B Titr"/>
          <w:b/>
          <w:bCs/>
          <w:lang w:bidi="fa-IR"/>
          <w:sz w:val="30"/>
          <w:szCs w:val="30"/>
          <w:color w:val="000000"/>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sz w:val="30"/>
          <w:szCs w:val="30"/>
          <w:lang w:bidi="fa-IR"/>
          <w:color w:val="000000"/>
          <w:rtl/>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spacing w:after="0" w:line="276" w:lineRule="auto"/>
        <w:ind w:firstLine="397"/>
        <w:jc w:val="both"/>
        <w:rPr>
          <w:lang w:bidi="fa-IR"/>
        </w:rPr>
      </w:pPr>
      <w:r>
        <w:rPr>
          <w:rFonts w:ascii="Times New Roman" w:hAnsi="Times New Roman" w:hint="cs"/>
          <w:lang w:bidi="fa-IR"/>
          <w:rtl/>
        </w:rPr>
        <w:t xml:space="preserve">_ با توجه به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spacing w:after="100" w:line="276" w:lineRule="auto" w:before="0"/>
        <w:rPr>
          <w:rFonts w:ascii="Times New Roman" w:hAnsi="Times New Roman" w:eastAsia="Times New Roman" w:cs="B Titr"/>
          <w:lang w:bidi="fa-IR"/>
          <w:sz w:val="56"/>
          <w:szCs w:val="56"/>
          <w:b/>
          <w:bCs/>
          <w:color w:val="000000"/>
        </w:rPr>
      </w:pPr>
      <w:bookmarkStart w:id="235" w:name="_Toc238572101"/>
      <w:r>
        <w:rPr>
          <w:rFonts w:ascii="Times New Roman" w:hAnsi="Times New Roman" w:cs="B Titr" w:eastAsia="Times New Roman"/>
          <w:b/>
          <w:bCs/>
          <w:sz w:val="56"/>
          <w:szCs w:val="56"/>
          <w:color w:val="000000"/>
          <w:rtl/>
          <w:lang w:bidi="fa-IR"/>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autoSpaceDE/>
        <w:autoSpaceDN/>
        <w:adjustRightInd/>
        <w:spacing w:after="0" w:line="276" w:lineRule="auto" w:before="0"/>
        <w:ind w:firstLine="397"/>
        <w:jc w:val="both"/>
        <w:rPr>
          <w:rFonts w:ascii="Times New Roman" w:hAnsi="Times New Roman" w:eastAsia="Times New Roman" w:cs="B Titr"/>
          <w:color w:val="000000"/>
          <w:lang w:bidi="fa-IR"/>
          <w:sz w:val="56"/>
          <w:szCs w:val="56"/>
          <w:b/>
          <w:bCs/>
        </w:rPr>
        <w:pageBreakBefore/>
      </w:pPr>
      <w:bookmarkStart w:id="236" w:name="_Toc238572102"/>
      <w:r>
        <w:rPr>
          <w:rFonts w:ascii="Times New Roman" w:hAnsi="Times New Roman" w:cs="B Titr" w:eastAsia="Times New Roman"/>
          <w:b/>
          <w:bCs/>
          <w:sz w:val="56"/>
          <w:szCs w:val="56"/>
          <w:color w:val="000000"/>
          <w:rtl/>
          <w:lang w:bidi="fa-IR"/>
        </w:rPr>
        <w:t>منابع لاتین</w:t>
      </w:r>
      <w:bookmarkEnd w:id="236"/>
    </w:p>
    <w:p w14:paraId="0D7FF25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Abramowitz, J. S., &amp; Braddock, A. E. (2023). Psychological Treatment of Health Anxiety and Illness Anxiety Disorder. Guilford Press.</w:t>
      </w:r>
    </w:p>
    <w:p w14:paraId="0080DE3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American Psychiatric Association (2022). Diagnostic and Statistical Manual of Mental Disorders (5th ed., Text Revision; DSM-5-TR). Washington, DC: American Psychiatric Association.</w:t>
      </w:r>
    </w:p>
    <w:p w14:paraId="6ADA431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American Psychological Association. (2023). Clinical Practice Guideline for the Treatment of Depression and Anxiety in Older Adults.</w:t>
      </w:r>
    </w:p>
    <w:p w14:paraId="524DACE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Amiri, S., </w:t>
      </w:r>
      <w:r>
        <w:rPr>
          <w:rFonts w:ascii="Times New Roman" w:eastAsia="Times New Roman" w:hAnsi="Times New Roman" w:cs="Times New Roman"/>
          <w:sz w:val="24"/>
          <w:szCs w:val="24"/>
          <w:rtl w:val="0"/>
          <w:lang w:val="en-US"/>
        </w:rPr>
        <w:t>Ghaffari</w:t>
      </w:r>
      <w:r>
        <w:rPr>
          <w:rFonts w:ascii="Times New Roman" w:eastAsia="Times New Roman" w:hAnsi="Times New Roman" w:cs="Times New Roman"/>
          <w:sz w:val="24"/>
          <w:szCs w:val="24"/>
          <w:rtl w:val="0"/>
          <w:lang w:val="en-US"/>
        </w:rPr>
        <w:t xml:space="preserve">, M., &amp; </w:t>
      </w:r>
      <w:r>
        <w:rPr>
          <w:rFonts w:ascii="Times New Roman" w:eastAsia="Times New Roman" w:hAnsi="Times New Roman" w:cs="Times New Roman"/>
          <w:sz w:val="24"/>
          <w:szCs w:val="24"/>
          <w:rtl w:val="0"/>
          <w:lang w:val="en-US"/>
        </w:rPr>
        <w:t>Shafiei</w:t>
      </w:r>
      <w:r>
        <w:rPr>
          <w:rFonts w:ascii="Times New Roman" w:eastAsia="Times New Roman" w:hAnsi="Times New Roman" w:cs="Times New Roman"/>
          <w:sz w:val="24"/>
          <w:szCs w:val="24"/>
          <w:rtl w:val="0"/>
          <w:lang w:val="en-US"/>
        </w:rPr>
        <w:t>, M. (2016). The effect of spiritual intelligence on psychological health among elderly people. Aging &amp; Mental Health, 20(6), 610-617.</w:t>
      </w:r>
    </w:p>
    <w:p w14:paraId="08EE87D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Atchison, K; et al. (2024). Detection of anxiety symptoms and disorders in older adults: A diagnostic accuracy systematic review. Age and Ageing. https://doi.org/10.1093/ageing/afae122</w:t>
      </w:r>
    </w:p>
    <w:p w14:paraId="41DEE56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Atchley, R. C. (1989). A Continuity Theory of Normal Aging. The Gerontologist, 29(2), 183–190.</w:t>
      </w:r>
    </w:p>
    <w:p w14:paraId="1F1287A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Atchley, R. C. (2016). Social Forces and Aging: An Introduction to Social Gerontology (14 </w:t>
      </w:r>
      <w:r>
        <w:rPr>
          <w:rFonts w:ascii="Times New Roman" w:eastAsia="Times New Roman" w:hAnsi="Times New Roman" w:cs="Times New Roman"/>
          <w:sz w:val="24"/>
          <w:szCs w:val="24"/>
          <w:rtl w:val="0"/>
          <w:lang w:val="en-US"/>
        </w:rPr>
        <w:t>thed</w:t>
      </w:r>
      <w:r>
        <w:rPr>
          <w:rFonts w:ascii="Times New Roman" w:eastAsia="Times New Roman" w:hAnsi="Times New Roman" w:cs="Times New Roman"/>
          <w:sz w:val="24"/>
          <w:szCs w:val="24"/>
          <w:rtl w:val="0"/>
          <w:lang w:val="en-US"/>
        </w:rPr>
        <w:t>). Cengage Learning.</w:t>
      </w:r>
    </w:p>
    <w:p w14:paraId="24EA6A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Beck, J. S., &amp; Haigh, E. A. P. (2014). Advances in Cognitive Theory and Therapy: The Generic Cognitive Model. Annual Review of Clinical Psychology, 10, 1–24.</w:t>
      </w:r>
    </w:p>
    <w:p w14:paraId="5000EAB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Bolton, D; &amp; Gillett, G. (2019). The biopsychosocial model of health and disease: New philosophical and scientific developments. Palgrave Macmillan. https://doi.org/10.1007/978-3-030-11899-0</w:t>
      </w:r>
    </w:p>
    <w:p w14:paraId="4E39BE5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Campisi</w:t>
      </w:r>
      <w:r>
        <w:rPr>
          <w:rFonts w:ascii="Times New Roman" w:eastAsia="Times New Roman" w:hAnsi="Times New Roman" w:cs="Times New Roman"/>
          <w:sz w:val="24"/>
          <w:szCs w:val="24"/>
          <w:rtl w:val="0"/>
          <w:lang w:val="en-US"/>
        </w:rPr>
        <w:t>, J. (2024). Cellular Senescence and Organismal Aging. Nature Reviews Molecular Cell Biology.</w:t>
      </w:r>
    </w:p>
    <w:p w14:paraId="184797C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Chen, Y; et al. (2023). Effects of Progressive Muscle Relaxation on anxiety, sleep quality, and quality of life in older adults: A systematic review and meta-analysis. Complementary Therapies in Medicine.</w:t>
      </w:r>
    </w:p>
    <w:p w14:paraId="0D96590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Chlan</w:t>
      </w:r>
      <w:r>
        <w:rPr>
          <w:rFonts w:ascii="Times New Roman" w:eastAsia="Times New Roman" w:hAnsi="Times New Roman" w:cs="Times New Roman"/>
          <w:sz w:val="24"/>
          <w:szCs w:val="24"/>
          <w:rtl w:val="0"/>
          <w:lang w:val="en-US"/>
        </w:rPr>
        <w:t xml:space="preserve">, K.M. </w:t>
      </w:r>
      <w:r>
        <w:rPr>
          <w:rFonts w:ascii="Times New Roman" w:eastAsia="Times New Roman" w:hAnsi="Times New Roman" w:cs="Times New Roman"/>
          <w:sz w:val="24"/>
          <w:szCs w:val="24"/>
          <w:rtl w:val="0"/>
          <w:lang w:val="en-US"/>
        </w:rPr>
        <w:t>Zebracki</w:t>
      </w:r>
      <w:r>
        <w:rPr>
          <w:rFonts w:ascii="Times New Roman" w:eastAsia="Times New Roman" w:hAnsi="Times New Roman" w:cs="Times New Roman"/>
          <w:sz w:val="24"/>
          <w:szCs w:val="24"/>
          <w:rtl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lang w:val="en-US"/>
        </w:rPr>
        <w:t>injory</w:t>
      </w:r>
      <w:r>
        <w:rPr>
          <w:rFonts w:ascii="Times New Roman" w:eastAsia="Times New Roman" w:hAnsi="Times New Roman" w:cs="Times New Roman"/>
          <w:sz w:val="24"/>
          <w:szCs w:val="24"/>
          <w:rtl w:val="0"/>
          <w:lang w:val="en-US"/>
        </w:rPr>
        <w:t>. Retrieved from</w:t>
      </w:r>
    </w:p>
    <w:p w14:paraId="5BE3248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Cumming, E; &amp; Henry, W. E. (1961). Growing Old: The Process of Disengagement. New York: Basic Books.</w:t>
      </w:r>
    </w:p>
    <w:p w14:paraId="33FE5DD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Diener, E., Oishi, S., &amp; Tay, L. (2018). Advances in subjective well-being research. Nature Human </w:t>
      </w:r>
      <w:r>
        <w:rPr>
          <w:rFonts w:ascii="Times New Roman" w:eastAsia="Times New Roman" w:hAnsi="Times New Roman" w:cs="Times New Roman"/>
          <w:sz w:val="24"/>
          <w:szCs w:val="24"/>
          <w:rtl w:val="0"/>
          <w:lang w:val="en-US"/>
        </w:rPr>
        <w:t>Behaviour</w:t>
      </w:r>
      <w:r>
        <w:rPr>
          <w:rFonts w:ascii="Times New Roman" w:eastAsia="Times New Roman" w:hAnsi="Times New Roman" w:cs="Times New Roman"/>
          <w:sz w:val="24"/>
          <w:szCs w:val="24"/>
          <w:rtl w:val="0"/>
          <w:lang w:val="en-US"/>
        </w:rPr>
        <w:t>, 2(4), 253–260. HYPERLINK "https://doi.org/10.1038/s41562-018-0307-6"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://doi.org/10.1038/s41562-018-0307-6</w:t>
      </w:r>
    </w:p>
    <w:p w14:paraId="4061C29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Dowd, J. J. (1975). Aging as Exchange: A Preface to Theory. Journal of Gerontology, 30(5), 584–594.</w:t>
      </w:r>
    </w:p>
    <w:p w14:paraId="0171EB8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Erikson, E. H. (1982). The Life Cycle Completed. New York: W. W. Norton.</w:t>
      </w:r>
    </w:p>
    <w:p w14:paraId="0A654C06"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Erikson, E. H; Erikson, J. M; &amp; </w:t>
      </w:r>
      <w:r>
        <w:rPr>
          <w:rFonts w:ascii="Times New Roman" w:eastAsia="Times New Roman" w:hAnsi="Times New Roman" w:cs="Times New Roman"/>
          <w:sz w:val="24"/>
          <w:szCs w:val="24"/>
          <w:rtl w:val="0"/>
          <w:lang w:val="en-US"/>
        </w:rPr>
        <w:t>Kivnick</w:t>
      </w:r>
      <w:r>
        <w:rPr>
          <w:rFonts w:ascii="Times New Roman" w:eastAsia="Times New Roman" w:hAnsi="Times New Roman" w:cs="Times New Roman"/>
          <w:sz w:val="24"/>
          <w:szCs w:val="24"/>
          <w:rtl w:val="0"/>
          <w:lang w:val="en-US"/>
        </w:rPr>
        <w:t>, H. Q. (1986). Vital Involvement in Old Age. New York: W. W. Norton.</w:t>
      </w:r>
    </w:p>
    <w:p w14:paraId="6B223B9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Fergus, T. A; &amp; </w:t>
      </w:r>
      <w:r>
        <w:rPr>
          <w:rFonts w:ascii="Times New Roman" w:eastAsia="Times New Roman" w:hAnsi="Times New Roman" w:cs="Times New Roman"/>
          <w:sz w:val="24"/>
          <w:szCs w:val="24"/>
          <w:rtl w:val="0"/>
          <w:lang w:val="en-US"/>
        </w:rPr>
        <w:t>Valentiner</w:t>
      </w:r>
      <w:r>
        <w:rPr>
          <w:rFonts w:ascii="Times New Roman" w:eastAsia="Times New Roman" w:hAnsi="Times New Roman" w:cs="Times New Roman"/>
          <w:sz w:val="24"/>
          <w:szCs w:val="24"/>
          <w:rtl w:val="0"/>
          <w:lang w:val="en-US"/>
        </w:rPr>
        <w:t>, D. P. (2022). Health anxiety and illness anxiety disorder: Contemporary perspectives and clinical implications.</w:t>
      </w:r>
    </w:p>
    <w:p w14:paraId="1B5460F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Fulop</w:t>
      </w:r>
      <w:r>
        <w:rPr>
          <w:rFonts w:ascii="Times New Roman" w:eastAsia="Times New Roman" w:hAnsi="Times New Roman" w:cs="Times New Roman"/>
          <w:sz w:val="24"/>
          <w:szCs w:val="24"/>
          <w:rtl w:val="0"/>
          <w:lang w:val="en-US"/>
        </w:rPr>
        <w:t xml:space="preserve">, T; Larbi, A; Dupuis, G., et al. (2023). </w:t>
      </w:r>
      <w:r>
        <w:rPr>
          <w:rFonts w:ascii="Times New Roman" w:eastAsia="Times New Roman" w:hAnsi="Times New Roman" w:cs="Times New Roman"/>
          <w:sz w:val="24"/>
          <w:szCs w:val="24"/>
          <w:rtl w:val="0"/>
          <w:lang w:val="en-US"/>
        </w:rPr>
        <w:t>Immunosenescence</w:t>
      </w:r>
      <w:r>
        <w:rPr>
          <w:rFonts w:ascii="Times New Roman" w:eastAsia="Times New Roman" w:hAnsi="Times New Roman" w:cs="Times New Roman"/>
          <w:sz w:val="24"/>
          <w:szCs w:val="24"/>
          <w:rtl w:val="0"/>
          <w:lang w:val="en-US"/>
        </w:rPr>
        <w:t xml:space="preserve"> and Inflammaging as Two Sides of the Same Coin: Friends or Foes? Frontiers in Immunology.</w:t>
      </w:r>
    </w:p>
    <w:p w14:paraId="0F199F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Gladyshev</w:t>
      </w:r>
      <w:r>
        <w:rPr>
          <w:rFonts w:ascii="Times New Roman" w:eastAsia="Times New Roman" w:hAnsi="Times New Roman" w:cs="Times New Roman"/>
          <w:sz w:val="24"/>
          <w:szCs w:val="24"/>
          <w:rtl w:val="0"/>
          <w:lang w:val="en-US"/>
        </w:rPr>
        <w:t>, V. N. (2024). The Biology of Aging. Nature Reviews Molecular Cell Biology.</w:t>
      </w:r>
    </w:p>
    <w:p w14:paraId="650515E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Goodarzi</w:t>
      </w:r>
      <w:r>
        <w:rPr>
          <w:rFonts w:ascii="Times New Roman" w:eastAsia="Times New Roman" w:hAnsi="Times New Roman" w:cs="Times New Roman"/>
          <w:sz w:val="24"/>
          <w:szCs w:val="24"/>
          <w:rtl w:val="0"/>
          <w:lang w:val="en-US"/>
        </w:rPr>
        <w:t xml:space="preserve">, F; </w:t>
      </w:r>
      <w:r>
        <w:rPr>
          <w:rFonts w:ascii="Times New Roman" w:eastAsia="Times New Roman" w:hAnsi="Times New Roman" w:cs="Times New Roman"/>
          <w:sz w:val="24"/>
          <w:szCs w:val="24"/>
          <w:rtl w:val="0"/>
          <w:lang w:val="en-US"/>
        </w:rPr>
        <w:t>Khoshravesh</w:t>
      </w:r>
      <w:r>
        <w:rPr>
          <w:rFonts w:ascii="Times New Roman" w:eastAsia="Times New Roman" w:hAnsi="Times New Roman" w:cs="Times New Roman"/>
          <w:sz w:val="24"/>
          <w:szCs w:val="24"/>
          <w:rtl w:val="0"/>
          <w:lang w:val="en-US"/>
        </w:rPr>
        <w:t xml:space="preserve">, S., </w:t>
      </w:r>
      <w:r>
        <w:rPr>
          <w:rFonts w:ascii="Times New Roman" w:eastAsia="Times New Roman" w:hAnsi="Times New Roman" w:cs="Times New Roman"/>
          <w:sz w:val="24"/>
          <w:szCs w:val="24"/>
          <w:rtl w:val="0"/>
          <w:lang w:val="en-US"/>
        </w:rPr>
        <w:t>Ayubi</w:t>
      </w:r>
      <w:r>
        <w:rPr>
          <w:rFonts w:ascii="Times New Roman" w:eastAsia="Times New Roman" w:hAnsi="Times New Roman" w:cs="Times New Roman"/>
          <w:sz w:val="24"/>
          <w:szCs w:val="24"/>
          <w:rtl w:val="0"/>
          <w:lang w:val="en-US"/>
        </w:rPr>
        <w:t xml:space="preserve">, E; </w:t>
      </w:r>
      <w:r>
        <w:rPr>
          <w:rFonts w:ascii="Times New Roman" w:eastAsia="Times New Roman" w:hAnsi="Times New Roman" w:cs="Times New Roman"/>
          <w:sz w:val="24"/>
          <w:szCs w:val="24"/>
          <w:rtl w:val="0"/>
          <w:lang w:val="en-US"/>
        </w:rPr>
        <w:t>Bashirian</w:t>
      </w:r>
      <w:r>
        <w:rPr>
          <w:rFonts w:ascii="Times New Roman" w:eastAsia="Times New Roman" w:hAnsi="Times New Roman" w:cs="Times New Roman"/>
          <w:sz w:val="24"/>
          <w:szCs w:val="24"/>
          <w:rtl w:val="0"/>
          <w:lang w:val="en-US"/>
        </w:rPr>
        <w:t xml:space="preserve">, S; &amp; </w:t>
      </w:r>
      <w:r>
        <w:rPr>
          <w:rFonts w:ascii="Times New Roman" w:eastAsia="Times New Roman" w:hAnsi="Times New Roman" w:cs="Times New Roman"/>
          <w:sz w:val="24"/>
          <w:szCs w:val="24"/>
          <w:rtl w:val="0"/>
          <w:lang w:val="en-US"/>
        </w:rPr>
        <w:t>Barati</w:t>
      </w:r>
      <w:r>
        <w:rPr>
          <w:rFonts w:ascii="Times New Roman" w:eastAsia="Times New Roman" w:hAnsi="Times New Roman" w:cs="Times New Roman"/>
          <w:sz w:val="24"/>
          <w:szCs w:val="24"/>
          <w:rtl w:val="0"/>
          <w:lang w:val="en-US"/>
        </w:rPr>
        <w:t>, M. (2024). Psychosocial determinants of functional independence among older adults: A systematic review and meta-analysis. Health Promotion Perspectives, 14(1), 32–43. https://doi.org/10.34172/hpp.42354</w:t>
      </w:r>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Gould, R. L., et al. (2022). Cognitive </w:t>
      </w:r>
      <w:r>
        <w:rPr>
          <w:rFonts w:ascii="Times New Roman" w:eastAsia="Times New Roman" w:hAnsi="Times New Roman" w:cs="Times New Roman"/>
          <w:sz w:val="24"/>
          <w:szCs w:val="24"/>
          <w:rtl w:val="0"/>
          <w:lang w:val="en-US"/>
        </w:rPr>
        <w:t>behavioural</w:t>
      </w:r>
      <w:r>
        <w:rPr>
          <w:rFonts w:ascii="Times New Roman" w:eastAsia="Times New Roman" w:hAnsi="Times New Roman" w:cs="Times New Roman"/>
          <w:sz w:val="24"/>
          <w:szCs w:val="24"/>
          <w:rtl w:val="0"/>
          <w:lang w:val="en-US"/>
        </w:rPr>
        <w:t xml:space="preserve"> therapy for depression and anxiety in older people: A systematic review and meta-analysis. Age and Ageing.</w:t>
      </w:r>
    </w:p>
    <w:p w14:paraId="6191429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Halldórsson</w:t>
      </w:r>
      <w:r>
        <w:rPr>
          <w:rFonts w:ascii="Times New Roman" w:eastAsia="Times New Roman" w:hAnsi="Times New Roman" w:cs="Times New Roman"/>
          <w:sz w:val="24"/>
          <w:szCs w:val="24"/>
          <w:rtl w:val="0"/>
          <w:lang w:val="en-US"/>
        </w:rPr>
        <w:t xml:space="preserve">, B; &amp; </w:t>
      </w:r>
      <w:r>
        <w:rPr>
          <w:rFonts w:ascii="Times New Roman" w:eastAsia="Times New Roman" w:hAnsi="Times New Roman" w:cs="Times New Roman"/>
          <w:sz w:val="24"/>
          <w:szCs w:val="24"/>
          <w:rtl w:val="0"/>
          <w:lang w:val="en-US"/>
        </w:rPr>
        <w:t>Salkovskis</w:t>
      </w:r>
      <w:r>
        <w:rPr>
          <w:rFonts w:ascii="Times New Roman" w:eastAsia="Times New Roman" w:hAnsi="Times New Roman" w:cs="Times New Roman"/>
          <w:sz w:val="24"/>
          <w:szCs w:val="24"/>
          <w:rtl w:val="0"/>
          <w:lang w:val="en-US"/>
        </w:rPr>
        <w:t xml:space="preserve">, P. M. (2023). Reassurance and its alternatives: Overview and cognitive </w:t>
      </w:r>
      <w:r>
        <w:rPr>
          <w:rFonts w:ascii="Times New Roman" w:eastAsia="Times New Roman" w:hAnsi="Times New Roman" w:cs="Times New Roman"/>
          <w:sz w:val="24"/>
          <w:szCs w:val="24"/>
          <w:rtl w:val="0"/>
          <w:lang w:val="en-US"/>
        </w:rPr>
        <w:t>behavioural</w:t>
      </w:r>
      <w:r>
        <w:rPr>
          <w:rFonts w:ascii="Times New Roman" w:eastAsia="Times New Roman" w:hAnsi="Times New Roman" w:cs="Times New Roman"/>
          <w:sz w:val="24"/>
          <w:szCs w:val="24"/>
          <w:rtl w:val="0"/>
          <w:lang w:val="en-US"/>
        </w:rPr>
        <w:t xml:space="preserve"> </w:t>
      </w:r>
      <w:r>
        <w:rPr>
          <w:rFonts w:ascii="Times New Roman" w:eastAsia="Times New Roman" w:hAnsi="Times New Roman" w:cs="Times New Roman"/>
          <w:sz w:val="24"/>
          <w:szCs w:val="24"/>
          <w:rtl w:val="0"/>
          <w:lang w:val="en-US"/>
        </w:rPr>
        <w:t>conceptualisation</w:t>
      </w:r>
      <w:r>
        <w:rPr>
          <w:rFonts w:ascii="Times New Roman" w:eastAsia="Times New Roman" w:hAnsi="Times New Roman" w:cs="Times New Roman"/>
          <w:sz w:val="24"/>
          <w:szCs w:val="24"/>
          <w:rtl w:val="0"/>
          <w:lang w:val="en-US"/>
        </w:rPr>
        <w:t>. Journal of Obsessive-Compulsive and Related Disorders, 36, 100783. https://doi.org/10.1016/j.jocrd.2023.100783</w:t>
      </w:r>
    </w:p>
    <w:p w14:paraId="1CB4730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lang w:val="en-US"/>
        </w:rPr>
        <w:t>centre</w:t>
      </w:r>
      <w:r>
        <w:rPr>
          <w:rFonts w:ascii="Times New Roman" w:eastAsia="Times New Roman" w:hAnsi="Times New Roman" w:cs="Times New Roman"/>
          <w:sz w:val="24"/>
          <w:szCs w:val="24"/>
          <w:rtl w:val="0"/>
          <w:lang w:val="en-US"/>
        </w:rPr>
        <w:t>. Palliative Medicine, 19(6), 556–562.</w:t>
      </w:r>
    </w:p>
    <w:p w14:paraId="51AE652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Havighurst, R. J. (1961). Successful Aging. In The </w:t>
      </w:r>
      <w:r>
        <w:rPr>
          <w:rFonts w:ascii="Times New Roman" w:eastAsia="Times New Roman" w:hAnsi="Times New Roman" w:cs="Times New Roman"/>
          <w:sz w:val="24"/>
          <w:szCs w:val="24"/>
          <w:rtl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Havighurst, R. J., </w:t>
      </w:r>
      <w:r>
        <w:rPr>
          <w:rFonts w:ascii="Times New Roman" w:eastAsia="Times New Roman" w:hAnsi="Times New Roman" w:cs="Times New Roman"/>
          <w:sz w:val="24"/>
          <w:szCs w:val="24"/>
          <w:rtl w:val="0"/>
          <w:lang w:val="en-US"/>
        </w:rPr>
        <w:t>Neugarten</w:t>
      </w:r>
      <w:r>
        <w:rPr>
          <w:rFonts w:ascii="Times New Roman" w:eastAsia="Times New Roman" w:hAnsi="Times New Roman" w:cs="Times New Roman"/>
          <w:sz w:val="24"/>
          <w:szCs w:val="24"/>
          <w:rtl w:val="0"/>
          <w:lang w:val="en-US"/>
        </w:rPr>
        <w:t>, B. L., &amp; Tobin, S. S. (1968). Disengagement and Patterns of Aging. In Middle Age and Aging.</w:t>
      </w:r>
    </w:p>
    <w:p w14:paraId="1F05AE9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Hill, S; &amp; Watts, D. (2024). Googling and health anxiety in older age—A case study of CBT incorporating a single case experimental design. Clinical Case Reports, 12(8), e9316. HYPERLINK "https://doi.org/10.1002/ccr3.9316"https://doi.org/10.1002/ccr3.9316</w:t>
      </w:r>
    </w:p>
    <w:p w14:paraId="3808AFE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Hooyman</w:t>
      </w:r>
      <w:r>
        <w:rPr>
          <w:rFonts w:ascii="Times New Roman" w:eastAsia="Times New Roman" w:hAnsi="Times New Roman" w:cs="Times New Roman"/>
          <w:sz w:val="24"/>
          <w:szCs w:val="24"/>
          <w:rtl w:val="0"/>
          <w:lang w:val="en-US"/>
        </w:rPr>
        <w:t xml:space="preserve">, N. R., &amp; </w:t>
      </w:r>
      <w:r>
        <w:rPr>
          <w:rFonts w:ascii="Times New Roman" w:eastAsia="Times New Roman" w:hAnsi="Times New Roman" w:cs="Times New Roman"/>
          <w:sz w:val="24"/>
          <w:szCs w:val="24"/>
          <w:rtl w:val="0"/>
          <w:lang w:val="en-US"/>
        </w:rPr>
        <w:t>Kiyak</w:t>
      </w:r>
      <w:r>
        <w:rPr>
          <w:rFonts w:ascii="Times New Roman" w:eastAsia="Times New Roman" w:hAnsi="Times New Roman" w:cs="Times New Roman"/>
          <w:sz w:val="24"/>
          <w:szCs w:val="24"/>
          <w:rtl w:val="0"/>
          <w:lang w:val="en-US"/>
        </w:rPr>
        <w:t>, H. A. (2015). Social Gerontology: A Multidisciplinary Perspective (10th ed.).</w:t>
      </w:r>
    </w:p>
    <w:p w14:paraId="4050F5D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Huang, Y; et al. (2023). Meaning in life, spirituality, and death anxiety among older adults: The mediating role of psychological adjustment.</w:t>
      </w:r>
    </w:p>
    <w:p w14:paraId="7CF48A3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Jafari-</w:t>
      </w:r>
      <w:r>
        <w:rPr>
          <w:rFonts w:ascii="Times New Roman" w:eastAsia="Times New Roman" w:hAnsi="Times New Roman" w:cs="Times New Roman"/>
          <w:sz w:val="24"/>
          <w:szCs w:val="24"/>
          <w:rtl w:val="0"/>
          <w:lang w:val="en-US"/>
        </w:rPr>
        <w:t>Koulaee</w:t>
      </w:r>
      <w:r>
        <w:rPr>
          <w:rFonts w:ascii="Times New Roman" w:eastAsia="Times New Roman" w:hAnsi="Times New Roman" w:cs="Times New Roman"/>
          <w:sz w:val="24"/>
          <w:szCs w:val="24"/>
          <w:rtl w:val="0"/>
          <w:lang w:val="en-US"/>
        </w:rPr>
        <w:t xml:space="preserve">, A; Mohammadi, E., Fox, M. T., </w:t>
      </w:r>
      <w:r>
        <w:rPr>
          <w:rFonts w:ascii="Times New Roman" w:eastAsia="Times New Roman" w:hAnsi="Times New Roman" w:cs="Times New Roman"/>
          <w:sz w:val="24"/>
          <w:szCs w:val="24"/>
          <w:rtl w:val="0"/>
          <w:lang w:val="en-US"/>
        </w:rPr>
        <w:t>Rasekhi</w:t>
      </w:r>
      <w:r>
        <w:rPr>
          <w:rFonts w:ascii="Times New Roman" w:eastAsia="Times New Roman" w:hAnsi="Times New Roman" w:cs="Times New Roman"/>
          <w:sz w:val="24"/>
          <w:szCs w:val="24"/>
          <w:rtl w:val="0"/>
          <w:lang w:val="en-US"/>
        </w:rPr>
        <w:t>, A., &amp; Akha, O. (2024). Predictors of basic and instrumental activities of daily living among older adults with multiple chronic conditions. BMC Geriatrics, 24, 383. HYPERLINK "https://doi.org/10.1186/s12877-024-04947-w"https://doi.org/10.1186/s12877-024-04947-w</w:t>
      </w:r>
    </w:p>
    <w:p w14:paraId="4C67D1B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Jain, M., &amp; Purohit, </w:t>
      </w:r>
      <w:r>
        <w:rPr>
          <w:rFonts w:ascii="Times New Roman" w:eastAsia="Times New Roman" w:hAnsi="Times New Roman" w:cs="Times New Roman"/>
          <w:sz w:val="24"/>
          <w:szCs w:val="24"/>
          <w:rtl w:val="0"/>
          <w:lang w:val="en-US"/>
        </w:rPr>
        <w:t>P.(</w:t>
      </w:r>
      <w:r>
        <w:rPr>
          <w:rFonts w:ascii="Times New Roman" w:eastAsia="Times New Roman" w:hAnsi="Times New Roman" w:cs="Times New Roman"/>
          <w:sz w:val="24"/>
          <w:szCs w:val="24"/>
          <w:rtl w:val="0"/>
          <w:lang w:val="en-US"/>
        </w:rPr>
        <w:t>2006). Spiritual intelligence: A contemporary concern about the living conditions of the elderly. Indian journal of psychology, 81(1-2), 60-65.</w:t>
      </w:r>
    </w:p>
    <w:p w14:paraId="45E498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Johnco</w:t>
      </w:r>
      <w:r>
        <w:rPr>
          <w:rFonts w:ascii="Times New Roman" w:eastAsia="Times New Roman" w:hAnsi="Times New Roman" w:cs="Times New Roman"/>
          <w:sz w:val="24"/>
          <w:szCs w:val="24"/>
          <w:rtl w:val="0"/>
          <w:lang w:val="en-US"/>
        </w:rPr>
        <w:t xml:space="preserve">, C. J; </w:t>
      </w:r>
      <w:r>
        <w:rPr>
          <w:rFonts w:ascii="Times New Roman" w:eastAsia="Times New Roman" w:hAnsi="Times New Roman" w:cs="Times New Roman"/>
          <w:sz w:val="24"/>
          <w:szCs w:val="24"/>
          <w:rtl w:val="0"/>
          <w:lang w:val="en-US"/>
        </w:rPr>
        <w:t>Matovic</w:t>
      </w:r>
      <w:r>
        <w:rPr>
          <w:rFonts w:ascii="Times New Roman" w:eastAsia="Times New Roman" w:hAnsi="Times New Roman" w:cs="Times New Roman"/>
          <w:sz w:val="24"/>
          <w:szCs w:val="24"/>
          <w:rtl w:val="0"/>
          <w:lang w:val="en-US"/>
        </w:rPr>
        <w:t>, D; &amp; Wuthrich, V. M. (2024). Anxiety disorders in later life. Psychiatric Clinics of North America, 47(4), 741–752. HYPERLINK "https://doi.org/10.1016/j.psc.2024.04.015"https://doi.org/10.1016/j.psc.2024.04.015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Kaplan, S; et al. (2024). Non-pharmacological interventions for anxiety in older adults: An updated systematic review. Age and Ageing.</w:t>
      </w:r>
    </w:p>
    <w:p w14:paraId="733F4B7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Keyes, C. L. M. (2002). The mental health continuum: From languishing to flourishing in life. Journal of Health and Social Behavior, 43(2), 207–222. HYPERLINK "https://doi.org/10.2307/3090197" \t "_new"https://doi.org/10.2307/3090197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Kikas</w:t>
      </w:r>
      <w:r>
        <w:rPr>
          <w:rFonts w:ascii="Times New Roman" w:eastAsia="Times New Roman" w:hAnsi="Times New Roman" w:cs="Times New Roman"/>
          <w:sz w:val="24"/>
          <w:szCs w:val="24"/>
          <w:rtl w:val="0"/>
          <w:lang w:val="en-US"/>
        </w:rPr>
        <w:t>, K; Werner-Seidler, A; Upton, E., &amp; Newby, J. M. (2024). Illness anxiety disorder: A review of the current research and future directions. Current Psychiatry Reports, 26(7), 331–339. HYPERLINK "https://doi.org/10.1007/s11920-024-01507-2"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://doi.org/10.1007/s11920-024-01507-2</w:t>
      </w:r>
    </w:p>
    <w:p w14:paraId="5517067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Killingsworth, B; et al. (2023). Intolerance for uncertainty mediates death anxiety and hypochondriasis in older adults. Innovation in Aging, 7(Supplement_1).</w:t>
      </w:r>
    </w:p>
    <w:p w14:paraId="6F5F9669"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King, D. B. (2021). Rethinking spiritual intelligence: A cognitive approach to spiritual abilities.</w:t>
      </w:r>
    </w:p>
    <w:p w14:paraId="411A272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King, D. B; &amp; </w:t>
      </w:r>
      <w:r>
        <w:rPr>
          <w:rFonts w:ascii="Times New Roman" w:eastAsia="Times New Roman" w:hAnsi="Times New Roman" w:cs="Times New Roman"/>
          <w:sz w:val="24"/>
          <w:szCs w:val="24"/>
          <w:rtl w:val="0"/>
          <w:lang w:val="en-US"/>
        </w:rPr>
        <w:t>DeCicco</w:t>
      </w:r>
      <w:r>
        <w:rPr>
          <w:rFonts w:ascii="Times New Roman" w:eastAsia="Times New Roman" w:hAnsi="Times New Roman" w:cs="Times New Roman"/>
          <w:sz w:val="24"/>
          <w:szCs w:val="24"/>
          <w:rtl w:val="0"/>
          <w:lang w:val="en-US"/>
        </w:rPr>
        <w:t>, T. L. (2009). A viable model and self-report measure of spiritual intelligence. International Journal of Transpersonal Studies, 28, 68–85.</w:t>
      </w:r>
    </w:p>
    <w:p w14:paraId="235D5B3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Krejcie</w:t>
      </w:r>
      <w:r>
        <w:rPr>
          <w:rFonts w:ascii="Times New Roman" w:eastAsia="Times New Roman" w:hAnsi="Times New Roman" w:cs="Times New Roman"/>
          <w:sz w:val="24"/>
          <w:szCs w:val="24"/>
          <w:rtl w:val="0"/>
          <w:lang w:val="en-US"/>
        </w:rPr>
        <w:t>, R. V., &amp; Morgan, D. W. (1970). Determining sample size for research activities. Educational and Psychological Measurement, 30(3), 607–610. https://doi.org/10.1177/001316447003000308</w:t>
      </w:r>
    </w:p>
    <w:p w14:paraId="7E971D5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Levin, J; Chatters, L. M; &amp; Taylor, R. J. (2011). Theory in religion, aging, and health: An overview. Journal of Religion and Health, 50(2), 389–406.</w:t>
      </w:r>
    </w:p>
    <w:p w14:paraId="064CB21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475944B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Lou, Y; Yang, &amp; Ma. (2025). A network meta-analysis of different psychological therapies for death anxiety in older adults. OMEGA—Journal of Death and Dying. HYPERLINK "https://pubmed.ncbi.nlm.nih.gov/39900466/"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://pubmed.ncbi.nlm.nih.gov/39900466/</w:t>
      </w:r>
    </w:p>
    <w:p w14:paraId="46AE264D"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López-</w:t>
      </w:r>
      <w:r>
        <w:rPr>
          <w:rFonts w:ascii="Times New Roman" w:hAnsi="Times New Roman" w:cs="Times New Roman"/>
          <w:sz w:val="24"/>
          <w:szCs w:val="24"/>
          <w:rtl w:val="0"/>
          <w:lang w:val="en-US"/>
        </w:rPr>
        <w:t>Otín</w:t>
      </w:r>
      <w:r>
        <w:rPr>
          <w:rFonts w:ascii="Times New Roman" w:hAnsi="Times New Roman" w:cs="Times New Roman"/>
          <w:sz w:val="24"/>
          <w:szCs w:val="24"/>
          <w:rtl w:val="0"/>
          <w:lang w:val="en-US"/>
        </w:rPr>
        <w:t xml:space="preserve">, C; </w:t>
      </w:r>
      <w:r>
        <w:rPr>
          <w:rFonts w:ascii="Times New Roman" w:hAnsi="Times New Roman" w:cs="Times New Roman"/>
          <w:sz w:val="24"/>
          <w:szCs w:val="24"/>
          <w:rtl w:val="0"/>
          <w:lang w:val="en-US"/>
        </w:rPr>
        <w:t>Blasco</w:t>
      </w:r>
      <w:r>
        <w:rPr>
          <w:rFonts w:ascii="Times New Roman" w:hAnsi="Times New Roman" w:cs="Times New Roman"/>
          <w:sz w:val="24"/>
          <w:szCs w:val="24"/>
          <w:rtl w:val="0"/>
          <w:lang w:val="en-US"/>
        </w:rPr>
        <w:t>, M. A., Partridge, L., Serrano, M., &amp; Kroemer, G. (2023). Hallmarks of Aging: An Expanding Universe. Cell.</w:t>
      </w:r>
    </w:p>
    <w:p w14:paraId="2200418C"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Martin, L. L; et al. (2023). Death anxiety, meaning in life, and psychological adjustment: Contemporary perspectives.</w:t>
      </w:r>
    </w:p>
    <w:p w14:paraId="7EDF6F13"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Mayer, J. D; &amp; Salovey, P. (2020). The Intelligence of Emotional </w:t>
      </w:r>
      <w:r>
        <w:rPr>
          <w:rFonts w:ascii="Times New Roman" w:hAnsi="Times New Roman" w:cs="Times New Roman"/>
          <w:sz w:val="24"/>
          <w:szCs w:val="24"/>
          <w:rtl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14:paraId="5CB51639"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Miri, S; Farhadi, B; </w:t>
      </w:r>
      <w:r>
        <w:rPr>
          <w:rFonts w:ascii="Times New Roman" w:hAnsi="Times New Roman" w:cs="Times New Roman"/>
          <w:sz w:val="24"/>
          <w:szCs w:val="24"/>
          <w:rtl w:val="0"/>
          <w:lang w:val="en-US"/>
        </w:rPr>
        <w:t>Takasi</w:t>
      </w:r>
      <w:r>
        <w:rPr>
          <w:rFonts w:ascii="Times New Roman" w:hAnsi="Times New Roman" w:cs="Times New Roman"/>
          <w:sz w:val="24"/>
          <w:szCs w:val="24"/>
          <w:rtl w:val="0"/>
          <w:lang w:val="en-US"/>
        </w:rPr>
        <w:t xml:space="preserve">, P; </w:t>
      </w:r>
      <w:r>
        <w:rPr>
          <w:rFonts w:ascii="Times New Roman" w:hAnsi="Times New Roman" w:cs="Times New Roman"/>
          <w:sz w:val="24"/>
          <w:szCs w:val="24"/>
          <w:rtl w:val="0"/>
          <w:lang w:val="en-US"/>
        </w:rPr>
        <w:t>Ghorbani</w:t>
      </w:r>
      <w:r>
        <w:rPr>
          <w:rFonts w:ascii="Times New Roman" w:hAnsi="Times New Roman" w:cs="Times New Roman"/>
          <w:sz w:val="24"/>
          <w:szCs w:val="24"/>
          <w:rtl w:val="0"/>
          <w:lang w:val="en-US"/>
        </w:rPr>
        <w:t xml:space="preserve"> </w:t>
      </w:r>
      <w:r>
        <w:rPr>
          <w:rFonts w:ascii="Times New Roman" w:hAnsi="Times New Roman" w:cs="Times New Roman"/>
          <w:sz w:val="24"/>
          <w:szCs w:val="24"/>
          <w:rtl w:val="0"/>
          <w:lang w:val="en-US"/>
        </w:rPr>
        <w:t>Vajargah</w:t>
      </w:r>
      <w:r>
        <w:rPr>
          <w:rFonts w:ascii="Times New Roman" w:hAnsi="Times New Roman" w:cs="Times New Roman"/>
          <w:sz w:val="24"/>
          <w:szCs w:val="24"/>
          <w:rtl w:val="0"/>
          <w:lang w:val="en-US"/>
        </w:rPr>
        <w:t xml:space="preserve">, P; &amp; </w:t>
      </w:r>
      <w:r>
        <w:rPr>
          <w:rFonts w:ascii="Times New Roman" w:hAnsi="Times New Roman" w:cs="Times New Roman"/>
          <w:sz w:val="24"/>
          <w:szCs w:val="24"/>
          <w:rtl w:val="0"/>
          <w:lang w:val="en-US"/>
        </w:rPr>
        <w:t>Karkhah</w:t>
      </w:r>
      <w:r>
        <w:rPr>
          <w:rFonts w:ascii="Times New Roman" w:hAnsi="Times New Roman" w:cs="Times New Roman"/>
          <w:sz w:val="24"/>
          <w:szCs w:val="24"/>
          <w:rtl w:val="0"/>
          <w:lang w:val="en-US"/>
        </w:rPr>
        <w:t>, S. (2024). Physical independence and related factors among older adults: A systematic review and meta-analysis. Annals of Medicine &amp; Surgery, 86(6), 3400–3408. HYPERLINK "https://doi.org/10.1097/MS9.0000000000002100"https://doi.org/10.1097/MS9.0000000000002100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Mohamadzadeh</w:t>
      </w:r>
      <w:r>
        <w:rPr>
          <w:rFonts w:ascii="Times New Roman" w:hAnsi="Times New Roman" w:cs="Times New Roman"/>
          <w:sz w:val="24"/>
          <w:szCs w:val="24"/>
          <w:rtl w:val="0"/>
          <w:lang w:val="en-US"/>
        </w:rPr>
        <w:t xml:space="preserve">, M; </w:t>
      </w:r>
      <w:r>
        <w:rPr>
          <w:rFonts w:ascii="Times New Roman" w:hAnsi="Times New Roman" w:cs="Times New Roman"/>
          <w:sz w:val="24"/>
          <w:szCs w:val="24"/>
          <w:rtl w:val="0"/>
          <w:lang w:val="en-US"/>
        </w:rPr>
        <w:t>Zanjari</w:t>
      </w:r>
      <w:r>
        <w:rPr>
          <w:rFonts w:ascii="Times New Roman" w:hAnsi="Times New Roman" w:cs="Times New Roman"/>
          <w:sz w:val="24"/>
          <w:szCs w:val="24"/>
          <w:rtl w:val="0"/>
          <w:lang w:val="en-US"/>
        </w:rPr>
        <w:t xml:space="preserve">, N; </w:t>
      </w:r>
      <w:r>
        <w:rPr>
          <w:rFonts w:ascii="Times New Roman" w:hAnsi="Times New Roman" w:cs="Times New Roman"/>
          <w:sz w:val="24"/>
          <w:szCs w:val="24"/>
          <w:rtl w:val="0"/>
          <w:lang w:val="en-US"/>
        </w:rPr>
        <w:t>Delbari</w:t>
      </w:r>
      <w:r>
        <w:rPr>
          <w:rFonts w:ascii="Times New Roman" w:hAnsi="Times New Roman" w:cs="Times New Roman"/>
          <w:sz w:val="24"/>
          <w:szCs w:val="24"/>
          <w:rtl w:val="0"/>
          <w:lang w:val="en-US"/>
        </w:rPr>
        <w:t xml:space="preserve">, A; </w:t>
      </w:r>
      <w:r>
        <w:rPr>
          <w:rFonts w:ascii="Times New Roman" w:hAnsi="Times New Roman" w:cs="Times New Roman"/>
          <w:sz w:val="24"/>
          <w:szCs w:val="24"/>
          <w:rtl w:val="0"/>
          <w:lang w:val="en-US"/>
        </w:rPr>
        <w:t>Foroughan</w:t>
      </w:r>
      <w:r>
        <w:rPr>
          <w:rFonts w:ascii="Times New Roman" w:hAnsi="Times New Roman" w:cs="Times New Roman"/>
          <w:sz w:val="24"/>
          <w:szCs w:val="24"/>
          <w:rtl w:val="0"/>
          <w:lang w:val="en-US"/>
        </w:rPr>
        <w:t xml:space="preserve">, M; &amp; </w:t>
      </w:r>
      <w:r>
        <w:rPr>
          <w:rFonts w:ascii="Times New Roman" w:hAnsi="Times New Roman" w:cs="Times New Roman"/>
          <w:sz w:val="24"/>
          <w:szCs w:val="24"/>
          <w:rtl w:val="0"/>
          <w:lang w:val="en-US"/>
        </w:rPr>
        <w:t>Tabesh</w:t>
      </w:r>
      <w:r>
        <w:rPr>
          <w:rFonts w:ascii="Times New Roman" w:hAnsi="Times New Roman" w:cs="Times New Roman"/>
          <w:sz w:val="24"/>
          <w:szCs w:val="24"/>
          <w:rtl w:val="0"/>
          <w:lang w:val="en-US"/>
        </w:rPr>
        <w:t>, H. (2024). Factors associated with subjective successful aging among Iranian older adults: A cross-sectional analysis. Iranian Journal of Nursing and Midwifery Research, 29(5), 583–589. HYPERLINK "https://doi.org/10.4103/ijnmr.ijnmr_260_23"https://doi.org/10.4103/ijnmr.ijnmr_260_23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Mohammadi, M., </w:t>
      </w:r>
      <w:r>
        <w:rPr>
          <w:rFonts w:ascii="Times New Roman" w:hAnsi="Times New Roman" w:cs="Times New Roman"/>
          <w:sz w:val="24"/>
          <w:szCs w:val="24"/>
          <w:rtl w:val="0"/>
          <w:lang w:val="en-US"/>
        </w:rPr>
        <w:t>Bahrami</w:t>
      </w:r>
      <w:r>
        <w:rPr>
          <w:rFonts w:ascii="Times New Roman" w:hAnsi="Times New Roman" w:cs="Times New Roman"/>
          <w:sz w:val="24"/>
          <w:szCs w:val="24"/>
          <w:rtl w:val="0"/>
          <w:lang w:val="en-US"/>
        </w:rPr>
        <w:t>, F., &amp; Abedi, M. R. (2019). The role of spirituality, mental health and quality of life in predicting death anxiety in the elderly. Iranian Journal of Psychiatry and Behavioral Sciences, 13(2), e82350.</w:t>
      </w:r>
    </w:p>
    <w:p w14:paraId="79A81ECF" w14:textId="77777777">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lang w:val="en-US"/>
        </w:rPr>
        <w:t>Moreira-</w:t>
      </w:r>
      <w:r>
        <w:rPr>
          <w:rFonts w:ascii="Times New Roman" w:eastAsia="Times New Roman" w:hAnsi="Times New Roman" w:cs="Times New Roman"/>
          <w:sz w:val="24"/>
          <w:szCs w:val="24"/>
          <w:rtl w:val="0"/>
          <w:lang w:val="en-US"/>
        </w:rPr>
        <w:t>almaida</w:t>
      </w:r>
      <w:r>
        <w:rPr>
          <w:rFonts w:ascii="Times New Roman" w:eastAsia="Times New Roman" w:hAnsi="Times New Roman" w:cs="Times New Roman"/>
          <w:sz w:val="24"/>
          <w:szCs w:val="24"/>
          <w:rtl w:val="0"/>
          <w:lang w:val="en-US"/>
        </w:rPr>
        <w:t xml:space="preserve">, A. Koenig, H. D.(2006). Retaining the meaning of the words religiousness and </w:t>
      </w:r>
      <w:r>
        <w:rPr>
          <w:rFonts w:ascii="Times New Roman" w:eastAsia="Times New Roman" w:hAnsi="Times New Roman" w:cs="Times New Roman"/>
          <w:sz w:val="24"/>
          <w:szCs w:val="24"/>
          <w:rtl w:val="0"/>
          <w:lang w:val="en-US"/>
        </w:rPr>
        <w:t>spirituality:Acommentary</w:t>
      </w:r>
      <w:r>
        <w:rPr>
          <w:rFonts w:ascii="Times New Roman" w:eastAsia="Times New Roman" w:hAnsi="Times New Roman" w:cs="Times New Roman"/>
          <w:sz w:val="24"/>
          <w:szCs w:val="24"/>
          <w:rtl w:val="0"/>
          <w:lang w:val="en-US"/>
        </w:rPr>
        <w:t xml:space="preserve"> on the WHOQOL SRPB groups:a cross </w:t>
      </w:r>
      <w:r>
        <w:rPr>
          <w:rFonts w:ascii="Times New Roman" w:eastAsia="Times New Roman" w:hAnsi="Times New Roman" w:cs="Times New Roman"/>
          <w:sz w:val="24"/>
          <w:szCs w:val="24"/>
          <w:rtl w:val="0"/>
          <w:lang w:val="en-US"/>
        </w:rPr>
        <w:lastRenderedPageBreak/>
        <w:t xml:space="preserve">culture study of </w:t>
      </w:r>
      <w:r>
        <w:rPr>
          <w:rFonts w:ascii="Times New Roman" w:eastAsia="Times New Roman" w:hAnsi="Times New Roman" w:cs="Times New Roman"/>
          <w:sz w:val="24"/>
          <w:szCs w:val="24"/>
          <w:rtl w:val="0"/>
          <w:lang w:val="en-US"/>
        </w:rPr>
        <w:t>spirituality,religion</w:t>
      </w:r>
      <w:r>
        <w:rPr>
          <w:rFonts w:ascii="Times New Roman" w:eastAsia="Times New Roman" w:hAnsi="Times New Roman" w:cs="Times New Roman"/>
          <w:sz w:val="24"/>
          <w:szCs w:val="24"/>
          <w:rtl w:val="0"/>
          <w:lang w:val="en-US"/>
        </w:rPr>
        <w:t xml:space="preserve">, and personal beliefs as components of quality of </w:t>
      </w:r>
      <w:r>
        <w:rPr>
          <w:rFonts w:ascii="Times New Roman" w:eastAsia="Times New Roman" w:hAnsi="Times New Roman" w:cs="Times New Roman"/>
          <w:sz w:val="24"/>
          <w:szCs w:val="24"/>
          <w:rtl w:val="0"/>
          <w:lang w:val="en-US"/>
        </w:rPr>
        <w:t>lifes</w:t>
      </w:r>
      <w:r>
        <w:rPr>
          <w:rFonts w:ascii="Times New Roman" w:eastAsia="Times New Roman" w:hAnsi="Times New Roman" w:cs="Times New Roman"/>
          <w:sz w:val="24"/>
          <w:szCs w:val="24"/>
          <w:rtl w:val="0"/>
          <w:lang w:val="en-US"/>
        </w:rPr>
        <w:t>. Social science and medicine,63,843-845.</w:t>
      </w:r>
    </w:p>
    <w:p w14:paraId="41B2D632" w14:textId="77777777">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lang w:val="en-US"/>
        </w:rPr>
        <w:t>Multiple perspectives of spiritual intelligence: A systematic literature review.(2024). Social Sciences &amp; Humanities Open, 9, 100879. HYPERLINK "https://doi.org/10.1016/j.ssaho.2024.100879"https://doi.org/10.1016/j.ssaho.2024.100879</w:t>
      </w:r>
    </w:p>
    <w:p w14:paraId="524B98F9" w14:textId="77777777">
      <w:pPr>
        <w:autoSpaceDE/>
        <w:autoSpaceDN/>
        <w:bidi w:val="0"/>
        <w:adjustRightInd/>
        <w:rPr>
          <w:rFonts w:ascii="Times New Roman" w:hAnsi="Times New Roman" w:cs="Times New Roman"/>
          <w:sz w:val="24"/>
          <w:szCs w:val="24"/>
          <w:rtl w:val="0"/>
        </w:rPr>
      </w:pPr>
      <w:r>
        <w:rPr>
          <w:rFonts w:ascii="Times New Roman" w:eastAsia="Times New Roman" w:hAnsi="Times New Roman"/>
          <w:color w:val="auto"/>
          <w:rtl w:val="0"/>
          <w:lang w:bidi="fa-IR" w:val="en-US"/>
        </w:rPr>
        <w:t>Çarıkçı-Özgül</w:t>
      </w:r>
      <w:r>
        <w:rPr>
          <w:rFonts w:ascii="Times New Roman" w:eastAsia="Times New Roman" w:hAnsi="Times New Roman"/>
          <w:color w:val="auto"/>
          <w:rtl w:val="0"/>
          <w:lang w:bidi="fa-IR" w:val="en-US"/>
        </w:rPr>
        <w:t xml:space="preserve">, D. N; &amp; </w:t>
      </w:r>
      <w:r>
        <w:rPr>
          <w:rFonts w:ascii="Times New Roman" w:eastAsia="Times New Roman" w:hAnsi="Times New Roman"/>
          <w:color w:val="auto"/>
          <w:rtl w:val="0"/>
          <w:lang w:bidi="fa-IR" w:val="en-US"/>
        </w:rPr>
        <w:t>Işık</w:t>
      </w:r>
      <w:r>
        <w:rPr>
          <w:rFonts w:ascii="Times New Roman" w:eastAsia="Times New Roman" w:hAnsi="Times New Roman"/>
          <w:color w:val="auto"/>
          <w:rtl w:val="0"/>
          <w:lang w:bidi="fa-IR" w:val="en-US"/>
        </w:rPr>
        <w:t>, Ü. (2024). Exploring adult attachment and anxiety: The role of intolerance of uncertainty and social support. Current Psychology, 43, 18612–18620. HYPERLINK "https://doi.org/10.1007/s12144-024-05659-5" \t "_</w:t>
      </w:r>
      <w:r>
        <w:rPr>
          <w:rFonts w:ascii="Times New Roman" w:eastAsia="Times New Roman" w:hAnsi="Times New Roman"/>
          <w:color w:val="auto"/>
          <w:rtl w:val="0"/>
          <w:lang w:bidi="fa-IR" w:val="en-US"/>
        </w:rPr>
        <w:t>new"https</w:t>
      </w:r>
      <w:r>
        <w:rPr>
          <w:rFonts w:ascii="Times New Roman" w:eastAsia="Times New Roman" w:hAnsi="Times New Roman"/>
          <w:color w:val="auto"/>
          <w:rtl w:val="0"/>
          <w:lang w:bidi="fa-IR" w:val="en-US"/>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autoSpaceDE/>
        <w:autoSpaceDN/>
        <w:bidi w:val="0"/>
        <w:adjustRightInd/>
      </w:pPr>
      <w:r>
        <w:rPr>
          <w:rFonts w:ascii="Times New Roman" w:hAnsi="Times New Roman" w:cs="Times New Roman"/>
          <w:sz w:val="24"/>
          <w:szCs w:val="24"/>
          <w:rtl w:val="0"/>
          <w:lang w:val="en-US"/>
        </w:rPr>
        <w:t>National Institute on Aging. (2023). Mental Health and Older Adults.</w:t>
      </w:r>
    </w:p>
    <w:p w14:paraId="401C5CB0" w14:textId="77777777">
      <w:pPr>
        <w:bidi w:val="0"/>
        <w:spacing w:line="276" w:lineRule="auto"/>
        <w:rPr>
          <w:rtl w:val="0"/>
        </w:rPr>
      </w:pPr>
      <w:r>
        <w:rPr>
          <w:rFonts w:ascii="Times New Roman" w:hAnsi="Times New Roman" w:cs="Times New Roman"/>
          <w:sz w:val="24"/>
          <w:szCs w:val="24"/>
          <w:rtl w:val="0"/>
          <w:lang w:val="en-US"/>
        </w:rPr>
        <w:t>Nikolich-Žugich</w:t>
      </w:r>
      <w:r>
        <w:rPr>
          <w:rFonts w:ascii="Times New Roman" w:hAnsi="Times New Roman" w:cs="Times New Roman"/>
          <w:sz w:val="24"/>
          <w:szCs w:val="24"/>
          <w:rtl w:val="0"/>
          <w:lang w:val="en-US"/>
        </w:rPr>
        <w:t>, J; et al. (2023). The twilight of immunity: emerging concepts in aging of the immune system. Nature Immunology.</w:t>
      </w:r>
    </w:p>
    <w:p w14:paraId="1B1CA33B" w14:textId="77777777">
      <w:pPr>
        <w:bidi w:val="0"/>
        <w:spacing w:line="276" w:lineRule="auto"/>
        <w:jc w:val="both"/>
      </w:pPr>
    </w:p>
    <w:p w14:paraId="46224998" w14:textId="4585F891">
      <w:pPr>
        <w:bidi w:val="0"/>
        <w:spacing w:before="240" w:line="276" w:lineRule="auto"/>
      </w:pPr>
      <w:r>
        <w:rPr>
          <w:rFonts w:ascii="Times New Roman" w:hAnsi="Times New Roman" w:cs="Times New Roman"/>
          <w:sz w:val="24"/>
          <w:szCs w:val="24"/>
          <w:rtl w:val="0"/>
          <w:lang w:val="en-US"/>
        </w:rPr>
        <w:t>Nordgren</w:t>
      </w:r>
      <w:r>
        <w:rPr>
          <w:rFonts w:ascii="Times New Roman" w:hAnsi="Times New Roman" w:cs="Times New Roman"/>
          <w:sz w:val="24"/>
          <w:szCs w:val="24"/>
          <w:rtl w:val="0"/>
          <w:lang w:val="en-US"/>
        </w:rPr>
        <w:t xml:space="preserve">, L. F; van </w:t>
      </w:r>
      <w:r>
        <w:rPr>
          <w:rFonts w:ascii="Times New Roman" w:hAnsi="Times New Roman" w:cs="Times New Roman"/>
          <w:sz w:val="24"/>
          <w:szCs w:val="24"/>
          <w:rtl w:val="0"/>
          <w:lang w:val="en-US"/>
        </w:rPr>
        <w:t>Harreveld</w:t>
      </w:r>
      <w:r>
        <w:rPr>
          <w:rFonts w:ascii="Times New Roman" w:hAnsi="Times New Roman" w:cs="Times New Roman"/>
          <w:sz w:val="24"/>
          <w:szCs w:val="24"/>
          <w:rtl w:val="0"/>
          <w:lang w:val="en-US"/>
        </w:rPr>
        <w:t xml:space="preserve">, F., &amp; van der </w:t>
      </w:r>
      <w:r>
        <w:rPr>
          <w:rFonts w:ascii="Times New Roman" w:hAnsi="Times New Roman" w:cs="Times New Roman"/>
          <w:sz w:val="24"/>
          <w:szCs w:val="24"/>
          <w:rtl w:val="0"/>
          <w:lang w:val="en-US"/>
        </w:rPr>
        <w:t>Pligt</w:t>
      </w:r>
      <w:r>
        <w:rPr>
          <w:rFonts w:ascii="Times New Roman" w:hAnsi="Times New Roman" w:cs="Times New Roman"/>
          <w:sz w:val="24"/>
          <w:szCs w:val="24"/>
          <w:rtl w:val="0"/>
          <w:lang w:val="en-US"/>
        </w:rPr>
        <w:t xml:space="preserve">, J. (2022). The psychology of death anxiety and mortality </w:t>
      </w:r>
      <w:r>
        <w:rPr>
          <w:rFonts w:ascii="Times New Roman" w:hAnsi="Times New Roman" w:cs="Times New Roman"/>
          <w:sz w:val="24"/>
          <w:szCs w:val="24"/>
          <w:rtl w:val="0"/>
          <w:lang w:val="en-US"/>
        </w:rPr>
        <w:t>salience.</w:t>
      </w:r>
      <w:r>
        <w:rPr>
          <w:rFonts w:ascii="Times New Roman" w:hAnsi="Times New Roman" w:cs="Times New Roman"/>
          <w:noProof/>
          <w:sz w:val="24"/>
          <w:szCs w:val="24"/>
          <w:rtl w:val="0"/>
          <w:lang w:val="en-US"/>
        </w:rPr>
        <w:t>Noyes</w:t>
      </w:r>
      <w:r>
        <w:rPr>
          <w:rFonts w:ascii="Times New Roman" w:hAnsi="Times New Roman" w:cs="Times New Roman"/>
          <w:noProof/>
          <w:sz w:val="24"/>
          <w:szCs w:val="24"/>
          <w:rtl w:val="0"/>
          <w:lang w:val="en-US"/>
        </w:rPr>
        <w:t>, R., Jr., Stuart, S., Longley, S. L., Langbehn, D. R., &amp; Happel, R. L. (2002). Hypochondriasis and fear of death. Journal of Nervous and Mental Disease, 190(8), 503–509. https://doi.org/10.1097/00005053-200208000-00002</w:t>
      </w:r>
    </w:p>
    <w:p w14:paraId="2C6E1C9E" w14:textId="77777777">
      <w:pPr>
        <w:bidi w:val="0"/>
        <w:spacing w:after="160"/>
      </w:pPr>
      <w:r>
        <w:rPr>
          <w:rFonts w:ascii="Times New Roman" w:hAnsi="Times New Roman" w:cs="Times New Roman"/>
          <w:sz w:val="24"/>
          <w:szCs w:val="24"/>
          <w:rtl w:val="0"/>
          <w:lang w:val="en-US"/>
        </w:rPr>
        <w:t>Pinto, C. T; Guedes, L., Pinto, S; &amp; Nunes, R. (2024). Spiritual intelligence: A scoping review on the gateway to mental health. Global Health Action, 17(1), 2362310. HYPERLINK "https://doi.org/10.1080/16549716.2024.2362310" \t "_</w:t>
      </w:r>
      <w:r>
        <w:rPr>
          <w:rFonts w:ascii="Times New Roman" w:hAnsi="Times New Roman" w:cs="Times New Roman"/>
          <w:sz w:val="24"/>
          <w:szCs w:val="24"/>
          <w:rtl w:val="0"/>
          <w:lang w:val="en-US"/>
        </w:rPr>
        <w:t>new"https</w:t>
      </w:r>
      <w:r>
        <w:rPr>
          <w:rFonts w:ascii="Times New Roman" w:hAnsi="Times New Roman" w:cs="Times New Roman"/>
          <w:sz w:val="24"/>
          <w:szCs w:val="24"/>
          <w:rtl w:val="0"/>
          <w:lang w:val="en-US"/>
        </w:rPr>
        <w:t>://doi.org/10.1080/16549716.2024.2362310</w:t>
      </w:r>
    </w:p>
    <w:p w14:paraId="174CAF6B" w14:textId="77777777">
      <w:pPr>
        <w:bidi w:val="0"/>
        <w:spacing w:after="160"/>
      </w:pPr>
      <w:r>
        <w:rPr>
          <w:rFonts w:ascii="Times New Roman" w:hAnsi="Times New Roman" w:cs="Times New Roman"/>
          <w:sz w:val="24"/>
          <w:szCs w:val="24"/>
          <w:rtl w:val="0"/>
          <w:lang w:val="en-US"/>
        </w:rPr>
        <w:t>Rule, A; Abbey, C; Wang, H; Rozelle, S; &amp; Singh, M. K. (2024). Measurement of flourishing: A scoping review. Frontiers in Psychology, 15, 1293943. https://doi.org/10.3389/fpsyg.2024.1293943</w:t>
      </w:r>
    </w:p>
    <w:p w14:paraId="73F2636D" w14:textId="77777777">
      <w:pPr>
        <w:bidi w:val="0"/>
        <w:spacing w:after="160"/>
      </w:pPr>
      <w:r>
        <w:rPr>
          <w:rFonts w:ascii="Times New Roman" w:hAnsi="Times New Roman" w:cs="Times New Roman"/>
          <w:sz w:val="24"/>
          <w:szCs w:val="24"/>
          <w:rtl w:val="0"/>
          <w:lang w:val="en-US"/>
        </w:rPr>
        <w:t>Ryan, R. M; &amp; Deci, E. L. (2017). Self-determination theory: Basic psychological needs in motivation, development, and wellness. Guilford Press.</w:t>
      </w:r>
    </w:p>
    <w:p w14:paraId="34DD3858" w14:textId="77777777">
      <w:pPr>
        <w:bidi w:val="0"/>
        <w:spacing w:after="160"/>
      </w:pPr>
      <w:r>
        <w:rPr>
          <w:rFonts w:ascii="Times New Roman" w:hAnsi="Times New Roman" w:cs="Times New Roman"/>
          <w:sz w:val="24"/>
          <w:szCs w:val="24"/>
          <w:rtl w:val="0"/>
          <w:lang w:val="en-US"/>
        </w:rPr>
        <w:lastRenderedPageBreak/>
        <w:t>Ryff</w:t>
      </w:r>
      <w:r>
        <w:rPr>
          <w:rFonts w:ascii="Times New Roman" w:hAnsi="Times New Roman" w:cs="Times New Roman"/>
          <w:sz w:val="24"/>
          <w:szCs w:val="24"/>
          <w:rtl w:val="0"/>
          <w:lang w:val="en-US"/>
        </w:rPr>
        <w:t>, C. D. (2024). The privilege of well-being in an increasingly unequal society. Current Directions in Psychological Science, 33(5), 300–307. HYPERLINK "https://doi.org/10.1177/09637214241266818" \t "_</w:t>
      </w:r>
      <w:r>
        <w:rPr>
          <w:rFonts w:ascii="Times New Roman" w:hAnsi="Times New Roman" w:cs="Times New Roman"/>
          <w:sz w:val="24"/>
          <w:szCs w:val="24"/>
          <w:rtl w:val="0"/>
          <w:lang w:val="en-US"/>
        </w:rPr>
        <w:t>new"https</w:t>
      </w:r>
      <w:r>
        <w:rPr>
          <w:rFonts w:ascii="Times New Roman" w:hAnsi="Times New Roman" w:cs="Times New Roman"/>
          <w:sz w:val="24"/>
          <w:szCs w:val="24"/>
          <w:rtl w:val="0"/>
          <w:lang w:val="en-US"/>
        </w:rPr>
        <w:t>://doi.org/10.1177/09637214241266818</w:t>
      </w:r>
    </w:p>
    <w:p w14:paraId="25C7699A" w14:textId="77777777">
      <w:pPr>
        <w:bidi w:val="0"/>
        <w:spacing w:after="160"/>
      </w:pPr>
      <w:r>
        <w:rPr>
          <w:rFonts w:ascii="Times New Roman" w:hAnsi="Times New Roman" w:cs="Times New Roman"/>
          <w:sz w:val="24"/>
          <w:szCs w:val="24"/>
          <w:rtl w:val="0"/>
          <w:lang w:val="en-US"/>
        </w:rPr>
        <w:t>Shafiee</w:t>
      </w:r>
      <w:r>
        <w:rPr>
          <w:rFonts w:ascii="Times New Roman" w:hAnsi="Times New Roman" w:cs="Times New Roman"/>
          <w:sz w:val="24"/>
          <w:szCs w:val="24"/>
          <w:rtl w:val="0"/>
          <w:lang w:val="en-US"/>
        </w:rPr>
        <w:t xml:space="preserve">, A; Mohammadi, I; Rajai, S; </w:t>
      </w:r>
      <w:r>
        <w:rPr>
          <w:rFonts w:ascii="Times New Roman" w:hAnsi="Times New Roman" w:cs="Times New Roman"/>
          <w:sz w:val="24"/>
          <w:szCs w:val="24"/>
          <w:rtl w:val="0"/>
          <w:lang w:val="en-US"/>
        </w:rPr>
        <w:t>Jafarabady</w:t>
      </w:r>
      <w:r>
        <w:rPr>
          <w:rFonts w:ascii="Times New Roman" w:hAnsi="Times New Roman" w:cs="Times New Roman"/>
          <w:sz w:val="24"/>
          <w:szCs w:val="24"/>
          <w:rtl w:val="0"/>
          <w:lang w:val="en-US"/>
        </w:rPr>
        <w:t xml:space="preserve">, K; &amp; </w:t>
      </w:r>
      <w:r>
        <w:rPr>
          <w:rFonts w:ascii="Times New Roman" w:hAnsi="Times New Roman" w:cs="Times New Roman"/>
          <w:sz w:val="24"/>
          <w:szCs w:val="24"/>
          <w:rtl w:val="0"/>
          <w:lang w:val="en-US"/>
        </w:rPr>
        <w:t>Abdollahi</w:t>
      </w:r>
      <w:r>
        <w:rPr>
          <w:rFonts w:ascii="Times New Roman" w:hAnsi="Times New Roman" w:cs="Times New Roman"/>
          <w:sz w:val="24"/>
          <w:szCs w:val="24"/>
          <w:rtl w:val="0"/>
          <w:lang w:val="en-US"/>
        </w:rPr>
        <w:t>, A. (2025). Global prevalence of anxiety symptoms and its associated factors in older adults: A systematic review and meta-analysis. Journal of General and Family Medicine, 26(2), 116–127. HYPERLINK "https://doi.org/10.1002/jgf2.750"https://doi.org/10.1002/jgf2.750</w:t>
      </w:r>
    </w:p>
    <w:p w14:paraId="6E2B066B" w14:textId="77777777">
      <w:pPr>
        <w:bidi w:val="0"/>
        <w:spacing w:after="160"/>
      </w:pPr>
      <w:r>
        <w:rPr>
          <w:rFonts w:ascii="Times New Roman" w:hAnsi="Times New Roman" w:cs="Times New Roman"/>
          <w:sz w:val="24"/>
          <w:szCs w:val="24"/>
          <w:rtl w:val="0"/>
          <w:lang w:val="en-US"/>
        </w:rPr>
        <w:t>Soto, C; et al. (2024). Meaning in life, hope, and mental health in older adults: A systematic review. BMC Geriatrics.</w:t>
      </w:r>
    </w:p>
    <w:p w14:paraId="03A23009" w14:textId="77777777">
      <w:pPr>
        <w:bidi w:val="0"/>
        <w:spacing w:after="160"/>
      </w:pPr>
      <w:r>
        <w:rPr>
          <w:rFonts w:ascii="Times New Roman" w:hAnsi="Times New Roman" w:cs="Times New Roman"/>
          <w:sz w:val="24"/>
          <w:szCs w:val="24"/>
          <w:rtl w:val="0"/>
          <w:lang w:val="en-US"/>
        </w:rPr>
        <w:t>Stavrova</w:t>
      </w:r>
      <w:r>
        <w:rPr>
          <w:rFonts w:ascii="Times New Roman" w:hAnsi="Times New Roman" w:cs="Times New Roman"/>
          <w:sz w:val="24"/>
          <w:szCs w:val="24"/>
          <w:rtl w:val="0"/>
          <w:lang w:val="en-US"/>
        </w:rPr>
        <w:t xml:space="preserve">, O. </w:t>
      </w:r>
      <w:r>
        <w:rPr>
          <w:rFonts w:ascii="Times New Roman" w:hAnsi="Times New Roman" w:cs="Times New Roman"/>
          <w:sz w:val="24"/>
          <w:szCs w:val="24"/>
          <w:rtl w:val="0"/>
          <w:lang w:val="en-US"/>
        </w:rPr>
        <w:t>Fetchenhauer</w:t>
      </w:r>
      <w:r>
        <w:rPr>
          <w:rFonts w:ascii="Times New Roman" w:hAnsi="Times New Roman" w:cs="Times New Roman"/>
          <w:sz w:val="24"/>
          <w:szCs w:val="24"/>
          <w:rtl w:val="0"/>
          <w:lang w:val="en-US"/>
        </w:rPr>
        <w:t>, D. Schlosser, T. (2012). Why are religious people happy? The effect of the social norm of religiosity across countries. Social Science Research, 3.</w:t>
      </w:r>
    </w:p>
    <w:p w14:paraId="001971CF" w14:textId="77777777">
      <w:pPr>
        <w:bidi w:val="0"/>
        <w:spacing w:after="160"/>
      </w:pPr>
      <w:r>
        <w:rPr>
          <w:rFonts w:ascii="Times New Roman" w:hAnsi="Times New Roman" w:cs="Times New Roman"/>
          <w:sz w:val="24"/>
          <w:szCs w:val="24"/>
          <w:rtl w:val="0"/>
          <w:lang w:val="en-US"/>
        </w:rPr>
        <w:t>Sternberg, R. J. (2021). Adaptive Intelligence: Surviving and Thriving in Times of Uncertainty. Cambridge University Press.</w:t>
      </w:r>
    </w:p>
    <w:p w14:paraId="6B2FCFF0" w14:textId="77777777">
      <w:pPr>
        <w:bidi w:val="0"/>
        <w:spacing w:after="160"/>
      </w:pPr>
      <w:r>
        <w:rPr>
          <w:rFonts w:ascii="Times New Roman" w:hAnsi="Times New Roman" w:cs="Times New Roman"/>
          <w:sz w:val="24"/>
          <w:szCs w:val="24"/>
          <w:rtl w:val="0"/>
          <w:lang w:val="en-US"/>
        </w:rPr>
        <w:t>Suad</w:t>
      </w:r>
      <w:r>
        <w:rPr>
          <w:rFonts w:ascii="Times New Roman" w:hAnsi="Times New Roman" w:cs="Times New Roman"/>
          <w:sz w:val="24"/>
          <w:szCs w:val="24"/>
          <w:rtl w:val="0"/>
          <w:lang w:val="en-US"/>
        </w:rPr>
        <w:t xml:space="preserve">, Zarina Mat, </w:t>
      </w:r>
      <w:r>
        <w:rPr>
          <w:rFonts w:ascii="Times New Roman" w:hAnsi="Times New Roman" w:cs="Times New Roman"/>
          <w:sz w:val="24"/>
          <w:szCs w:val="24"/>
          <w:rtl w:val="0"/>
          <w:lang w:val="en-US"/>
        </w:rPr>
        <w:t>Zulkarnin</w:t>
      </w:r>
      <w:r>
        <w:rPr>
          <w:rFonts w:ascii="Times New Roman" w:hAnsi="Times New Roman" w:cs="Times New Roman"/>
          <w:sz w:val="24"/>
          <w:szCs w:val="24"/>
          <w:rtl w:val="0"/>
          <w:lang w:val="en-US"/>
        </w:rPr>
        <w:t xml:space="preserve"> </w:t>
      </w:r>
      <w:r>
        <w:rPr>
          <w:rFonts w:ascii="Times New Roman" w:hAnsi="Times New Roman" w:cs="Times New Roman"/>
          <w:sz w:val="24"/>
          <w:szCs w:val="24"/>
          <w:rtl w:val="0"/>
          <w:lang w:val="en-US"/>
        </w:rPr>
        <w:t>A,Hatta</w:t>
      </w:r>
      <w:r>
        <w:rPr>
          <w:rFonts w:ascii="Times New Roman" w:hAnsi="Times New Roman" w:cs="Times New Roman"/>
          <w:sz w:val="24"/>
          <w:szCs w:val="24"/>
          <w:rtl w:val="0"/>
          <w:lang w:val="en-US"/>
        </w:rPr>
        <w:t xml:space="preserve"> and Nuria Muhammad. (2010). " The Impact of Spiritual intelligence on the Health of Older Adults in Malaysia. " Asian Social Work and Policy Review, 4(2), 84-97.</w:t>
      </w:r>
    </w:p>
    <w:p w14:paraId="24491DCE" w14:textId="77777777">
      <w:pPr>
        <w:bidi w:val="0"/>
        <w:spacing w:after="160"/>
      </w:pPr>
      <w:r>
        <w:rPr>
          <w:rFonts w:ascii="Times New Roman" w:hAnsi="Times New Roman" w:cs="Times New Roman"/>
          <w:sz w:val="24"/>
          <w:szCs w:val="24"/>
          <w:rtl w:val="0"/>
          <w:lang w:val="en-US"/>
        </w:rPr>
        <w:t>Taylor, S; &amp; Asmundson, G. J. G. (2021). Treating Health Anxiety: A Cognitive-Behavioral Approach. Guilford Press.</w:t>
      </w:r>
    </w:p>
    <w:p w14:paraId="24093371" w14:textId="77777777">
      <w:pPr>
        <w:bidi w:val="0"/>
        <w:spacing w:after="160"/>
      </w:pPr>
      <w:r>
        <w:rPr>
          <w:rFonts w:ascii="Times New Roman" w:hAnsi="Times New Roman" w:cs="Times New Roman"/>
          <w:sz w:val="24"/>
          <w:szCs w:val="24"/>
          <w:rtl w:val="0"/>
          <w:lang w:val="en-US"/>
        </w:rPr>
        <w:t>Templer</w:t>
      </w:r>
      <w:r>
        <w:rPr>
          <w:rFonts w:ascii="Times New Roman" w:hAnsi="Times New Roman" w:cs="Times New Roman"/>
          <w:sz w:val="24"/>
          <w:szCs w:val="24"/>
          <w:rtl w:val="0"/>
          <w:lang w:val="en-US"/>
        </w:rPr>
        <w:t>, D. I. (1970). The construction and validation of a Death Anxiety Scale. The Journal of General Psychology, 82(2), 165–177. https://doi.org/10.1080/00221309.1970.9920634</w:t>
      </w:r>
    </w:p>
    <w:p w14:paraId="1007341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Tomer, A., &amp; Eliason, G. (2000). Attitudes toward death: A developmental perspective. Springer Publishing Company.</w:t>
      </w:r>
    </w:p>
    <w:p w14:paraId="7F663F7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United Nations Department of Economic and Social Affairs, Population Division. (2024). World population prospects 2024: Summary of results. United Nations.</w:t>
      </w:r>
    </w:p>
    <w:p w14:paraId="109E257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United Nations Population Fund. (2026). Population ageing and disabilities: Islamic Republic of Iran. UNFPA Iran. HYPERLINK "https://iran.unfpa.org/en/topics/population-</w:t>
      </w:r>
      <w:r>
        <w:rPr>
          <w:rFonts w:ascii="Times New Roman" w:eastAsia="Times New Roman" w:hAnsi="Times New Roman" w:cs="Times New Roman" w:hint="cs"/>
          <w:sz w:val="24"/>
          <w:szCs w:val="24"/>
          <w:rtl w:val="0"/>
          <w:lang w:bidi="fa-IR" w:val="en-US"/>
        </w:rPr>
        <w:lastRenderedPageBreak/>
        <w:t>ageing-and-disabilities" \t "_</w:t>
      </w:r>
      <w:r>
        <w:rPr>
          <w:rFonts w:ascii="Times New Roman" w:eastAsia="Times New Roman" w:hAnsi="Times New Roman" w:cs="Times New Roman" w:hint="cs"/>
          <w:sz w:val="24"/>
          <w:szCs w:val="24"/>
          <w:rtl w:val="0"/>
          <w:lang w:bidi="fa-IR" w:val="en-US"/>
        </w:rPr>
        <w:t>blank"UNFPA</w:t>
      </w:r>
      <w:r>
        <w:rPr>
          <w:rFonts w:ascii="Times New Roman" w:eastAsia="Times New Roman" w:hAnsi="Times New Roman" w:cs="Times New Roman" w:hint="cs"/>
          <w:sz w:val="24"/>
          <w:szCs w:val="24"/>
          <w:rtl w:val="0"/>
          <w:lang w:bidi="fa-IR" w:val="en-US"/>
        </w:rPr>
        <w:t xml:space="preserve"> Iran – Population ageing and disabilities</w:t>
      </w:r>
    </w:p>
    <w:p w14:paraId="1E0FAFFB"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United Nations. (2023). World Social Report 2023: Leaving No One Behind in an Ageing World.</w:t>
      </w:r>
    </w:p>
    <w:p w14:paraId="5ADEE5A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Valsala</w:t>
      </w:r>
      <w:r>
        <w:rPr>
          <w:rFonts w:ascii="Times New Roman" w:eastAsia="Times New Roman" w:hAnsi="Times New Roman" w:cs="Times New Roman" w:hint="cs"/>
          <w:sz w:val="24"/>
          <w:szCs w:val="24"/>
          <w:rtl w:val="0"/>
          <w:lang w:bidi="fa-IR" w:val="en-US"/>
        </w:rPr>
        <w:t>, P; &amp; Menon, P. (2023). Psychospiritual basis of altruism: A review. Journal of Humanistic Psychology, 63(3), 344–363. https://doi.org/10.1177/0022167819830517</w:t>
      </w:r>
    </w:p>
    <w:p w14:paraId="341E3893"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van </w:t>
      </w:r>
      <w:r>
        <w:rPr>
          <w:rFonts w:ascii="Times New Roman" w:eastAsia="Times New Roman" w:hAnsi="Times New Roman" w:cs="Times New Roman" w:hint="cs"/>
          <w:sz w:val="24"/>
          <w:szCs w:val="24"/>
          <w:rtl w:val="0"/>
          <w:lang w:bidi="fa-IR" w:val="en-US"/>
        </w:rPr>
        <w:t>Bruggen</w:t>
      </w:r>
      <w:r>
        <w:rPr>
          <w:rFonts w:ascii="Times New Roman" w:eastAsia="Times New Roman" w:hAnsi="Times New Roman" w:cs="Times New Roman" w:hint="cs"/>
          <w:sz w:val="24"/>
          <w:szCs w:val="24"/>
          <w:rtl w:val="0"/>
          <w:lang w:bidi="fa-IR" w:val="en-US"/>
        </w:rPr>
        <w:t xml:space="preserve">, V; Vos, J., </w:t>
      </w:r>
      <w:r>
        <w:rPr>
          <w:rFonts w:ascii="Times New Roman" w:eastAsia="Times New Roman" w:hAnsi="Times New Roman" w:cs="Times New Roman" w:hint="cs"/>
          <w:sz w:val="24"/>
          <w:szCs w:val="24"/>
          <w:rtl w:val="0"/>
          <w:lang w:bidi="fa-IR" w:val="en-US"/>
        </w:rPr>
        <w:t>Bohlmeijer</w:t>
      </w:r>
      <w:r>
        <w:rPr>
          <w:rFonts w:ascii="Times New Roman" w:eastAsia="Times New Roman" w:hAnsi="Times New Roman" w:cs="Times New Roman" w:hint="cs"/>
          <w:sz w:val="24"/>
          <w:szCs w:val="24"/>
          <w:rtl w:val="0"/>
          <w:lang w:bidi="fa-IR" w:val="en-US"/>
        </w:rPr>
        <w:t>, E. T., et al. (2021). Systematic review of existential and spiritual factors related to death anxiety.</w:t>
      </w:r>
    </w:p>
    <w:p w14:paraId="066D3C9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Wagenseller</w:t>
      </w:r>
      <w:r>
        <w:rPr>
          <w:rFonts w:ascii="Times New Roman" w:eastAsia="Times New Roman" w:hAnsi="Times New Roman" w:cs="Times New Roman" w:hint="cs"/>
          <w:sz w:val="24"/>
          <w:szCs w:val="24"/>
          <w:rtl w:val="0"/>
          <w:lang w:bidi="fa-IR" w:val="en-US"/>
        </w:rPr>
        <w:t>,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
    <w:p w14:paraId="27BB2B6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Wang, C; et al. (2023). Effectiveness of meaning-centered interventions on psychological well-being among older adults: A systematic review and meta-analysis. Aging &amp; Mental Health.</w:t>
      </w:r>
    </w:p>
    <w:p w14:paraId="527BE1A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Wang, S; Lin, J., </w:t>
      </w:r>
      <w:r>
        <w:rPr>
          <w:rFonts w:ascii="Times New Roman" w:eastAsia="Times New Roman" w:hAnsi="Times New Roman" w:cs="Times New Roman" w:hint="cs"/>
          <w:sz w:val="24"/>
          <w:szCs w:val="24"/>
          <w:rtl w:val="0"/>
          <w:lang w:bidi="fa-IR" w:val="en-US"/>
        </w:rPr>
        <w:t>Kuang</w:t>
      </w:r>
      <w:r>
        <w:rPr>
          <w:rFonts w:ascii="Times New Roman" w:eastAsia="Times New Roman" w:hAnsi="Times New Roman" w:cs="Times New Roman" w:hint="cs"/>
          <w:sz w:val="24"/>
          <w:szCs w:val="24"/>
          <w:rtl w:val="0"/>
          <w:lang w:bidi="fa-IR" w:val="en-US"/>
        </w:rPr>
        <w:t>, L; Yang, X; Yu, B; &amp; Cui, Y. (2024). Risk factors for social isolation in older adults: A systematic review and meta-analysis. Public Health Nursing, 41(2), 200–208. https://doi.org/10.1111/phn.13266</w:t>
      </w:r>
    </w:p>
    <w:p w14:paraId="758BE2EF"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(2020). Healthy ageing and functional ability.</w:t>
      </w:r>
    </w:p>
    <w:p w14:paraId="128DD7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(2024). Ageing and Health.</w:t>
      </w:r>
    </w:p>
    <w:p w14:paraId="66A13E3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(2025, October 1). Ageing and health. HYPERLINK "https://www.who.int/news-room/fact-sheets/detail/ageing-and-health" \t "_</w:t>
      </w:r>
      <w:r>
        <w:rPr>
          <w:rFonts w:ascii="Times New Roman" w:eastAsia="Times New Roman" w:hAnsi="Times New Roman" w:cs="Times New Roman" w:hint="cs"/>
          <w:sz w:val="24"/>
          <w:szCs w:val="24"/>
          <w:rtl w:val="0"/>
          <w:lang w:bidi="fa-IR" w:val="en-US"/>
        </w:rPr>
        <w:t>blank"World</w:t>
      </w:r>
      <w:r>
        <w:rPr>
          <w:rFonts w:ascii="Times New Roman" w:eastAsia="Times New Roman" w:hAnsi="Times New Roman" w:cs="Times New Roman" w:hint="cs"/>
          <w:sz w:val="24"/>
          <w:szCs w:val="24"/>
          <w:rtl w:val="0"/>
          <w:lang w:bidi="fa-IR" w:val="en-US"/>
        </w:rPr>
        <w:t xml:space="preserve"> Health Organization – Ageing and health</w:t>
      </w:r>
    </w:p>
    <w:p w14:paraId="52DBC640"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Organization.(2022). World mental health report: Transforming mental health for all. World Health Organization.</w:t>
      </w:r>
    </w:p>
    <w:p w14:paraId="5451670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Organization.(2023). Healthy ageing: A priority for delivering universal health coverage. Geneva: World Health Organization.</w:t>
      </w:r>
    </w:p>
    <w:p w14:paraId="51EA795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Organization.(2025, October 8). Mental health of older adults. HYPERLINK "https://www.who.int/news-room/fact-sheets/detail/mental-health-of-older-</w:t>
      </w:r>
      <w:r>
        <w:rPr>
          <w:rFonts w:ascii="Times New Roman" w:eastAsia="Times New Roman" w:hAnsi="Times New Roman" w:cs="Times New Roman" w:hint="cs"/>
          <w:sz w:val="24"/>
          <w:szCs w:val="24"/>
          <w:rtl w:val="0"/>
          <w:lang w:bidi="fa-IR" w:val="en-US"/>
        </w:rPr>
        <w:lastRenderedPageBreak/>
        <w:t>adults" \t "_</w:t>
      </w:r>
      <w:r>
        <w:rPr>
          <w:rFonts w:ascii="Times New Roman" w:eastAsia="Times New Roman" w:hAnsi="Times New Roman" w:cs="Times New Roman" w:hint="cs"/>
          <w:sz w:val="24"/>
          <w:szCs w:val="24"/>
          <w:rtl w:val="0"/>
          <w:lang w:bidi="fa-IR" w:val="en-US"/>
        </w:rPr>
        <w:t>blank"World</w:t>
      </w:r>
      <w:r>
        <w:rPr>
          <w:rFonts w:ascii="Times New Roman" w:eastAsia="Times New Roman" w:hAnsi="Times New Roman" w:cs="Times New Roman" w:hint="cs"/>
          <w:sz w:val="24"/>
          <w:szCs w:val="24"/>
          <w:rtl w:val="0"/>
          <w:lang w:bidi="fa-IR" w:val="en-US"/>
        </w:rPr>
        <w:t xml:space="preserve"> Health Organization – Mental health of older adults</w:t>
      </w:r>
    </w:p>
    <w:p w14:paraId="2B3D095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Yalom, I. D. (1980). Existential Psychotherapy. New York: Basic Books</w:t>
      </w:r>
    </w:p>
    <w:p w14:paraId="5F9C448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Yonker</w:t>
      </w:r>
      <w:r>
        <w:rPr>
          <w:rFonts w:ascii="Times New Roman" w:eastAsia="Times New Roman" w:hAnsi="Times New Roman" w:cs="Times New Roman" w:hint="cs"/>
          <w:sz w:val="24"/>
          <w:szCs w:val="24"/>
          <w:rtl w:val="0"/>
          <w:lang w:bidi="fa-IR" w:val="en-US"/>
        </w:rPr>
        <w:t xml:space="preserve">, J.E. </w:t>
      </w:r>
      <w:r>
        <w:rPr>
          <w:rFonts w:ascii="Times New Roman" w:eastAsia="Times New Roman" w:hAnsi="Times New Roman" w:cs="Times New Roman" w:hint="cs"/>
          <w:sz w:val="24"/>
          <w:szCs w:val="24"/>
          <w:rtl w:val="0"/>
          <w:lang w:bidi="fa-IR" w:val="en-US"/>
        </w:rPr>
        <w:t>Schnabelrauch</w:t>
      </w:r>
      <w:r>
        <w:rPr>
          <w:rFonts w:ascii="Times New Roman" w:eastAsia="Times New Roman" w:hAnsi="Times New Roman" w:cs="Times New Roman" w:hint="cs"/>
          <w:sz w:val="24"/>
          <w:szCs w:val="24"/>
          <w:rtl w:val="0"/>
          <w:lang w:bidi="fa-IR" w:val="en-US"/>
        </w:rPr>
        <w:t xml:space="preserve">, C.A. </w:t>
      </w:r>
      <w:r>
        <w:rPr>
          <w:rFonts w:ascii="Times New Roman" w:eastAsia="Times New Roman" w:hAnsi="Times New Roman" w:cs="Times New Roman" w:hint="cs"/>
          <w:sz w:val="24"/>
          <w:szCs w:val="24"/>
          <w:rtl w:val="0"/>
          <w:lang w:bidi="fa-IR" w:val="en-US"/>
        </w:rPr>
        <w:t>Dehaan</w:t>
      </w:r>
      <w:r>
        <w:rPr>
          <w:rFonts w:ascii="Times New Roman" w:eastAsia="Times New Roman" w:hAnsi="Times New Roman" w:cs="Times New Roman" w:hint="cs"/>
          <w:sz w:val="24"/>
          <w:szCs w:val="24"/>
          <w:rtl w:val="0"/>
          <w:lang w:bidi="fa-IR" w:val="en-US"/>
        </w:rPr>
        <w:t>, L.G. (2012). The relationship between spirituality and religiosity on psychological outcomes in adolescents and emerging adults: A meta-analytic review. Journal of Adolescence, 35: 299-314.</w:t>
      </w:r>
    </w:p>
    <w:p w14:paraId="08FE5E9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Younes, R. S; </w:t>
      </w:r>
      <w:r>
        <w:rPr>
          <w:rFonts w:ascii="Times New Roman" w:eastAsia="Times New Roman" w:hAnsi="Times New Roman" w:cs="Times New Roman" w:hint="cs"/>
          <w:sz w:val="24"/>
          <w:szCs w:val="24"/>
          <w:rtl w:val="0"/>
          <w:lang w:bidi="fa-IR" w:val="en-US"/>
        </w:rPr>
        <w:t>Rahme</w:t>
      </w:r>
      <w:r>
        <w:rPr>
          <w:rFonts w:ascii="Times New Roman" w:eastAsia="Times New Roman" w:hAnsi="Times New Roman" w:cs="Times New Roman" w:hint="cs"/>
          <w:sz w:val="24"/>
          <w:szCs w:val="24"/>
          <w:rtl w:val="0"/>
          <w:lang w:bidi="fa-IR" w:val="en-US"/>
        </w:rPr>
        <w:t xml:space="preserve">, E; </w:t>
      </w:r>
      <w:r>
        <w:rPr>
          <w:rFonts w:ascii="Times New Roman" w:eastAsia="Times New Roman" w:hAnsi="Times New Roman" w:cs="Times New Roman" w:hint="cs"/>
          <w:sz w:val="24"/>
          <w:szCs w:val="24"/>
          <w:rtl w:val="0"/>
          <w:lang w:bidi="fa-IR" w:val="en-US"/>
        </w:rPr>
        <w:t>Rajha</w:t>
      </w:r>
      <w:r>
        <w:rPr>
          <w:rFonts w:ascii="Times New Roman" w:eastAsia="Times New Roman" w:hAnsi="Times New Roman" w:cs="Times New Roman" w:hint="cs"/>
          <w:sz w:val="24"/>
          <w:szCs w:val="24"/>
          <w:rtl w:val="0"/>
          <w:lang w:bidi="fa-IR" w:val="en-US"/>
        </w:rPr>
        <w:t xml:space="preserve">, F; &amp; </w:t>
      </w:r>
      <w:r>
        <w:rPr>
          <w:rFonts w:ascii="Times New Roman" w:eastAsia="Times New Roman" w:hAnsi="Times New Roman" w:cs="Times New Roman" w:hint="cs"/>
          <w:sz w:val="24"/>
          <w:szCs w:val="24"/>
          <w:rtl w:val="0"/>
          <w:lang w:bidi="fa-IR" w:val="en-US"/>
        </w:rPr>
        <w:t>Mzawak</w:t>
      </w:r>
      <w:r>
        <w:rPr>
          <w:rFonts w:ascii="Times New Roman" w:eastAsia="Times New Roman" w:hAnsi="Times New Roman" w:cs="Times New Roman" w:hint="cs"/>
          <w:sz w:val="24"/>
          <w:szCs w:val="24"/>
          <w:rtl w:val="0"/>
          <w:lang w:bidi="fa-IR" w:val="en-US"/>
        </w:rPr>
        <w:t>, M. A. (2024). Exploring death anxiety among older adults: An integrative review of associated factors and interventions. OMEGA—Journal of Death and Dying. Advance online publication. https://doi.org/10.1177/00302228241272578.</w:t>
      </w:r>
    </w:p>
    <w:p w14:paraId="217F956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Yousefi</w:t>
      </w:r>
      <w:r>
        <w:rPr>
          <w:rFonts w:ascii="Times New Roman" w:eastAsia="Times New Roman" w:hAnsi="Times New Roman" w:cs="Times New Roman" w:hint="cs"/>
          <w:sz w:val="24"/>
          <w:szCs w:val="24"/>
          <w:rtl w:val="0"/>
          <w:lang w:bidi="fa-IR" w:val="en-US"/>
        </w:rPr>
        <w:t xml:space="preserve"> </w:t>
      </w:r>
      <w:r>
        <w:rPr>
          <w:rFonts w:ascii="Times New Roman" w:eastAsia="Times New Roman" w:hAnsi="Times New Roman" w:cs="Times New Roman" w:hint="cs"/>
          <w:sz w:val="24"/>
          <w:szCs w:val="24"/>
          <w:rtl w:val="0"/>
          <w:lang w:bidi="fa-IR" w:val="en-US"/>
        </w:rPr>
        <w:t>Afrashteh</w:t>
      </w:r>
      <w:r>
        <w:rPr>
          <w:rFonts w:ascii="Times New Roman" w:eastAsia="Times New Roman" w:hAnsi="Times New Roman" w:cs="Times New Roman" w:hint="cs"/>
          <w:sz w:val="24"/>
          <w:szCs w:val="24"/>
          <w:rtl w:val="0"/>
          <w:lang w:bidi="fa-IR" w:val="en-US"/>
        </w:rPr>
        <w:t xml:space="preserve">, M., </w:t>
      </w:r>
      <w:r>
        <w:rPr>
          <w:rFonts w:ascii="Times New Roman" w:eastAsia="Times New Roman" w:hAnsi="Times New Roman" w:cs="Times New Roman" w:hint="cs"/>
          <w:sz w:val="24"/>
          <w:szCs w:val="24"/>
          <w:rtl w:val="0"/>
          <w:lang w:bidi="fa-IR" w:val="en-US"/>
        </w:rPr>
        <w:t>Fartash</w:t>
      </w:r>
      <w:r>
        <w:rPr>
          <w:rFonts w:ascii="Times New Roman" w:eastAsia="Times New Roman" w:hAnsi="Times New Roman" w:cs="Times New Roman" w:hint="cs"/>
          <w:sz w:val="24"/>
          <w:szCs w:val="24"/>
          <w:rtl w:val="0"/>
          <w:lang w:bidi="fa-IR" w:val="en-US"/>
        </w:rPr>
        <w:t xml:space="preserve">, A., &amp; </w:t>
      </w:r>
      <w:r>
        <w:rPr>
          <w:rFonts w:ascii="Times New Roman" w:eastAsia="Times New Roman" w:hAnsi="Times New Roman" w:cs="Times New Roman" w:hint="cs"/>
          <w:sz w:val="24"/>
          <w:szCs w:val="24"/>
          <w:rtl w:val="0"/>
          <w:lang w:bidi="fa-IR" w:val="en-US"/>
        </w:rPr>
        <w:t>Aboutorabi</w:t>
      </w:r>
      <w:r>
        <w:rPr>
          <w:rFonts w:ascii="Times New Roman" w:eastAsia="Times New Roman" w:hAnsi="Times New Roman" w:cs="Times New Roman" w:hint="cs"/>
          <w:sz w:val="24"/>
          <w:szCs w:val="24"/>
          <w:rtl w:val="0"/>
          <w:lang w:bidi="fa-IR" w:val="en-US"/>
        </w:rPr>
        <w:t>, K. (2025). Relationship between death anxiety and spiritual intelligence: The potential mediating role of meaning of life and resilience in Iranian older people. BMC Geriatrics, 25, 482. HYPERLINK "https://doi.org/10.1186/s12877-025-06040-2" \t "_</w:t>
      </w:r>
      <w:r>
        <w:rPr>
          <w:rFonts w:ascii="Times New Roman" w:eastAsia="Times New Roman" w:hAnsi="Times New Roman" w:cs="Times New Roman" w:hint="cs"/>
          <w:sz w:val="24"/>
          <w:szCs w:val="24"/>
          <w:rtl w:val="0"/>
          <w:lang w:bidi="fa-IR" w:val="en-US"/>
        </w:rPr>
        <w:t>new"https</w:t>
      </w:r>
      <w:r>
        <w:rPr>
          <w:rFonts w:ascii="Times New Roman" w:eastAsia="Times New Roman" w:hAnsi="Times New Roman" w:cs="Times New Roman" w:hint="cs"/>
          <w:sz w:val="24"/>
          <w:szCs w:val="24"/>
          <w:rtl w:val="0"/>
          <w:lang w:bidi="fa-IR" w:val="en-US"/>
        </w:rPr>
        <w:t>://doi.org/10.1186/s12877-025-06040-2</w:t>
      </w:r>
    </w:p>
    <w:p w14:paraId="369291DD"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Zeng, Y., Gu, D., &amp; George, L. K. (2011). Association of religious participation with mortality among Chinese old adults. Research on Aging, 33(1), 51–83. https://doi.org/10.1177/0164027510383584</w:t>
      </w:r>
    </w:p>
    <w:p w14:paraId="2FF2AD2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Zohar, D; &amp; Marshall, I. (2000). SQ: Spiritual Intelligence—The Ultimate Intelligence. London: Bloomsbury.</w:t>
      </w:r>
    </w:p>
    <w:p w14:paraId="0BE92076" w14:textId="77777777">
      <w:pPr>
        <w:pStyle w:val="Heading1"/>
        <w:pageBreakBefore/>
        <w:autoSpaceDE/>
        <w:autoSpaceDN/>
        <w:bidi w:val="0"/>
        <w:adjustRightInd/>
        <w:ind w:firstLine="397"/>
        <w:rPr>
          <w:rFonts w:ascii="Times New Roman" w:hAnsi="Times New Roman" w:eastAsia="Times New Roman" w:cs="B Titr"/>
          <w:color w:val="000000"/>
          <w:rtl w:val="0"/>
          <w:lang w:bidi="fa-IR"/>
          <w:sz w:val="56"/>
          <w:szCs w:val="56"/>
          <w:b/>
          <w:bCs/>
        </w:rPr>
        <w:spacing w:before="0" w:after="240"/>
      </w:pPr>
      <w:bookmarkStart w:id="237" w:name="_Toc238572103"/>
      <w:r>
        <w:rPr>
          <w:rFonts w:ascii="Times New Roman" w:hAnsi="Times New Roman" w:cs="Times New Roman" w:eastAsia="Times New Roman"/>
          <w:sz w:val="56"/>
          <w:szCs w:val="56"/>
          <w:rtl w:val="0"/>
          <w:lang w:bidi="fa-IR" w:val="en-US"/>
          <w:b/>
          <w:bCs/>
          <w:color w:val="000000"/>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val="en-US"/>
        </w:rPr>
        <w:t>Fereshteghan</w:t>
      </w:r>
      <w:r>
        <w:rPr>
          <w:rFonts w:ascii="Times New Roman" w:eastAsia="Times New Roman" w:hAnsi="Times New Roman" w:cs="Times New Roman" w:hint="cs"/>
          <w:sz w:val="24"/>
          <w:szCs w:val="24"/>
          <w:rtl w:val="0"/>
          <w:lang w:bidi="fa-IR"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val="en-US"/>
        </w:rPr>
        <w:t>Salkoskis</w:t>
      </w:r>
      <w:r>
        <w:rPr>
          <w:rFonts w:ascii="Times New Roman" w:eastAsia="Times New Roman" w:hAnsi="Times New Roman" w:cs="Times New Roman" w:hint="cs"/>
          <w:sz w:val="24"/>
          <w:szCs w:val="24"/>
          <w:rtl w:val="0"/>
          <w:lang w:bidi="fa-IR" w:val="en-US"/>
        </w:rPr>
        <w:t xml:space="preserve"> and Warwick's Health Anxiety Questionnaire (2002), and </w:t>
      </w:r>
      <w:r>
        <w:rPr>
          <w:rFonts w:ascii="Times New Roman" w:eastAsia="Times New Roman" w:hAnsi="Times New Roman" w:cs="Times New Roman" w:hint="cs"/>
          <w:sz w:val="24"/>
          <w:szCs w:val="24"/>
          <w:rtl w:val="0"/>
          <w:lang w:bidi="fa-IR" w:val="en-US"/>
        </w:rPr>
        <w:t>Templer's</w:t>
      </w:r>
      <w:r>
        <w:rPr>
          <w:rFonts w:ascii="Times New Roman" w:eastAsia="Times New Roman" w:hAnsi="Times New Roman" w:cs="Times New Roman" w:hint="cs"/>
          <w:sz w:val="24"/>
          <w:szCs w:val="24"/>
          <w:rtl w:val="0"/>
          <w:lang w:bidi="fa-IR"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Keywords: Spiritual intelligence, health anxiety, death anxiety, elderly.</w:t>
      </w:r>
    </w:p>
    <w:p>
      <w:pPr>
        <w:bidi w:val="0"/>
        <w:pageBreakBefore/>
        <w:jc w:val="center"/>
        <w:spacing w:before="0" w:after="120" w:line="240" w:lineRule="auto"/>
        <w:rPr>
          <w:rtl w:val="0"/>
        </w:rPr>
      </w:pPr>
      <w:r>
        <w:rPr>
          <w:rFonts w:ascii="Times New Roman" w:hAnsi="Times New Roman" w:cs="Times New Roman"/>
          <w:sz w:val="32"/>
          <w:szCs w:val="32"/>
          <w:rtl w:val="0"/>
          <w:lang w:val="en-US" w:bidi="fa-IR"/>
        </w:rPr>
        <w:t xml:space="preserve">Payame Noor University</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Sari Center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Master's Thesis</w:t>
      </w:r>
    </w:p>
    <w:p>
      <w:pPr>
        <w:bidi w:val="0"/>
        <w:jc w:val="center"/>
        <w:spacing w:before="0" w:after="360" w:line="240" w:lineRule="auto"/>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Title</w:t>
      </w:r>
    </w:p>
    <w:p>
      <w:pPr>
        <w:bidi w:val="0"/>
        <w:jc w:val="center"/>
        <w:spacing w:before="0" w:after="120" w:line="240" w:lineRule="auto"/>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jc w:val="center"/>
        <w:spacing w:before="0" w:after="480" w:line="240" w:lineRule="auto"/>
        <w:rPr>
          <w:rtl w:val="0"/>
        </w:rPr>
      </w:pPr>
      <w:r>
        <w:rPr>
          <w:rFonts w:ascii="Times New Roman" w:hAnsi="Times New Roman" w:cs="Times New Roman"/>
          <w:sz w:val="24"/>
          <w:szCs w:val="24"/>
          <w:rtl w:val="0"/>
          <w:lang w:val="en-US" w:bidi="fa-IR"/>
        </w:rPr>
        <w:t xml:space="preserve">Fereshtegan Nursing Home, Eslamshahr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Supervisor</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Babollah Bakhshipour Joibari</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Author</w:t>
      </w:r>
    </w:p>
    <w:p>
      <w:pPr>
        <w:bidi w:val="0"/>
        <w:jc w:val="center"/>
        <w:spacing w:before="0" w:after="480" w:line="240" w:lineRule="auto"/>
        <w:rPr>
          <w:rtl w:val="0"/>
        </w:rPr>
      </w:pPr>
      <w:r>
        <w:rPr>
          <w:rFonts w:ascii="Times New Roman" w:hAnsi="Times New Roman" w:cs="Times New Roman"/>
          <w:sz w:val="28"/>
          <w:szCs w:val="28"/>
          <w:rtl w:val="0"/>
          <w:lang w:val="en-US" w:bidi="fa-IR"/>
        </w:rPr>
        <w:t xml:space="preserve">Fatemeh Bayat</w:t>
      </w:r>
    </w:p>
    <w:p>
      <w:pPr>
        <w:bidi w:val="0"/>
        <w:jc w:val="center"/>
        <w:spacing w:before="0" w:after="0" w:line="240" w:lineRule="auto"/>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701" w:bottom="1417" w:left="141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53176" w14:textId="77777777">
      <w:pPr>
        <w:pBdr>
          <w:bottom w:val="single" w:sz="12" w:space="1" w:color="000000"/>
        </w:pBdr>
        <w:spacing w:after="0" w:line="240" w:lineRule="auto"/>
        <w:rPr>
          <w:sz w:val="4"/>
          <w:szCs w:val="4"/>
        </w:rPr>
      </w:pPr>
    </w:p>
  </w:footnote>
  <w:footnote w:type="continuationSeparator" w:id="0">
    <w:p w14:paraId="0E764A9D" w14:textId="77777777">
      <w:pPr>
        <w:pBdr>
          <w:bottom w:val="single" w:sz="12" w:space="1" w:color="000000"/>
        </w:pBdr>
        <w:spacing w:after="0" w:line="240" w:lineRule="auto"/>
        <w:rPr>
          <w:sz w:val="4"/>
          <w:szCs w:val="4"/>
        </w:rPr>
      </w:pP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adjustRightInd w:val="0"/>
      <w:spacing w:after="120" w:line="360" w:lineRule="auto"/>
    </w:pPr>
    <w:rPr>
      <w:rFonts w:ascii="Times New Roman" w:hAnsi="Times New Roman" w:eastAsia="Times New Roman" w:cs="B Lotus"/>
      <w:color w:val="000000"/>
      <w:rtl/>
      <w:lang w:bidi="fa-IR"/>
      <w:sz w:val="28"/>
      <w:szCs w:val="28"/>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pPr>
      <w:keepNext/>
      <w:spacing w:before="0" w:after="60" w:line="240" w:lineRule="auto"/>
      <w:outlineLvl w:val="0"/>
    </w:pPr>
    <w:rPr>
      <w:rFonts w:ascii="Times New Roman" w:eastAsia="Times New Roman" w:hAnsi="Times New Roman" w:cs="B Titr"/>
      <w:b/>
      <w:bCs/>
      <w:kern w:val="32"/>
      <w:sz w:val="56"/>
      <w:szCs w:val="56"/>
      <w:color w:val="000000"/>
    </w:rPr>
  </w:style>
  <w:style w:type="paragraph" w:styleId="Heading2">
    <w:name w:val="heading 2"/>
    <w:aliases w:val="2-1,تیتر 2,زیر تیتر"/>
    <w:basedOn w:val="Normal"/>
    <w:next w:val="Normal"/>
    <w:link w:val="Heading2Char"/>
    <w:unhideWhenUsed/>
    <w:qFormat/>
    <w:pPr>
      <w:keepNext/>
      <w:keepLines/>
      <w:bidi w:val="0"/>
      <w:spacing w:before="40" w:after="0"/>
      <w:outlineLvl w:val="1"/>
    </w:pPr>
    <w:rPr>
      <w:rFonts w:ascii="Times New Roman" w:eastAsia="Times New Roman" w:hAnsi="Times New Roman" w:cs="B Titr"/>
      <w:color w:val="000000"/>
      <w:sz w:val="30"/>
      <w:szCs w:val="30"/>
      <w:b/>
      <w:bCs/>
    </w:rPr>
  </w:style>
  <w:style w:type="paragraph" w:styleId="Heading3">
    <w:name w:val="heading 3"/>
    <w:aliases w:val="2-1-1,H3,تيتر3,تیتر 3,تیتر3,جدولل,شماره جدول,فرعی 3"/>
    <w:basedOn w:val="Normal"/>
    <w:next w:val="Normal"/>
    <w:link w:val="Heading3Char"/>
    <w:unhideWhenUsed/>
    <w:qFormat/>
    <w:pPr>
      <w:keepNext/>
      <w:keepLines/>
      <w:bidi w:val="0"/>
      <w:spacing w:before="40" w:after="0"/>
      <w:outlineLvl w:val="2"/>
    </w:pPr>
    <w:rPr>
      <w:rFonts w:ascii="Times New Roman" w:eastAsia="Times New Roman" w:hAnsi="Times New Roman" w:cs="B Titr"/>
      <w:color w:val="000000"/>
      <w:sz w:val="30"/>
      <w:szCs w:val="30"/>
      <w:b/>
      <w:bCs/>
    </w:rPr>
  </w:style>
  <w:style w:type="paragraph" w:styleId="Heading4">
    <w:name w:val="heading 4"/>
    <w:aliases w:val="2-1-1-1,تیتر 4,تیتر4"/>
    <w:basedOn w:val="Normal"/>
    <w:next w:val="Normal"/>
    <w:link w:val="Heading4Char"/>
    <w:unhideWhenUsed/>
    <w:qFormat/>
    <w:pPr>
      <w:keepNext/>
      <w:spacing w:before="240" w:after="60"/>
      <w:jc w:val="right"/>
      <w:outlineLvl w:val="3"/>
    </w:pPr>
    <w:rPr>
      <w:rFonts w:ascii="Times New Roman" w:eastAsia="Times New Roman" w:hAnsi="Times New Roman" w:cs="B Titr"/>
      <w:b/>
      <w:bCs/>
      <w:color w:val="000000"/>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pPr>
      <w:spacing w:after="0" w:line="240" w:lineRule="auto"/>
      <w:jc w:val="left"/>
    </w:pPr>
    <w:rPr>
      <w:rFonts w:cs="B Lotus" w:ascii="Times New Roman" w:hAnsi="Times New Roman" w:eastAsia="Times New Roman"/>
      <w:sz w:val="18"/>
      <w:szCs w:val="20"/>
      <w:color w:val="00000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Pr>
      <w:b/>
      <w:bCs/>
      <w:sz w:val="18"/>
      <w:szCs w:val="20"/>
    </w:rPr>
  </w:style>
  <w:style w:type="character" w:styleId="Hyperlink">
    <w:name w:val="Hyperlink"/>
    <w:uiPriority w:val="99"/>
    <w:unhideWhenUsed/>
    <w:rPr>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Pr>
      <w:rFonts w:ascii="Times New Roman" w:eastAsia="Times New Roman" w:hAnsi="Times New Roman" w:cs="Times New Roman"/>
      <w:b/>
      <w:bCs/>
      <w:kern w:val="32"/>
      <w:sz w:val="32"/>
      <w:szCs w:val="32"/>
      <w:lang w:bidi="fa-IR"/>
    </w:rPr>
  </w:style>
  <w:style w:type="character" w:styleId="PageNumber">
    <w:name w:val="page number"/>
  </w:style>
  <w:style w:type="character" w:customStyle="1" w:styleId="Heading4Char">
    <w:name w:val="Heading 4 Char"/>
    <w:aliases w:val="2-1-1-1 Char,تیتر 4 Char,تیتر4 Char"/>
    <w:link w:val="Heading4"/>
    <w:rPr>
      <w:rFonts w:ascii="Times New Roman" w:eastAsia="Times New Roman" w:hAnsi="Times New Roman" w:cs="Times New Roman"/>
      <w:b/>
      <w:bCs/>
      <w:sz w:val="28"/>
      <w:szCs w:val="28"/>
      <w:lang w:bidi="fa-IR"/>
    </w:rPr>
  </w:style>
  <w:style w:type="character" w:customStyle="1" w:styleId="Heading2Char">
    <w:name w:val="Heading 2 Char"/>
    <w:aliases w:val="2-1 Char,تیتر 2 Char,زیر تیتر Char"/>
    <w:link w:val="Heading2"/>
    <w:rPr>
      <w:rFonts w:ascii="Times New Roman" w:eastAsia="Times New Roman" w:hAnsi="Times New Roman"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Pr>
      <w:rFonts w:ascii="Times New Roman" w:eastAsia="Times New Roman" w:hAnsi="Times New Roman" w:cs="Times New Roman"/>
      <w:color w:val="243F60"/>
      <w:sz w:val="24"/>
      <w:szCs w:val="24"/>
    </w:rPr>
  </w:style>
  <w:style w:type="paragraph" w:styleId="TOC1">
    <w:name w:val="toc 1"/>
    <w:basedOn w:val="Normal"/>
    <w:next w:val="Normal"/>
    <w:link w:val="TOC1Char"/>
    <w:autoRedefine/>
    <w:uiPriority w:val="39"/>
    <w:unhideWhenUsed/>
    <w:qFormat/>
    <w:pPr>
      <w:tabs>
        <w:tab w:val="right" w:leader="dot" w:pos="8494"/>
      </w:tabs>
      <w:spacing w:after="100"/>
      <w:jc w:val="right"/>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val="0"/>
      <w:spacing w:after="100"/>
      <w:ind w:left="200"/>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val="0"/>
      <w:spacing w:after="100"/>
      <w:ind w:left="660"/>
    </w:pPr>
    <w:rPr>
      <w:rFonts w:ascii="Times New Roman" w:eastAsia="Times New Roman" w:hAnsi="Times New Roman" w:cs="B Lotus"/>
      <w:color w:val="000000"/>
      <w:sz w:val="24"/>
      <w:szCs w:val="24"/>
    </w:rPr>
  </w:style>
  <w:style w:type="paragraph" w:styleId="EndnoteText">
    <w:name w:val="endnote text"/>
    <w:basedOn w:val="Normal"/>
    <w:link w:val="EndnoteTextChar"/>
    <w:uiPriority w:val="99"/>
    <w:pPr>
      <w:spacing w:after="0" w:line="240" w:lineRule="auto"/>
      <w:jc w:val="right"/>
    </w:pPr>
    <w:rPr>
      <w:sz w:val="20"/>
      <w:szCs w:val="20"/>
    </w:rPr>
  </w:style>
  <w:style w:type="character" w:customStyle="1" w:styleId="EndnoteTextChar">
    <w:name w:val="Endnote Text Char"/>
    <w:link w:val="EndnoteText"/>
    <w:uiPriority w:val="99"/>
    <w:rPr>
      <w:lang w:bidi="fa-IR"/>
    </w:rPr>
  </w:style>
  <w:style w:type="character" w:styleId="EndnoteReference">
    <w:name w:val="endnote reference"/>
    <w:uiPriority w:val="99"/>
    <w:rPr>
      <w:rFonts w:cs="Times New Roman"/>
      <w:vertAlign w:val="superscript"/>
    </w:rPr>
  </w:style>
  <w:style w:type="paragraph" w:styleId="Caption">
    <w:name w:val="caption"/>
    <w:aliases w:val="Caption nemodar 1,عنوان شکل و جدول"/>
    <w:basedOn w:val="Normal"/>
    <w:next w:val="Normal"/>
    <w:link w:val="CaptionChar"/>
    <w:uiPriority w:val="35"/>
    <w:unhideWhenUsed/>
    <w:qFormat/>
    <w:pPr>
      <w:spacing w:after="0" w:line="240" w:lineRule="auto"/>
      <w:jc w:val="right"/>
    </w:pPr>
    <w:rPr>
      <w:rFonts w:ascii="Times New Roman" w:eastAsia="Times New Roman" w:hAnsi="Times New Roman" w:cs="B Lotus"/>
      <w:b/>
      <w:bCs/>
      <w:sz w:val="24"/>
      <w:szCs w:val="24"/>
      <w:color w:val="000000"/>
    </w:rPr>
  </w:style>
  <w:style w:type="paragraph" w:styleId="TableofFigures">
    <w:name w:val="table of figures"/>
    <w:basedOn w:val="Normal"/>
    <w:next w:val="Normal"/>
    <w:uiPriority w:val="99"/>
    <w:qFormat/>
    <w:pPr>
      <w:spacing w:before="240"/>
      <w:ind w:firstLine="142"/>
      <w:jc w:val="both"/>
    </w:pPr>
    <w:rPr>
      <w:rFonts w:ascii="Times New Roman" w:eastAsia="Times New Roman" w:hAnsi="Times New Roman" w:cs="B Lotus"/>
      <w:sz w:val="24"/>
      <w:lang w:eastAsia="en-US"/>
      <w:color w:val="000000"/>
      <w:szCs w:val="24"/>
    </w:rPr>
  </w:style>
  <w:style w:type="character" w:customStyle="1" w:styleId="CaptionChar">
    <w:name w:val="Caption Char"/>
    <w:aliases w:val="Caption nemodar 1 Char,عنوان شکل و جدول Char"/>
    <w:link w:val="Caption"/>
    <w:uiPriority w:val="35"/>
    <w:rPr>
      <w:rFonts w:ascii="Times New Roman" w:eastAsia="Times New Roman" w:hAnsi="Times New Roman" w:cs="Times New Roman"/>
      <w:b/>
      <w:bCs/>
    </w:rPr>
  </w:style>
  <w:style w:type="character" w:customStyle="1" w:styleId="TOC1Char">
    <w:name w:val="TOC 1 Char"/>
    <w:link w:val="TOC1"/>
    <w:uiPriority w:val="39"/>
    <w:rPr>
      <w:rFonts w:cs="B Lotus"/>
      <w:noProof/>
      <w:color w:val="000000"/>
      <w:sz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