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بسیار دور، همیشه این سؤال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است. در این بخش سعی می گردد تبیین های نظری گوناگون در این خصوص و نیز پژوهش های صورت گرفته، بررسی شود.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در اوایل قرن بیستم مطالعه در مورد هوش معنوی شروع به شکل گیری کرد. ویلیام 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را تجربه کرد، قابل پذیرش نیست. با این حال، مطالعات بسیاری نشان دادند که می توان تحت بدترین شرایط نیز هوش معنوی را تجربه کرد.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نظریه 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معناجویی افراد در زندگی تأکید دارد. او معتقد است، که رفتار انسانها نه بر پایه لذت گرایی نظریه روانکاوی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نظریه قدرت طلبی 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می‌داند(فرانکل،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۱- 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۴- 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۵- 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۶- 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۱- سلامت معنوی کامل نشانگانی است که ترکیبی از حضور سطوح بالایی از نشانه های بهزیستی هیجانی،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w:t>
      </w:r>
      <w:r>
        <w:rPr>
          <w:rFonts w:ascii="Times New Roman" w:eastAsia="Times New Roman" w:hAnsi="Times New Roman" w:hint="cs"/>
          <w:lang w:bidi="fa-IR"/>
          <w:rtl/>
        </w:rPr>
        <w:t xml:space="preserve">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w:t>
      </w:r>
      <w:r>
        <w:rPr>
          <w:rFonts w:ascii="Times New Roman" w:eastAsia="Times New Roman" w:hAnsi="Times New Roman" w:hint="cs"/>
          <w:lang w:bidi="fa-IR"/>
          <w:rtl/>
        </w:rPr>
        <w:t xml:space="preserve">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color w:val="1B7A3D"/>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color w:val="1B7A3D"/>
          <w:sz w:val="20"/>
          <w:szCs w:val="20"/>
          <w:vertAlign w:val="superscript"/>
          <w:rtl w:val="0"/>
          <w:cs w:val="0"/>
          <w:lang w:val="en-US"/>
        </w:rPr>
        <w:footnoteReference w:id="67"/>
      </w:r>
      <w:r>
        <w:rPr>
          <w:rFonts w:ascii="Times New Roman" w:hAnsi="Times New Roman" w:eastAsia="Times New Roman" w:cs="B Lotus"/>
          <w:color w:val="1B7A3D"/>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شکوفایی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color w:val="auto"/>
        </w:rPr>
        <w:t xml:space="preserve">کیفیت زندگی مطلوب، همواره آرزوی بشر بوده و هست. در ابتدا رفاه و طول عمر بیشتر، معنی کیفیت زندگی بهتر را داشت. اما امروزه کیفیت زندگی در نقطه مقابل کمیت، قرار گرفته و با توجه به ابعاد گسترده سلامتی، تعریف می شود و منظور از آن سال هایی از عمر است که همراه با رضایت، شادمانی و لذت بخشی باشد. کیفیت زندگی مفهومی پویا و وسیعتر از سلامتی است بر طبق مدل سلامتی، کیفیت زندگی مطلوب باید چند بعد فیزیکی، خلقی-معنوی، اجتماعی، معنوی و شغلی را در بر گیرد.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 گسترش اختلال های معنوی را به حساب سبک های زندگی معیوب و کیفیت نازل زندگی افراد گذاشت و در درمان باید به دنبال اصلاح و تغییر در کیفیت زندگی و 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از لحاظ تاریخی فلاسفه در تئوری های اخلاق به خصوص رویکردهای لذت گرایانه اپیکوری به طور گسترده به مفهوم شادمانی و هوش پرداخته اند. اما برای اولین بار در سال ۱۹۸۰ 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روش‌مند در حوزه روان شناسی بررسی کرد و آن را جایگزین و مترادف شادمانی قرار داد.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بعد هوش روان شناختی، تمایز 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"تأکید می کنند (ریف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w:t>
      </w:r>
    </w:p>
    <w:p>
      <w:pPr>
        <w:spacing w:after="0" w:line="276" w:lineRule="auto"/>
        <w:ind w:firstLine="397"/>
        <w:jc w:val="both"/>
        <w:rPr>
          <w:color w:val="auto"/>
          <w:lang w:bidi="fa-IR"/>
        </w:rPr>
      </w:pPr>
      <w:r>
        <w:rPr>
          <w:rFonts w:ascii="Times New Roman" w:hAnsi="Times New Roman" w:hint="cs"/>
          <w:lang w:bidi="fa-IR"/>
          <w:rtl/>
        </w:rPr>
        <w:t xml:space="preserve">۱- </w:t>
      </w:r>
      <w:r>
        <w:rPr>
          <w:rFonts w:ascii="Times New Roman" w:hAnsi="Times New Roman" w:hint="cs"/>
          <w:lang w:bidi="fa-IR"/>
          <w:rtl/>
        </w:rPr>
        <w:t xml:space="preserve">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w:t>
      </w:r>
    </w:p>
    <w:p>
      <w:pPr>
        <w:spacing w:after="0" w:line="276" w:lineRule="auto"/>
        <w:ind w:firstLine="397"/>
        <w:jc w:val="both"/>
        <w:rPr>
          <w:color w:val="auto"/>
          <w:lang w:bidi="fa-IR"/>
        </w:rPr>
      </w:pPr>
      <w:r>
        <w:rPr>
          <w:rFonts w:ascii="Times New Roman" w:hAnsi="Times New Roman" w:hint="cs"/>
          <w:lang w:bidi="fa-IR"/>
          <w:rtl/>
        </w:rPr>
        <w:t xml:space="preserve">۲- </w:t>
      </w:r>
      <w:r>
        <w:rPr>
          <w:rFonts w:ascii="Times New Roman" w:hAnsi="Times New Roman" w:hint="cs"/>
          <w:lang w:bidi="fa-IR"/>
          <w:rtl/>
        </w:rPr>
        <w:t xml:space="preserve">بعد هیجانی شامل ترس، نگرانی و اضطراب ناشی از احتمال بیماری است؛ و </w:t>
      </w:r>
    </w:p>
    <w:p>
      <w:pPr>
        <w:spacing w:after="0" w:line="276" w:lineRule="auto"/>
        <w:ind w:firstLine="397"/>
        <w:jc w:val="both"/>
        <w:rPr>
          <w:color w:val="auto"/>
          <w:lang w:bidi="fa-IR"/>
        </w:rPr>
      </w:pPr>
      <w:r>
        <w:rPr>
          <w:rFonts w:ascii="Times New Roman" w:hAnsi="Times New Roman" w:hint="cs"/>
          <w:lang w:bidi="fa-IR"/>
          <w:rtl/>
        </w:rPr>
        <w:t xml:space="preserve">۳- </w:t>
      </w:r>
      <w:r>
        <w:rPr>
          <w:rFonts w:ascii="Times New Roman" w:hAnsi="Times New Roman" w:hint="cs"/>
          <w:lang w:bidi="fa-IR"/>
          <w:rtl/>
        </w:rPr>
        <w:t xml:space="preserve">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w:t>
      </w:r>
    </w:p>
    <w:p>
      <w:pPr>
        <w:spacing w:after="0" w:line="276" w:lineRule="auto"/>
        <w:ind w:firstLine="397"/>
        <w:jc w:val="both"/>
        <w:rPr>
          <w:color w:val="auto"/>
          <w:lang w:bidi="fa-IR"/>
        </w:rPr>
      </w:pPr>
      <w:r>
        <w:rPr>
          <w:rFonts w:ascii="Times New Roman" w:hAnsi="Times New Roman" w:hint="cs"/>
          <w:lang w:bidi="fa-IR"/>
          <w:rtl/>
        </w:rPr>
        <w:t xml:space="preserve">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صورت‌بندی کلاسیک این مدل را سالکوویس</w:t>
      </w:r>
      <w:r>
        <w:rPr>
          <w:rFonts w:ascii="Times New Roman" w:hAnsi="Times New Roman" w:eastAsia="Times New Roman" w:cs="Times New Roman"/>
          <w:rStyle w:val="FootnoteReference"/>
          <w:color w:val="1B7A3D"/>
          <w:sz w:val="20"/>
          <w:szCs w:val="20"/>
          <w:vertAlign w:val="superscript"/>
          <w:rtl w:val="0"/>
          <w:cs w:val="0"/>
          <w:lang w:val="en-US"/>
        </w:rPr>
        <w:footnoteReference w:id="131"/>
      </w:r>
      <w:r>
        <w:rPr>
          <w:rFonts w:ascii="Times New Roman" w:hAnsi="Times New Roman" w:eastAsia="Times New Roman" w:cs="B Lotus"/>
          <w:color w:val="1B7A3D"/>
          <w:sz w:val="28"/>
          <w:szCs w:val="28"/>
          <w:rtl/>
          <w:cs/>
          <w:lang w:bidi="fa-IR" w:val="en-US"/>
        </w:rPr>
        <w:t xml:space="preserve"> و وارویک</w:t>
      </w:r>
      <w:r>
        <w:rPr>
          <w:rFonts w:ascii="Times New Roman" w:hAnsi="Times New Roman" w:eastAsia="Times New Roman" w:cs="Times New Roman"/>
          <w:rStyle w:val="FootnoteReference"/>
          <w:color w:val="1B7A3D"/>
          <w:sz w:val="20"/>
          <w:szCs w:val="20"/>
          <w:vertAlign w:val="superscript"/>
          <w:rtl w:val="0"/>
          <w:cs w:val="0"/>
          <w:lang w:val="en-US"/>
        </w:rPr>
        <w:footnoteReference w:id="132"/>
      </w:r>
      <w:r>
        <w:rPr>
          <w:rFonts w:ascii="Times New Roman" w:hAnsi="Times New Roman" w:eastAsia="Times New Roman" w:cs="B Lotus"/>
          <w:color w:val="1B7A3D"/>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۱- باور به احتمال بالا یا حتی قطعی بودن ابتلا به بیماری، یا وجود پنهان آن؛</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۲- باور به وحشتناکی پیامدهای بیماری؛</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۳- باور به ناتوانی فرد در مقابله با بیماری؛</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color w:val="1B7A3D"/>
          <w:sz w:val="20"/>
          <w:szCs w:val="20"/>
          <w:vertAlign w:val="superscript"/>
          <w:rtl w:val="0"/>
          <w:cs w:val="0"/>
          <w:lang w:val="en-US"/>
        </w:rPr>
        <w:footnoteReference w:id="78"/>
      </w:r>
      <w:r>
        <w:rPr>
          <w:rFonts w:ascii="Times New Roman" w:hAnsi="Times New Roman" w:eastAsia="Times New Roman" w:cs="B Lotus"/>
          <w:color w:val="1B7A3D"/>
          <w:sz w:val="28"/>
          <w:szCs w:val="28"/>
          <w:rtl/>
          <w:cs/>
          <w:lang w:bidi="fa-IR" w:val="en-US"/>
        </w:rPr>
        <w:t xml:space="preserve"> و آسموندسون</w:t>
      </w:r>
      <w:r>
        <w:rPr>
          <w:rFonts w:ascii="Times New Roman" w:hAnsi="Times New Roman" w:eastAsia="Times New Roman" w:cs="Times New Roman"/>
          <w:rStyle w:val="FootnoteReference"/>
          <w:color w:val="1B7A3D"/>
          <w:sz w:val="20"/>
          <w:szCs w:val="20"/>
          <w:vertAlign w:val="superscript"/>
          <w:rtl w:val="0"/>
          <w:cs w:val="0"/>
          <w:lang w:val="en-US"/>
        </w:rPr>
        <w:footnoteReference w:id="79"/>
      </w:r>
      <w:r>
        <w:rPr>
          <w:rFonts w:ascii="Times New Roman" w:hAnsi="Times New Roman" w:eastAsia="Times New Roman" w:cs="B Lotus"/>
          <w:color w:val="1B7A3D"/>
          <w:sz w:val="28"/>
          <w:szCs w:val="28"/>
          <w:rtl/>
          <w:cs/>
          <w:lang w:bidi="fa-IR" w:val="en-US"/>
        </w:rPr>
        <w:t>، ۲۰۲۱).</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color w:val="1B7A3D"/>
          <w:sz w:val="20"/>
          <w:szCs w:val="20"/>
          <w:vertAlign w:val="superscript"/>
          <w:rtl w:val="0"/>
          <w:cs w:val="0"/>
          <w:lang w:val="en-US"/>
        </w:rPr>
        <w:footnoteReference w:id="133"/>
      </w:r>
      <w:r>
        <w:rPr>
          <w:rFonts w:ascii="Times New Roman" w:hAnsi="Times New Roman" w:eastAsia="Times New Roman" w:cs="B Lotus"/>
          <w:color w:val="1B7A3D"/>
          <w:sz w:val="28"/>
          <w:szCs w:val="28"/>
          <w:rtl/>
          <w:cs/>
          <w:lang w:bidi="fa-IR" w:val="en-US"/>
        </w:rPr>
        <w:t xml:space="preserve"> و سالکووسکیس</w:t>
      </w:r>
      <w:r>
        <w:rPr>
          <w:rFonts w:ascii="Times New Roman" w:hAnsi="Times New Roman" w:eastAsia="Times New Roman" w:cs="Times New Roman"/>
          <w:rStyle w:val="FootnoteReference"/>
          <w:color w:val="1B7A3D"/>
          <w:sz w:val="20"/>
          <w:szCs w:val="20"/>
          <w:vertAlign w:val="superscript"/>
          <w:rtl w:val="0"/>
          <w:cs w:val="0"/>
          <w:lang w:val="en-US"/>
        </w:rPr>
        <w:footnoteReference w:id="134"/>
      </w:r>
      <w:r>
        <w:rPr>
          <w:rFonts w:ascii="Times New Roman" w:hAnsi="Times New Roman" w:eastAsia="Times New Roman" w:cs="B Lotus"/>
          <w:color w:val="1B7A3D"/>
          <w:sz w:val="28"/>
          <w:szCs w:val="28"/>
          <w:rtl/>
          <w:cs/>
          <w:lang w:bidi="fa-IR" w:val="en-US"/>
        </w:rPr>
        <w:t>، ۲۰۲۳؛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 تیلور و آسموندسون، ۲۰۲۱).</w:t>
      </w:r>
    </w:p>
    <w:p>
      <w:pPr>
        <w:spacing w:after="0" w:line="276" w:lineRule="auto"/>
        <w:ind w:firstLine="397"/>
        <w:jc w:val="both"/>
        <w:rPr>
          <w:rFonts w:ascii="Times New Roman" w:hAnsi="Times New Roman"/>
          <w:lang w:bidi="fa-IR"/>
        </w:rPr>
      </w:pPr>
      <w:r>
        <w:rPr>
          <w:rFonts w:ascii="Times New Roman" w:hAnsi="Times New Roman" w:eastAsia="Times New Roman" w:cs="B Lotus"/>
          <w:color w:val="1B7A3D"/>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۲۰۲۳؛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90"/>
      </w:r>
      <w:r>
        <w:rPr>
          <w:rFonts w:ascii="Times New Roman" w:hAnsi="Times New Roman" w:eastAsia="Times New Roman" w:cs="B Lotus"/>
          <w:color w:val="1B7A3D"/>
          <w:sz w:val="28"/>
          <w:szCs w:val="28"/>
          <w:rtl/>
          <w:cs/>
          <w:lang w:bidi="fa-IR" w:val="en-US"/>
        </w:rPr>
        <w:t xml:space="preserve"> و همکاران، ۲۰۲۲؛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 بک</w:t>
      </w:r>
      <w:r>
        <w:rPr>
          <w:rFonts w:ascii="Times New Roman" w:hAnsi="Times New Roman" w:eastAsia="Times New Roman" w:cs="Times New Roman"/>
          <w:rStyle w:val="FootnoteReference"/>
          <w:color w:val="1B7A3D"/>
          <w:sz w:val="20"/>
          <w:szCs w:val="20"/>
          <w:vertAlign w:val="superscript"/>
          <w:rtl w:val="0"/>
          <w:cs w:val="0"/>
          <w:lang w:val="en-US"/>
        </w:rPr>
        <w:footnoteReference w:id="89"/>
      </w:r>
      <w:r>
        <w:rPr>
          <w:rFonts w:ascii="Times New Roman" w:hAnsi="Times New Roman" w:eastAsia="Times New Roman" w:cs="B Lotus"/>
          <w:color w:val="1B7A3D"/>
          <w:sz w:val="28"/>
          <w:szCs w:val="28"/>
          <w:rtl/>
          <w:cs/>
          <w:lang w:bidi="fa-IR" w:val="en-US"/>
        </w:rPr>
        <w:t xml:space="preserve"> و هایگ</w:t>
      </w:r>
      <w:r>
        <w:rPr>
          <w:rFonts w:ascii="Times New Roman" w:hAnsi="Times New Roman" w:eastAsia="Times New Roman" w:cs="Times New Roman"/>
          <w:rStyle w:val="FootnoteReference"/>
          <w:color w:val="1B7A3D"/>
          <w:sz w:val="20"/>
          <w:szCs w:val="20"/>
          <w:vertAlign w:val="superscript"/>
          <w:rtl w:val="0"/>
          <w:cs w:val="0"/>
          <w:lang w:val="en-US"/>
        </w:rPr>
        <w:footnoteReference w:id="146"/>
      </w:r>
      <w:r>
        <w:rPr>
          <w:rFonts w:ascii="Times New Roman" w:hAnsi="Times New Roman" w:eastAsia="Times New Roman" w:cs="B Lotus"/>
          <w:color w:val="1B7A3D"/>
          <w:sz w:val="28"/>
          <w:szCs w:val="28"/>
          <w:rtl/>
          <w:cs/>
          <w:lang w:bidi="fa-IR" w:val="en-US"/>
        </w:rPr>
        <w:t>، ۲۰۱۴).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دلبستگی بالبی</w:t>
      </w:r>
      <w:r>
        <w:rPr>
          <w:rFonts w:ascii="Times New Roman" w:hAnsi="Times New Roman" w:eastAsia="Times New Roman" w:cs="Times New Roman"/>
          <w:rStyle w:val="FootnoteReference"/>
          <w:color w:val="1B7A3D"/>
          <w:sz w:val="20"/>
          <w:szCs w:val="20"/>
          <w:vertAlign w:val="superscript"/>
          <w:rtl w:val="0"/>
          <w:cs w:val="0"/>
          <w:lang w:val="en-US"/>
        </w:rPr>
        <w:footnoteReference w:id="47"/>
      </w:r>
      <w:r>
        <w:rPr>
          <w:rFonts w:ascii="Times New Roman" w:hAnsi="Times New Roman" w:eastAsia="Times New Roman" w:cs="B Lotus"/>
          <w:color w:val="1B7A3D"/>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مدل بین‌فردی خودبیمارانگاری که استوارت</w:t>
      </w:r>
      <w:r>
        <w:rPr>
          <w:rFonts w:ascii="Times New Roman" w:hAnsi="Times New Roman" w:eastAsia="Times New Roman" w:cs="Times New Roman"/>
          <w:rStyle w:val="FootnoteReference"/>
          <w:color w:val="1B7A3D"/>
          <w:sz w:val="20"/>
          <w:szCs w:val="20"/>
          <w:vertAlign w:val="superscript"/>
          <w:rtl w:val="0"/>
          <w:cs w:val="0"/>
          <w:lang w:val="en-US"/>
        </w:rPr>
        <w:footnoteReference w:id="155"/>
      </w:r>
      <w:r>
        <w:rPr>
          <w:rFonts w:ascii="Times New Roman" w:hAnsi="Times New Roman" w:eastAsia="Times New Roman" w:cs="B Lotus"/>
          <w:color w:val="1B7A3D"/>
          <w:sz w:val="28"/>
          <w:szCs w:val="28"/>
          <w:rtl/>
          <w:cs/>
          <w:lang w:bidi="fa-IR" w:val="en-US"/>
        </w:rPr>
        <w:t xml:space="preserve"> و نویز</w:t>
      </w:r>
      <w:r>
        <w:rPr>
          <w:rFonts w:ascii="Times New Roman" w:hAnsi="Times New Roman" w:eastAsia="Times New Roman" w:cs="Times New Roman"/>
          <w:rStyle w:val="FootnoteReference"/>
          <w:color w:val="1B7A3D"/>
          <w:sz w:val="20"/>
          <w:szCs w:val="20"/>
          <w:vertAlign w:val="superscript"/>
          <w:rtl w:val="0"/>
          <w:cs w:val="0"/>
          <w:lang w:val="en-US"/>
        </w:rPr>
        <w:footnoteReference w:id="104"/>
      </w:r>
      <w:r>
        <w:rPr>
          <w:rFonts w:ascii="Times New Roman" w:hAnsi="Times New Roman" w:eastAsia="Times New Roman" w:cs="B Lotus"/>
          <w:color w:val="1B7A3D"/>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از جمله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Fonts w:ascii="Times New Roman" w:hAnsi="Times New Roman" w:eastAsia="Times New Roman" w:cs="Times New Roman"/>
          <w:rStyle w:val="FootnoteReference"/>
          <w:color w:val="1B7A3D"/>
          <w:sz w:val="20"/>
          <w:szCs w:val="20"/>
          <w:vertAlign w:val="superscript"/>
          <w:rtl w:val="0"/>
          <w:cs w:val="0"/>
          <w:lang w:val="en-US"/>
        </w:rPr>
        <w:footnoteReference w:id="155"/>
      </w:r>
      <w:r>
        <w:rPr>
          <w:rFonts w:ascii="Times New Roman" w:hAnsi="Times New Roman" w:eastAsia="Times New Roman" w:cs="B Lotus"/>
          <w:color w:val="1B7A3D"/>
          <w:sz w:val="28"/>
          <w:szCs w:val="28"/>
          <w:rtl/>
          <w:cs/>
          <w:lang w:bidi="fa-IR" w:val="en-US"/>
        </w:rPr>
        <w:t xml:space="preserve"> و نویز</w:t>
      </w:r>
      <w:r>
        <w:rPr>
          <w:rFonts w:ascii="Times New Roman" w:hAnsi="Times New Roman" w:eastAsia="Times New Roman" w:cs="Times New Roman"/>
          <w:rStyle w:val="FootnoteReference"/>
          <w:color w:val="1B7A3D"/>
          <w:sz w:val="20"/>
          <w:szCs w:val="20"/>
          <w:vertAlign w:val="superscript"/>
          <w:rtl w:val="0"/>
          <w:cs w:val="0"/>
          <w:lang w:val="en-US"/>
        </w:rPr>
        <w:footnoteReference w:id="104"/>
      </w:r>
      <w:r>
        <w:rPr>
          <w:rFonts w:ascii="Times New Roman" w:hAnsi="Times New Roman" w:eastAsia="Times New Roman" w:cs="B Lotus"/>
          <w:color w:val="1B7A3D"/>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Abramowitz, J. S., &amp; Braddock, A. E. (2023). Psychological Treatment of Health Anxiety and Illness Anxiety Disorder. Guilford Press.</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American Psychiatric Association (2022). Diagnostic and Statistical Manual of Mental Disorders (5th ed., Text Revision; DSM-5-TR). Washington, DC: American Psychiatric Association.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American Psychological Association. (2023). Clinical Practice Guideline for the Treatment of Depression and Anxiety in Older Adults.</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Beck, J. S., &amp; Haigh, E. A. P. (2014). Advances in Cognitive Theory and Therapy: The Generic Cognitive Model. Annual Review of Clinical Psychology, 10, 1–24.</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Gould, R. L., et al. (2022). Cognitive behavioural therapy for depression and anxiety in older people: A systematic review and meta-analysis. Age and Ageing.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Halldórsson, B; &amp; Salkovskis, P. M. (2023). Reassurance and its alternatives: Overview and cognitive behavioural conceptualisation. Journal of Obsessive-Compulsive and Related Disorders, 36, 100783. </w:t>
      </w:r>
      <w:hyperlink r:id="rIdU104" w:history="1">
        <w:r>
          <w:rPr>
            <w:rFonts w:ascii="Times New Roman" w:hAnsi="Times New Roman" w:eastAsia="Times New Roman" w:cs="B Lotus"/>
            <w:rStyle w:val="Hyperlink"/>
            <w:color w:val="1B7A3D"/>
            <w:sz w:val="28"/>
            <w:szCs w:val="28"/>
            <w:rtl w:val="0"/>
            <w:cs w:val="0"/>
            <w:lang w:val="en-US"/>
          </w:rPr>
          <w:t xml:space="preserve">https://doi.org/10.1016/j.jocrd.2023.100783</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Kikas, K; Werner-Seidler, A; Upton, E., &amp; Newby, J. M. (2024). Illness anxiety disorder: A review of the current research and future directions. Current Psychiatry Reports, 26(7), 331–339. </w:t>
      </w:r>
      <w:hyperlink r:id="rId12" w:history="1">
        <w:r>
          <w:rPr>
            <w:rFonts w:ascii="Times New Roman" w:hAnsi="Times New Roman" w:eastAsia="Times New Roman" w:cs="B Lotus"/>
            <w:rStyle w:val="Hyperlink"/>
            <w:color w:val="1B7A3D"/>
            <w:sz w:val="28"/>
            <w:szCs w:val="28"/>
            <w:rtl w:val="0"/>
            <w:cs w:val="0"/>
            <w:lang w:val="en-US"/>
          </w:rPr>
          <w:t xml:space="preserve">https://doi.org/10.1007/s11920-024-01507-2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Noyes, R., Jr., Stuart, S. P., Langbehn, D. R., Happel, R. L., Longley, S. L., Muller, B. A., &amp; Yagla, S. J. (2003). Test of an interpersonal model of hypochondriasis. Psychosomatic Medicine, 65(2), 292–300. </w:t>
      </w:r>
      <w:hyperlink r:id="rIdDoiNoyes03" w:history="1">
        <w:r>
          <w:rPr>
            <w:rFonts w:ascii="Times New Roman" w:hAnsi="Times New Roman" w:eastAsia="Times New Roman" w:cs="B Lotus"/>
            <w:rStyle w:val="Hyperlink"/>
            <w:color w:val="1B7A3D"/>
            <w:sz w:val="28"/>
            <w:szCs w:val="28"/>
            <w:rtl w:val="0"/>
            <w:cs w:val="0"/>
            <w:lang w:val="en-US"/>
          </w:rPr>
          <w:t xml:space="preserve">https://doi.org/10.1097/01.PSY.0000058377.50240.64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Noyes, R., Jr., Stuart, S., Longley, S. L., Langbehn, D. R., &amp; Happel, R. L. (2002). Hypochondriasis and fear of death. Journal of Nervous and Mental Disease, 190(8), 503–509. </w:t>
      </w:r>
      <w:hyperlink r:id="rIdU117" w:history="1">
        <w:r>
          <w:rPr>
            <w:rFonts w:ascii="Times New Roman" w:hAnsi="Times New Roman" w:eastAsia="Times New Roman" w:cs="B Lotus"/>
            <w:rStyle w:val="Hyperlink"/>
            <w:color w:val="1B7A3D"/>
            <w:sz w:val="28"/>
            <w:szCs w:val="28"/>
            <w:rtl w:val="0"/>
            <w:cs w:val="0"/>
            <w:lang w:val="en-US"/>
          </w:rPr>
          <w:t xml:space="preserve">https://doi.org/10.1097/00005053-200208000-00002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color w:val="1B7A3D"/>
            <w:sz w:val="28"/>
            <w:szCs w:val="28"/>
            <w:rtl w:val="0"/>
            <w:cs w:val="0"/>
            <w:lang w:val="en-US"/>
          </w:rPr>
          <w:t xml:space="preserve">https://doi.org/10.1016/S0033-3182(99)71269-7</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Taylor, S; &amp; Asmundson, G. J. G. (2021). Treating Health Anxiety: A Cognitive-Behavioral Approach. Guilford Press.</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color w:val="1B7A3D"/>
            <w:sz w:val="28"/>
            <w:szCs w:val="28"/>
            <w:rtl w:val="0"/>
            <w:cs w:val="0"/>
            <w:lang w:val="en-US"/>
          </w:rPr>
          <w:t xml:space="preserve">https://doi.org/10.1016/0005-7967(90)90023-c</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Çarıkçı-Özgül, D. N; &amp; Işık, Ü. (2024). Exploring adult attachment and anxiety: The role of intolerance of uncertainty and social support. Current Psychology, 43, 18612–18620. </w:t>
      </w:r>
      <w:hyperlink r:id="rIdU116" w:history="1">
        <w:r>
          <w:rPr>
            <w:rFonts w:ascii="Times New Roman" w:hAnsi="Times New Roman" w:eastAsia="Times New Roman" w:cs="B Lotus"/>
            <w:rStyle w:val="Hyperlink"/>
            <w:color w:val="1B7A3D"/>
            <w:sz w:val="28"/>
            <w:szCs w:val="28"/>
            <w:rtl w:val="0"/>
            <w:cs w:val="0"/>
            <w:lang w:val="en-US"/>
          </w:rPr>
          <w:t xml:space="preserve">https://doi.org/10.1007/s12144-024-05659-5</w:t>
        </w:r>
      </w:hyperlink>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 w:id="15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Stuart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